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F30" w:rsidRPr="007808F8" w:rsidRDefault="006D5CF3" w:rsidP="007808F8">
      <w:pPr>
        <w:spacing w:after="0"/>
        <w:jc w:val="center"/>
      </w:pPr>
      <w:r>
        <w:rPr>
          <w:rFonts w:cstheme="minorHAnsi"/>
          <w:b/>
        </w:rPr>
        <w:t>TESTING</w:t>
      </w:r>
      <w:r w:rsidR="00E5249F">
        <w:rPr>
          <w:rFonts w:cstheme="minorHAnsi"/>
          <w:b/>
        </w:rPr>
        <w:t xml:space="preserve"> </w:t>
      </w:r>
      <w:r>
        <w:rPr>
          <w:rFonts w:cstheme="minorHAnsi"/>
          <w:b/>
        </w:rPr>
        <w:t xml:space="preserve">THE </w:t>
      </w:r>
      <w:r w:rsidR="00E5249F" w:rsidRPr="001E67BA">
        <w:rPr>
          <w:rFonts w:cstheme="minorHAnsi"/>
          <w:b/>
        </w:rPr>
        <w:t xml:space="preserve">WARRANTS </w:t>
      </w:r>
      <w:r>
        <w:rPr>
          <w:rFonts w:cstheme="minorHAnsi"/>
          <w:b/>
        </w:rPr>
        <w:t>MISPRICING AND THEIR</w:t>
      </w:r>
      <w:r w:rsidR="00E5249F">
        <w:rPr>
          <w:rFonts w:cstheme="minorHAnsi"/>
          <w:b/>
        </w:rPr>
        <w:t xml:space="preserve"> DETERMINANTS</w:t>
      </w:r>
      <w:r w:rsidR="00E5249F" w:rsidRPr="001E67BA">
        <w:rPr>
          <w:rFonts w:cstheme="minorHAnsi"/>
          <w:b/>
        </w:rPr>
        <w:t>:</w:t>
      </w:r>
    </w:p>
    <w:p w:rsidR="00E5249F" w:rsidRPr="001E67BA" w:rsidRDefault="005A0E27" w:rsidP="007808F8">
      <w:pPr>
        <w:spacing w:after="0"/>
        <w:jc w:val="center"/>
        <w:rPr>
          <w:rFonts w:cstheme="minorHAnsi"/>
          <w:b/>
        </w:rPr>
      </w:pPr>
      <w:r>
        <w:rPr>
          <w:rFonts w:cstheme="minorHAnsi"/>
          <w:b/>
        </w:rPr>
        <w:t xml:space="preserve">THE </w:t>
      </w:r>
      <w:r w:rsidR="006D5CF3">
        <w:rPr>
          <w:rFonts w:cstheme="minorHAnsi"/>
          <w:b/>
        </w:rPr>
        <w:t xml:space="preserve">PANEL DATA </w:t>
      </w:r>
      <w:r>
        <w:rPr>
          <w:rFonts w:cstheme="minorHAnsi"/>
          <w:b/>
        </w:rPr>
        <w:t>MODELS</w:t>
      </w:r>
    </w:p>
    <w:p w:rsidR="00E5249F" w:rsidRPr="001E67BA" w:rsidRDefault="00E5249F" w:rsidP="00E5249F">
      <w:pPr>
        <w:spacing w:after="0"/>
        <w:rPr>
          <w:rFonts w:cstheme="minorHAnsi"/>
          <w:b/>
        </w:rPr>
      </w:pPr>
    </w:p>
    <w:p w:rsidR="00E5249F" w:rsidRPr="001E67BA" w:rsidRDefault="00E5249F" w:rsidP="00E5249F">
      <w:pPr>
        <w:spacing w:after="0"/>
        <w:jc w:val="center"/>
        <w:rPr>
          <w:rFonts w:cstheme="minorHAnsi"/>
        </w:rPr>
      </w:pPr>
      <w:bookmarkStart w:id="0" w:name="_GoBack"/>
      <w:bookmarkEnd w:id="0"/>
    </w:p>
    <w:p w:rsidR="00E5249F" w:rsidRPr="001E67BA" w:rsidRDefault="00092132" w:rsidP="00E5249F">
      <w:pPr>
        <w:spacing w:after="0"/>
        <w:jc w:val="center"/>
        <w:rPr>
          <w:rFonts w:cstheme="minorHAnsi"/>
        </w:rPr>
      </w:pPr>
      <w:r>
        <w:rPr>
          <w:rFonts w:cstheme="minorHAnsi"/>
          <w:noProof/>
        </w:rPr>
        <mc:AlternateContent>
          <mc:Choice Requires="wps">
            <w:drawing>
              <wp:anchor distT="4294967295" distB="4294967295" distL="114300" distR="114300" simplePos="0" relativeHeight="251660288" behindDoc="0" locked="0" layoutInCell="1" allowOverlap="1">
                <wp:simplePos x="0" y="0"/>
                <wp:positionH relativeFrom="column">
                  <wp:posOffset>-152400</wp:posOffset>
                </wp:positionH>
                <wp:positionV relativeFrom="paragraph">
                  <wp:posOffset>29844</wp:posOffset>
                </wp:positionV>
                <wp:extent cx="60960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pt,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dBV4QEAACkEAAAOAAAAZHJzL2Uyb0RvYy54bWysU02P0zAQvSPxHyzfqdMKFYia7qGr5bKC&#10;irI/wOvYjYXtsWzTpP+esfOxu4CQQFysjGfem3nPk93NYA25yBA1uIauVxUl0glotTs39OHr3Zv3&#10;lMTEXcsNONnQq4z0Zv/61a73tdxAB6aVgSCJi3XvG9ql5GvGouik5XEFXjpMKgiWJwzDmbWB98hu&#10;DdtU1Zb1EFofQMgY8fZ2TNJ94VdKivRZqSgTMQ3F2VI5Qzkf88n2O16fA/edFtMY/B+msFw7bLpQ&#10;3fLEyfegf6GyWgSIoNJKgGWglBayaEA16+onNaeOe1m0oDnRLzbF/0crPl2Ogei2oW8pcdziE51S&#10;4PrcJXIA59BACGSdfep9rLH84I4hKxWDO/l7EN8i5tiLZA6iH8sGFWwuR6lkKL5fF9/lkIjAy231&#10;YVtV+DxizjFez0AfYvoowZL80VCjXbaE1/xyH1Nuzeu5JF8bR3pcxM075MtxBKPbO21MCfJayYMJ&#10;5MJxIdJQhCHDsyqMjJsUjSKKnHQ1cuT/IhUahmOvxwYvObkQ0qWZ1ziszjCFEyzAabI/Aaf6DJVl&#10;jf8GvCBKZ3BpAVvtIPxu7Ccr1Fg/OzDqzhY8Qns9hvmxcR+L99O/kxf+eVzgT3/4/gcAAAD//wMA&#10;UEsDBBQABgAIAAAAIQBr2W6E2gAAAAcBAAAPAAAAZHJzL2Rvd25yZXYueG1sTI/LTsMwEEX3SPyD&#10;NUjsWoe2aiGNU1VI/YAWJMRuak8exR5HsdOkf49hA8ujO7r3TLGbnBVX6kPrWcHTPANBrL1puVbw&#10;/naYPYMIEdmg9UwKbhRgV97fFZgbP/KRrqdYi1TCIUcFTYxdLmXQDTkMc98Rp6zyvcOYsK+l6XFM&#10;5c7KRZatpcOW00KDHb02pL9Og1PwmY12uOjqoJd4++Dj3m36yin1+DDttyAiTfHvGH70kzqUyens&#10;BzZBWAWzxSr9EhWsNiBS/rJcJz7/siwL+d+//AYAAP//AwBQSwECLQAUAAYACAAAACEAtoM4kv4A&#10;AADhAQAAEwAAAAAAAAAAAAAAAAAAAAAAW0NvbnRlbnRfVHlwZXNdLnhtbFBLAQItABQABgAIAAAA&#10;IQA4/SH/1gAAAJQBAAALAAAAAAAAAAAAAAAAAC8BAABfcmVscy8ucmVsc1BLAQItABQABgAIAAAA&#10;IQAUXdBV4QEAACkEAAAOAAAAAAAAAAAAAAAAAC4CAABkcnMvZTJvRG9jLnhtbFBLAQItABQABgAI&#10;AAAAIQBr2W6E2gAAAAcBAAAPAAAAAAAAAAAAAAAAADsEAABkcnMvZG93bnJldi54bWxQSwUGAAAA&#10;AAQABADzAAAAQgUAAAAA&#10;" strokecolor="black [3213]" strokeweight="1pt">
                <o:lock v:ext="edit" shapetype="f"/>
              </v:line>
            </w:pict>
          </mc:Fallback>
        </mc:AlternateContent>
      </w:r>
    </w:p>
    <w:p w:rsidR="00E5249F" w:rsidRPr="001E67BA" w:rsidRDefault="00E5249F" w:rsidP="00E5249F">
      <w:pPr>
        <w:spacing w:after="0"/>
        <w:jc w:val="center"/>
        <w:rPr>
          <w:rFonts w:cstheme="minorHAnsi"/>
          <w:b/>
        </w:rPr>
      </w:pPr>
      <w:r w:rsidRPr="001E67BA">
        <w:rPr>
          <w:rFonts w:cstheme="minorHAnsi"/>
          <w:b/>
        </w:rPr>
        <w:t>ABSTRACT</w:t>
      </w:r>
    </w:p>
    <w:p w:rsidR="00E5249F" w:rsidRPr="001E67BA" w:rsidRDefault="00E5249F" w:rsidP="00E5249F">
      <w:pPr>
        <w:spacing w:after="0"/>
        <w:rPr>
          <w:rFonts w:cstheme="minorHAnsi"/>
          <w:b/>
        </w:rPr>
      </w:pPr>
    </w:p>
    <w:p w:rsidR="00E5249F" w:rsidRPr="00A30CF0" w:rsidRDefault="00E5249F" w:rsidP="00E5249F">
      <w:pPr>
        <w:spacing w:after="0"/>
        <w:jc w:val="both"/>
        <w:rPr>
          <w:rFonts w:cstheme="minorHAnsi"/>
          <w:b/>
          <w:i/>
        </w:rPr>
      </w:pPr>
      <w:r w:rsidRPr="00390285">
        <w:rPr>
          <w:rFonts w:cstheme="minorHAnsi"/>
          <w:i/>
        </w:rPr>
        <w:t xml:space="preserve">This </w:t>
      </w:r>
      <w:r w:rsidR="00E7561B">
        <w:rPr>
          <w:rFonts w:cstheme="minorHAnsi"/>
          <w:i/>
        </w:rPr>
        <w:t xml:space="preserve">paper empirically studied </w:t>
      </w:r>
      <w:r w:rsidRPr="00390285">
        <w:rPr>
          <w:rFonts w:cstheme="minorHAnsi"/>
          <w:i/>
        </w:rPr>
        <w:t xml:space="preserve">the </w:t>
      </w:r>
      <w:r w:rsidR="00BD4A0E">
        <w:rPr>
          <w:rFonts w:cstheme="minorHAnsi"/>
          <w:i/>
        </w:rPr>
        <w:t>impact</w:t>
      </w:r>
      <w:r w:rsidR="00E7561B">
        <w:rPr>
          <w:rFonts w:cstheme="minorHAnsi"/>
          <w:i/>
        </w:rPr>
        <w:t xml:space="preserve"> of several variables such as </w:t>
      </w:r>
      <w:proofErr w:type="spellStart"/>
      <w:r w:rsidR="00E7561B">
        <w:rPr>
          <w:rFonts w:cstheme="minorHAnsi"/>
          <w:i/>
        </w:rPr>
        <w:t>moneyness</w:t>
      </w:r>
      <w:proofErr w:type="spellEnd"/>
      <w:r w:rsidR="00E7561B">
        <w:rPr>
          <w:rFonts w:cstheme="minorHAnsi"/>
          <w:i/>
        </w:rPr>
        <w:t xml:space="preserve">, stock return, maturity, and volatility on the warrant mispricing. </w:t>
      </w:r>
      <w:r w:rsidR="00910121" w:rsidRPr="00390285">
        <w:rPr>
          <w:rFonts w:cstheme="minorHAnsi"/>
          <w:i/>
        </w:rPr>
        <w:t xml:space="preserve">We </w:t>
      </w:r>
      <w:r w:rsidR="00E7561B">
        <w:rPr>
          <w:rFonts w:cstheme="minorHAnsi"/>
          <w:i/>
        </w:rPr>
        <w:t xml:space="preserve">selected 4 companies listed in </w:t>
      </w:r>
      <w:r w:rsidRPr="00390285">
        <w:rPr>
          <w:rFonts w:cstheme="minorHAnsi"/>
          <w:i/>
        </w:rPr>
        <w:t xml:space="preserve">Bursa Malaysia such as MHC Plantations </w:t>
      </w:r>
      <w:proofErr w:type="spellStart"/>
      <w:r w:rsidRPr="00390285">
        <w:rPr>
          <w:rFonts w:cstheme="minorHAnsi"/>
          <w:i/>
        </w:rPr>
        <w:t>Bhd</w:t>
      </w:r>
      <w:proofErr w:type="spellEnd"/>
      <w:r w:rsidRPr="00390285">
        <w:rPr>
          <w:rFonts w:cstheme="minorHAnsi"/>
          <w:i/>
        </w:rPr>
        <w:t xml:space="preserve">, MKH </w:t>
      </w:r>
      <w:proofErr w:type="spellStart"/>
      <w:r w:rsidRPr="00390285">
        <w:rPr>
          <w:rFonts w:cstheme="minorHAnsi"/>
          <w:i/>
        </w:rPr>
        <w:t>Bhd</w:t>
      </w:r>
      <w:proofErr w:type="spellEnd"/>
      <w:r w:rsidRPr="00390285">
        <w:rPr>
          <w:rFonts w:cstheme="minorHAnsi"/>
          <w:i/>
        </w:rPr>
        <w:t xml:space="preserve">, YFG </w:t>
      </w:r>
      <w:proofErr w:type="spellStart"/>
      <w:r w:rsidRPr="00390285">
        <w:rPr>
          <w:rFonts w:cstheme="minorHAnsi"/>
          <w:i/>
        </w:rPr>
        <w:t>Bhd</w:t>
      </w:r>
      <w:proofErr w:type="spellEnd"/>
      <w:r w:rsidR="00E7561B">
        <w:rPr>
          <w:rFonts w:cstheme="minorHAnsi"/>
          <w:i/>
        </w:rPr>
        <w:t>, and UNISEM</w:t>
      </w:r>
      <w:r w:rsidR="00BD4A0E">
        <w:rPr>
          <w:rFonts w:cstheme="minorHAnsi"/>
          <w:i/>
        </w:rPr>
        <w:t xml:space="preserve"> to investigate the mispricing of warrants</w:t>
      </w:r>
      <w:r w:rsidRPr="00390285">
        <w:rPr>
          <w:rFonts w:cstheme="minorHAnsi"/>
          <w:i/>
        </w:rPr>
        <w:t xml:space="preserve">. </w:t>
      </w:r>
      <w:r w:rsidR="00910121">
        <w:rPr>
          <w:rFonts w:cstheme="minorHAnsi"/>
          <w:i/>
        </w:rPr>
        <w:t xml:space="preserve">Subsequently, </w:t>
      </w:r>
      <w:r w:rsidR="00E7561B">
        <w:rPr>
          <w:rFonts w:cstheme="minorHAnsi"/>
          <w:i/>
        </w:rPr>
        <w:t xml:space="preserve">panel </w:t>
      </w:r>
      <w:r w:rsidRPr="00390285">
        <w:rPr>
          <w:rFonts w:cstheme="minorHAnsi"/>
          <w:i/>
        </w:rPr>
        <w:t>time series data</w:t>
      </w:r>
      <w:r w:rsidR="00910121">
        <w:rPr>
          <w:rFonts w:cstheme="minorHAnsi"/>
          <w:i/>
        </w:rPr>
        <w:t xml:space="preserve"> employed</w:t>
      </w:r>
      <w:r w:rsidRPr="00390285">
        <w:rPr>
          <w:rFonts w:cstheme="minorHAnsi"/>
          <w:i/>
        </w:rPr>
        <w:t xml:space="preserve"> with daily basis from 30 June 2010 until 30 June 2013. </w:t>
      </w:r>
      <w:r w:rsidR="00910121">
        <w:rPr>
          <w:rFonts w:cstheme="minorHAnsi"/>
          <w:i/>
        </w:rPr>
        <w:t xml:space="preserve">The Black-Scholes Option Pricing Model (BSOPM) </w:t>
      </w:r>
      <w:r w:rsidR="00BD4A0E">
        <w:rPr>
          <w:rFonts w:cstheme="minorHAnsi"/>
          <w:i/>
        </w:rPr>
        <w:t xml:space="preserve">used </w:t>
      </w:r>
      <w:r w:rsidR="00910121">
        <w:rPr>
          <w:rFonts w:cstheme="minorHAnsi"/>
          <w:i/>
        </w:rPr>
        <w:t xml:space="preserve">to determine the mispricing of warrant. </w:t>
      </w:r>
      <w:r w:rsidR="00E7561B">
        <w:rPr>
          <w:rFonts w:cstheme="minorHAnsi"/>
          <w:i/>
        </w:rPr>
        <w:t xml:space="preserve">Several panel </w:t>
      </w:r>
      <w:r w:rsidR="00BF37AF">
        <w:rPr>
          <w:rFonts w:cstheme="minorHAnsi"/>
          <w:i/>
        </w:rPr>
        <w:t xml:space="preserve">data techniques </w:t>
      </w:r>
      <w:r w:rsidR="00DA74B0">
        <w:rPr>
          <w:rFonts w:cstheme="minorHAnsi"/>
          <w:i/>
        </w:rPr>
        <w:t>employed in</w:t>
      </w:r>
      <w:r w:rsidR="00E7561B">
        <w:rPr>
          <w:rFonts w:cstheme="minorHAnsi"/>
          <w:i/>
        </w:rPr>
        <w:t xml:space="preserve"> this study such</w:t>
      </w:r>
      <w:r w:rsidR="00910121">
        <w:rPr>
          <w:rFonts w:cstheme="minorHAnsi"/>
          <w:i/>
        </w:rPr>
        <w:t xml:space="preserve"> as</w:t>
      </w:r>
      <w:r w:rsidR="00E7561B">
        <w:rPr>
          <w:rFonts w:cstheme="minorHAnsi"/>
          <w:i/>
        </w:rPr>
        <w:t xml:space="preserve"> pooled-OLS, fixed effect model (FEM), and random </w:t>
      </w:r>
      <w:r w:rsidR="00FC5103">
        <w:rPr>
          <w:rFonts w:cstheme="minorHAnsi"/>
          <w:i/>
        </w:rPr>
        <w:t xml:space="preserve">effect model (REM). In turn, we </w:t>
      </w:r>
      <w:r w:rsidR="00E7561B">
        <w:rPr>
          <w:rFonts w:cstheme="minorHAnsi"/>
          <w:i/>
        </w:rPr>
        <w:t>found that FEM is well explained the determinants of warrant mispricing</w:t>
      </w:r>
      <w:r w:rsidR="00910121">
        <w:rPr>
          <w:rFonts w:cstheme="minorHAnsi"/>
          <w:i/>
        </w:rPr>
        <w:t>.</w:t>
      </w:r>
      <w:r w:rsidRPr="00390285">
        <w:rPr>
          <w:rFonts w:cstheme="minorHAnsi"/>
          <w:i/>
        </w:rPr>
        <w:t xml:space="preserve"> </w:t>
      </w:r>
      <w:r w:rsidR="00910121">
        <w:rPr>
          <w:rFonts w:cstheme="minorHAnsi"/>
          <w:i/>
        </w:rPr>
        <w:t>Thus, e</w:t>
      </w:r>
      <w:r w:rsidRPr="00390285">
        <w:rPr>
          <w:rFonts w:cstheme="minorHAnsi"/>
          <w:i/>
        </w:rPr>
        <w:t xml:space="preserve">mpirical results </w:t>
      </w:r>
      <w:r w:rsidR="00BD4A0E">
        <w:rPr>
          <w:rFonts w:cstheme="minorHAnsi"/>
          <w:i/>
        </w:rPr>
        <w:t>suggest</w:t>
      </w:r>
      <w:r w:rsidRPr="00390285">
        <w:rPr>
          <w:rFonts w:cstheme="minorHAnsi"/>
          <w:i/>
        </w:rPr>
        <w:t xml:space="preserve"> </w:t>
      </w:r>
      <w:r w:rsidR="00910121">
        <w:rPr>
          <w:rFonts w:cstheme="minorHAnsi"/>
          <w:i/>
        </w:rPr>
        <w:t xml:space="preserve">that </w:t>
      </w:r>
      <w:proofErr w:type="spellStart"/>
      <w:r w:rsidR="00910121">
        <w:rPr>
          <w:rFonts w:cstheme="minorHAnsi"/>
          <w:i/>
        </w:rPr>
        <w:t>moneyness</w:t>
      </w:r>
      <w:proofErr w:type="spellEnd"/>
      <w:r w:rsidR="00910121">
        <w:rPr>
          <w:rFonts w:cstheme="minorHAnsi"/>
          <w:i/>
        </w:rPr>
        <w:t xml:space="preserve">, maturity, and volatility are positively and significantly explained the mispricing of warrant, while stock return does not give an impact toward the warrant mispricing. </w:t>
      </w:r>
      <w:r w:rsidR="00A30CF0" w:rsidRPr="00A30CF0">
        <w:rPr>
          <w:i/>
        </w:rPr>
        <w:t>The BSOPM is consistently mispricing the warrant either in-the-money (ITM) or out-the money (OTM) warrants. The market is not efficient on the warrants traded for four companies observed</w:t>
      </w:r>
    </w:p>
    <w:p w:rsidR="00E5249F" w:rsidRPr="001E67BA" w:rsidRDefault="00E5249F" w:rsidP="00E5249F">
      <w:pPr>
        <w:spacing w:after="0"/>
        <w:jc w:val="center"/>
        <w:rPr>
          <w:rFonts w:cstheme="minorHAnsi"/>
          <w:b/>
          <w:i/>
        </w:rPr>
      </w:pPr>
    </w:p>
    <w:p w:rsidR="00E5249F" w:rsidRPr="001E67BA" w:rsidRDefault="00E5249F" w:rsidP="00E5249F">
      <w:pPr>
        <w:spacing w:after="0"/>
        <w:jc w:val="both"/>
        <w:rPr>
          <w:rFonts w:cstheme="minorHAnsi"/>
          <w:b/>
        </w:rPr>
      </w:pPr>
      <w:r w:rsidRPr="001E67BA">
        <w:rPr>
          <w:rFonts w:cstheme="minorHAnsi"/>
          <w:b/>
        </w:rPr>
        <w:t xml:space="preserve">Keywords: </w:t>
      </w:r>
      <w:r w:rsidR="00A70F2A">
        <w:rPr>
          <w:rFonts w:cstheme="minorHAnsi"/>
          <w:i/>
        </w:rPr>
        <w:t>Warrants,</w:t>
      </w:r>
      <w:r w:rsidRPr="00390285">
        <w:rPr>
          <w:rFonts w:cstheme="minorHAnsi"/>
          <w:i/>
        </w:rPr>
        <w:t xml:space="preserve"> </w:t>
      </w:r>
      <w:r>
        <w:rPr>
          <w:rFonts w:cstheme="minorHAnsi"/>
          <w:i/>
        </w:rPr>
        <w:t xml:space="preserve">Mispricing, </w:t>
      </w:r>
      <w:r w:rsidR="00E7561B">
        <w:rPr>
          <w:rFonts w:cstheme="minorHAnsi"/>
          <w:i/>
        </w:rPr>
        <w:t>BSOPM, Panel Data Models</w:t>
      </w:r>
      <w:r w:rsidR="00501EFC">
        <w:rPr>
          <w:rFonts w:cstheme="minorHAnsi"/>
          <w:i/>
        </w:rPr>
        <w:t>, P-OLS, FEM, REM</w:t>
      </w:r>
      <w:r>
        <w:rPr>
          <w:rFonts w:cstheme="minorHAnsi"/>
          <w:i/>
        </w:rPr>
        <w:t xml:space="preserve"> </w:t>
      </w:r>
    </w:p>
    <w:p w:rsidR="00E5249F" w:rsidRDefault="00E5249F" w:rsidP="00E5249F">
      <w:pPr>
        <w:spacing w:after="0"/>
        <w:jc w:val="both"/>
        <w:rPr>
          <w:rFonts w:cstheme="minorHAnsi"/>
        </w:rPr>
      </w:pPr>
      <w:r w:rsidRPr="001E67BA">
        <w:rPr>
          <w:rFonts w:cstheme="minorHAnsi"/>
          <w:b/>
        </w:rPr>
        <w:t xml:space="preserve">JEL Classification: </w:t>
      </w:r>
      <w:r w:rsidRPr="001E67BA">
        <w:rPr>
          <w:rFonts w:cstheme="minorHAnsi"/>
        </w:rPr>
        <w:t>G13, G19</w:t>
      </w:r>
    </w:p>
    <w:p w:rsidR="008E70B7" w:rsidRDefault="00092132" w:rsidP="008E70B7">
      <w:pPr>
        <w:spacing w:after="0"/>
        <w:rPr>
          <w:b/>
        </w:rPr>
      </w:pPr>
      <w:r>
        <w:rPr>
          <w:rFonts w:cstheme="minorHAnsi"/>
          <w:noProof/>
        </w:rPr>
        <mc:AlternateContent>
          <mc:Choice Requires="wps">
            <w:drawing>
              <wp:anchor distT="4294967295" distB="4294967295" distL="114300" distR="114300" simplePos="0" relativeHeight="251661312" behindDoc="0" locked="0" layoutInCell="1" allowOverlap="1">
                <wp:simplePos x="0" y="0"/>
                <wp:positionH relativeFrom="column">
                  <wp:posOffset>-69215</wp:posOffset>
                </wp:positionH>
                <wp:positionV relativeFrom="paragraph">
                  <wp:posOffset>108584</wp:posOffset>
                </wp:positionV>
                <wp:extent cx="6096000" cy="0"/>
                <wp:effectExtent l="0" t="0" r="19050"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45pt,8.55pt" to="474.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hNq4QEAACkEAAAOAAAAZHJzL2Uyb0RvYy54bWysU02P0zAQvSPxHyzfqdMiFYia7qGr5bKC&#10;irI/wOvYjYXtsWzTpP+esfOxu4CQQFysjGfem3nPk93NYA25yBA1uIauVxUl0glotTs39OHr3Zv3&#10;lMTEXcsNONnQq4z0Zv/61a73tdxAB6aVgSCJi3XvG9ql5GvGouik5XEFXjpMKgiWJwzDmbWB98hu&#10;DdtU1Zb1EFofQMgY8fZ2TNJ94VdKivRZqSgTMQ3F2VI5Qzkf88n2O16fA/edFtMY/B+msFw7bLpQ&#10;3fLEyfegf6GyWgSIoNJKgGWglBayaEA16+onNaeOe1m0oDnRLzbF/0crPl2Ogei2oW8pcdziE51S&#10;4PrcJXIA59BACGSdfep9rLH84I4hKxWDO/l7EN8i5tiLZA6iH8sGFWwuR6lkKL5fF9/lkIjAy231&#10;YVtV+DxizjFez0AfYvoowZL80VCjXbaE1/xyH1Nuzeu5JF8bR3pcxM075MtxBKPbO21MCfJayYMJ&#10;5MJxIdJQhCHDsyqMjJsUjSKKnHQ1cuT/IhUahmOvxwYvObkQ0qWZ1ziszjCFEyzAabI/Aaf6DJVl&#10;jf8GvCBKZ3BpAVvtIPxu7Ccr1Fg/OzDqzhY8Qns9hvmxcR+L99O/kxf+eVzgT3/4/gcAAAD//wMA&#10;UEsDBBQABgAIAAAAIQDTIIky2wAAAAkBAAAPAAAAZHJzL2Rvd25yZXYueG1sTI/NTsMwEITvSLyD&#10;tUjcWjuAKAlxqgqpD9CChLi5tvMD9jqynSZ9exZxgNvuzmj2m3q7eMfONqYhoIRiLYBZ1MEM2El4&#10;e92vnoClrNAoF9BKuNgE2+b6qlaVCTMe7PmYO0YhmColoc95rDhPurdepXUYLZLWhuhVpjV23EQ1&#10;U7h3/E6IR+7VgPShV6N96a3+Ok5ewoeY3fSp272+V5d3POz8JrZeytubZfcMLNsl/5nhB5/QoSGm&#10;U5jQJOYkrApRkpWETQGMDOVDScPp98Cbmv9v0HwDAAD//wMAUEsBAi0AFAAGAAgAAAAhALaDOJL+&#10;AAAA4QEAABMAAAAAAAAAAAAAAAAAAAAAAFtDb250ZW50X1R5cGVzXS54bWxQSwECLQAUAAYACAAA&#10;ACEAOP0h/9YAAACUAQAACwAAAAAAAAAAAAAAAAAvAQAAX3JlbHMvLnJlbHNQSwECLQAUAAYACAAA&#10;ACEAUt4TauEBAAApBAAADgAAAAAAAAAAAAAAAAAuAgAAZHJzL2Uyb0RvYy54bWxQSwECLQAUAAYA&#10;CAAAACEA0yCJMtsAAAAJAQAADwAAAAAAAAAAAAAAAAA7BAAAZHJzL2Rvd25yZXYueG1sUEsFBgAA&#10;AAAEAAQA8wAAAEMFAAAAAA==&#10;" strokecolor="black [3213]" strokeweight="1pt">
                <o:lock v:ext="edit" shapetype="f"/>
              </v:line>
            </w:pict>
          </mc:Fallback>
        </mc:AlternateContent>
      </w:r>
    </w:p>
    <w:p w:rsidR="008E70B7" w:rsidRPr="00DA74B0" w:rsidRDefault="008E70B7" w:rsidP="00DA74B0">
      <w:pPr>
        <w:pStyle w:val="ListParagraph"/>
        <w:numPr>
          <w:ilvl w:val="0"/>
          <w:numId w:val="3"/>
        </w:numPr>
        <w:spacing w:after="0"/>
        <w:jc w:val="center"/>
        <w:rPr>
          <w:b/>
        </w:rPr>
      </w:pPr>
      <w:r w:rsidRPr="00DA74B0">
        <w:rPr>
          <w:b/>
        </w:rPr>
        <w:t>INTRODUCTION</w:t>
      </w:r>
    </w:p>
    <w:p w:rsidR="003238CB" w:rsidRDefault="003238CB" w:rsidP="008E70B7">
      <w:pPr>
        <w:spacing w:after="0"/>
        <w:rPr>
          <w:b/>
          <w:i/>
        </w:rPr>
      </w:pPr>
    </w:p>
    <w:p w:rsidR="00E5249F" w:rsidRDefault="00E5249F" w:rsidP="008E70B7">
      <w:pPr>
        <w:spacing w:after="0"/>
        <w:rPr>
          <w:b/>
          <w:i/>
        </w:rPr>
      </w:pPr>
      <w:r>
        <w:rPr>
          <w:b/>
          <w:i/>
        </w:rPr>
        <w:t>Background of Study</w:t>
      </w:r>
    </w:p>
    <w:p w:rsidR="005C4487" w:rsidRDefault="003238CB" w:rsidP="005C4487">
      <w:pPr>
        <w:spacing w:after="0"/>
        <w:jc w:val="both"/>
      </w:pPr>
      <w:r>
        <w:t xml:space="preserve">A Warrant can be defined as a type of investment where the issuer offers an option to the buyers the right but not obligation, to buy new ordinary shares at a predetermined price at any particular point within the given time period. </w:t>
      </w:r>
      <w:r w:rsidR="009E3DBB" w:rsidRPr="009E3DBB">
        <w:t>Subsequently</w:t>
      </w:r>
      <w:r w:rsidR="009E3DBB">
        <w:t xml:space="preserve">, </w:t>
      </w:r>
      <w:r>
        <w:t xml:space="preserve">the definition of warrant is seems closely related to call option particularly in regards of valuation of its fair price where it is common to pricing warrants used the option pricing models, like Black-Scholes option pricing model (BSOPM). Aside from that, warrant is more volatile relative to its underlying stocks. To some extent, warrants offer better potential increase in its value and tend to rise faster in percentage point, rather than its underlying stocks. </w:t>
      </w:r>
    </w:p>
    <w:p w:rsidR="005C4487" w:rsidRDefault="005C4487" w:rsidP="005C4487">
      <w:pPr>
        <w:spacing w:after="0"/>
        <w:jc w:val="both"/>
      </w:pPr>
    </w:p>
    <w:p w:rsidR="00C7586E" w:rsidRDefault="009E3DBB" w:rsidP="005C4487">
      <w:pPr>
        <w:spacing w:after="0"/>
        <w:jc w:val="both"/>
      </w:pPr>
      <w:r>
        <w:t>The Malaysian capital market has such various kinds of instruments at which all instruments have their varying degrees of risks and returns as pertaining to different types of investors. One instrument that has gained popularity since it was introduced in the market is warrant. In addition</w:t>
      </w:r>
      <w:r w:rsidR="00C42646">
        <w:t xml:space="preserve"> to that</w:t>
      </w:r>
      <w:r w:rsidR="003238CB">
        <w:t xml:space="preserve">, warrants are relatively new </w:t>
      </w:r>
      <w:r>
        <w:t xml:space="preserve">relative to others instruments </w:t>
      </w:r>
      <w:r w:rsidR="003238CB">
        <w:t>with first</w:t>
      </w:r>
      <w:r w:rsidR="00C42646">
        <w:t>ly</w:t>
      </w:r>
      <w:r w:rsidR="003238CB">
        <w:t xml:space="preserve"> introduced to the market in 1994. </w:t>
      </w:r>
      <w:r w:rsidR="00C42646">
        <w:t xml:space="preserve">The </w:t>
      </w:r>
      <w:r w:rsidR="003238CB">
        <w:t xml:space="preserve">size of </w:t>
      </w:r>
      <w:r w:rsidR="00C42646">
        <w:t xml:space="preserve">Malaysian </w:t>
      </w:r>
      <w:r w:rsidR="003238CB">
        <w:t xml:space="preserve">warrants </w:t>
      </w:r>
      <w:r w:rsidR="00C42646">
        <w:t xml:space="preserve">are </w:t>
      </w:r>
      <w:r w:rsidR="003238CB">
        <w:t xml:space="preserve">relatively small, thus, </w:t>
      </w:r>
      <w:r w:rsidR="00551ED3">
        <w:t>warrants might be more volatile.</w:t>
      </w:r>
    </w:p>
    <w:p w:rsidR="005C4487" w:rsidRDefault="00026FFD" w:rsidP="005C4487">
      <w:pPr>
        <w:spacing w:after="0"/>
        <w:jc w:val="both"/>
      </w:pPr>
      <w:r>
        <w:t>Apart from that</w:t>
      </w:r>
      <w:r w:rsidR="00C42646">
        <w:t xml:space="preserve">, there are two types of warrants traded on Bursa Malaysia: </w:t>
      </w:r>
      <w:r w:rsidR="00E018A1">
        <w:t xml:space="preserve">structured </w:t>
      </w:r>
      <w:r w:rsidR="00C42646">
        <w:t xml:space="preserve">warrant and company warrant. </w:t>
      </w:r>
      <w:r w:rsidR="00E018A1">
        <w:t xml:space="preserve">Structured </w:t>
      </w:r>
      <w:r w:rsidR="00C42646">
        <w:t>warrant is warrant that issued by third party (</w:t>
      </w:r>
      <w:r w:rsidR="00E018A1">
        <w:t xml:space="preserve">usually issued by </w:t>
      </w:r>
      <w:r w:rsidR="00C42646">
        <w:t xml:space="preserve">investment bank) at which generally cash settled and does not </w:t>
      </w:r>
      <w:r w:rsidR="00E018A1">
        <w:t>dilute the shares being issued when</w:t>
      </w:r>
      <w:r w:rsidR="00C42646">
        <w:t xml:space="preserve"> exercised. </w:t>
      </w:r>
      <w:r w:rsidR="00E018A1">
        <w:t xml:space="preserve">The investment bank issued the warrants for the purposes of an investment tool in order to manage investment portfolio. </w:t>
      </w:r>
      <w:r w:rsidR="00C42646">
        <w:t xml:space="preserve">While company warrant can be defined as warrant that is </w:t>
      </w:r>
      <w:r w:rsidR="00E018A1">
        <w:t xml:space="preserve">issued by </w:t>
      </w:r>
      <w:r w:rsidR="00E018A1">
        <w:lastRenderedPageBreak/>
        <w:t xml:space="preserve">companies for the purposes to generate funds (Yip and </w:t>
      </w:r>
      <w:proofErr w:type="spellStart"/>
      <w:r w:rsidR="00E018A1">
        <w:t>Hooy</w:t>
      </w:r>
      <w:proofErr w:type="spellEnd"/>
      <w:r w:rsidR="00E018A1">
        <w:t>, 2012). The value of its warrants is solely dependent on the value of its underlying stocks. Unlike the structured warrant, at settlement period of company warrants, there is physical delivery of shares.</w:t>
      </w:r>
      <w:r w:rsidR="00131956">
        <w:t xml:space="preserve"> Veld (2003) exhibited that when the warrant exercised, the number of outstanding stocks will be inclined. He further noticed that the maturity of warrant basically has least several years with potentially violating the assumption of constant volatility. </w:t>
      </w:r>
    </w:p>
    <w:p w:rsidR="00BE4842" w:rsidRDefault="00BE4842" w:rsidP="005C4487">
      <w:pPr>
        <w:spacing w:after="0"/>
        <w:jc w:val="both"/>
      </w:pPr>
    </w:p>
    <w:p w:rsidR="00177256" w:rsidRDefault="00BE4842" w:rsidP="00177256">
      <w:pPr>
        <w:spacing w:after="0"/>
        <w:jc w:val="both"/>
        <w:rPr>
          <w:rFonts w:cstheme="minorHAnsi"/>
        </w:rPr>
      </w:pPr>
      <w:r>
        <w:t xml:space="preserve">Subsequently, the warrant listed in Bursa Malaysia give a significant impact on the performance of Bursa Malaysia itself. </w:t>
      </w:r>
      <w:r w:rsidR="00DB5A98">
        <w:t xml:space="preserve">In year 2012, according to CEO of Bursa Malaysia </w:t>
      </w:r>
      <w:proofErr w:type="spellStart"/>
      <w:r w:rsidR="00DB5A98">
        <w:t>Dato</w:t>
      </w:r>
      <w:proofErr w:type="spellEnd"/>
      <w:r w:rsidR="00DB5A98">
        <w:t xml:space="preserve">’ </w:t>
      </w:r>
      <w:proofErr w:type="spellStart"/>
      <w:r w:rsidR="00DB5A98">
        <w:t>Tajudin</w:t>
      </w:r>
      <w:proofErr w:type="spellEnd"/>
      <w:r w:rsidR="00DB5A98">
        <w:t xml:space="preserve"> </w:t>
      </w:r>
      <w:proofErr w:type="spellStart"/>
      <w:r w:rsidR="00DB5A98">
        <w:t>Atan</w:t>
      </w:r>
      <w:proofErr w:type="spellEnd"/>
      <w:r w:rsidR="00DB5A98">
        <w:t xml:space="preserve"> </w:t>
      </w:r>
      <w:r w:rsidR="00760737">
        <w:t>exhibited</w:t>
      </w:r>
      <w:r w:rsidR="00DB5A98">
        <w:t xml:space="preserve"> that t</w:t>
      </w:r>
      <w:r>
        <w:t xml:space="preserve">he steady performance of Bursa Malaysia because of growth in derivative segments and structured warrant listed. </w:t>
      </w:r>
      <w:r w:rsidR="00DB5A98">
        <w:t>In addition, the number of structured warrants listed has inclined from 363 to 551 warrants in the 2011 until 2012</w:t>
      </w:r>
      <w:r w:rsidR="00026FFD">
        <w:t xml:space="preserve"> (source: </w:t>
      </w:r>
      <w:hyperlink r:id="rId10" w:history="1">
        <w:r w:rsidR="00026FFD" w:rsidRPr="000459F3">
          <w:rPr>
            <w:rStyle w:val="Hyperlink"/>
          </w:rPr>
          <w:t>www.world-exchanges.org</w:t>
        </w:r>
      </w:hyperlink>
      <w:r w:rsidR="00026FFD">
        <w:t>)</w:t>
      </w:r>
      <w:r w:rsidR="00760737">
        <w:t xml:space="preserve">. </w:t>
      </w:r>
      <w:r w:rsidR="009604D6">
        <w:t>However</w:t>
      </w:r>
      <w:r w:rsidR="00177256">
        <w:t xml:space="preserve">, </w:t>
      </w:r>
      <w:r w:rsidR="00177256">
        <w:rPr>
          <w:rFonts w:cstheme="minorHAnsi"/>
        </w:rPr>
        <w:t xml:space="preserve">Bursa Malaysia still registered a small number of </w:t>
      </w:r>
      <w:r w:rsidR="00CE5750">
        <w:rPr>
          <w:rFonts w:cstheme="minorHAnsi"/>
        </w:rPr>
        <w:t xml:space="preserve">warrant traded </w:t>
      </w:r>
      <w:r w:rsidR="00177256">
        <w:rPr>
          <w:rFonts w:cstheme="minorHAnsi"/>
        </w:rPr>
        <w:t>and more volatile (with average trading value of US$ 27.2 thousands) from January-October 2013. To some extent, the size of warrant in Bursa Mala</w:t>
      </w:r>
      <w:r w:rsidR="00131956">
        <w:rPr>
          <w:rFonts w:cstheme="minorHAnsi"/>
        </w:rPr>
        <w:t xml:space="preserve">ysia is far behind the size of </w:t>
      </w:r>
      <w:r w:rsidR="00177256">
        <w:rPr>
          <w:rFonts w:cstheme="minorHAnsi"/>
        </w:rPr>
        <w:t xml:space="preserve">warrant traded in Hong Kong Exchanges (with average trading value of US$ 2,926.9 thousands) and Korea Exchanges (with average trading value of US$ 2,311.3 thousands) during same period. Figure 1 below depicts the clear picture about the number of warrant traded in Bursa Malaysia. </w:t>
      </w:r>
    </w:p>
    <w:p w:rsidR="00177256" w:rsidRDefault="00177256" w:rsidP="005C4487">
      <w:pPr>
        <w:spacing w:after="0"/>
        <w:jc w:val="both"/>
        <w:rPr>
          <w:b/>
        </w:rPr>
      </w:pPr>
    </w:p>
    <w:p w:rsidR="00760737" w:rsidRPr="00760737" w:rsidRDefault="00760737" w:rsidP="005C4487">
      <w:pPr>
        <w:spacing w:after="0"/>
        <w:jc w:val="both"/>
        <w:rPr>
          <w:b/>
        </w:rPr>
      </w:pPr>
      <w:proofErr w:type="gramStart"/>
      <w:r w:rsidRPr="00760737">
        <w:rPr>
          <w:b/>
        </w:rPr>
        <w:t>Figure 1.</w:t>
      </w:r>
      <w:proofErr w:type="gramEnd"/>
      <w:r>
        <w:rPr>
          <w:b/>
        </w:rPr>
        <w:t xml:space="preserve"> </w:t>
      </w:r>
      <w:r w:rsidRPr="00760737">
        <w:t>W</w:t>
      </w:r>
      <w:r>
        <w:t>arrant trading Value in Bursa Malaysia 2013</w:t>
      </w:r>
    </w:p>
    <w:p w:rsidR="00760737" w:rsidRDefault="00760737" w:rsidP="005C4487">
      <w:pPr>
        <w:spacing w:after="0"/>
        <w:jc w:val="both"/>
      </w:pPr>
      <w:r w:rsidRPr="00760737">
        <w:rPr>
          <w:noProof/>
        </w:rPr>
        <w:drawing>
          <wp:inline distT="0" distB="0" distL="0" distR="0">
            <wp:extent cx="3878158" cy="1945961"/>
            <wp:effectExtent l="19050" t="0" r="8042"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3875441" cy="1944598"/>
                    </a:xfrm>
                    <a:prstGeom prst="rect">
                      <a:avLst/>
                    </a:prstGeom>
                    <a:noFill/>
                    <a:ln w="9525">
                      <a:noFill/>
                      <a:miter lim="800000"/>
                      <a:headEnd/>
                      <a:tailEnd/>
                    </a:ln>
                  </pic:spPr>
                </pic:pic>
              </a:graphicData>
            </a:graphic>
          </wp:inline>
        </w:drawing>
      </w:r>
    </w:p>
    <w:p w:rsidR="00760737" w:rsidRDefault="00760737" w:rsidP="005C4487">
      <w:pPr>
        <w:spacing w:after="0"/>
        <w:jc w:val="both"/>
      </w:pPr>
      <w:r>
        <w:t>Source: World Federation Exchange (2013)</w:t>
      </w:r>
    </w:p>
    <w:p w:rsidR="00355B04" w:rsidRPr="005C4487" w:rsidRDefault="00355B04" w:rsidP="005C4487">
      <w:pPr>
        <w:spacing w:after="0"/>
        <w:jc w:val="both"/>
      </w:pPr>
    </w:p>
    <w:p w:rsidR="009604D6" w:rsidRDefault="00C7586E" w:rsidP="009604D6">
      <w:pPr>
        <w:spacing w:after="0"/>
        <w:jc w:val="both"/>
        <w:rPr>
          <w:rFonts w:cstheme="minorHAnsi"/>
        </w:rPr>
      </w:pPr>
      <w:r>
        <w:rPr>
          <w:rFonts w:cstheme="minorHAnsi"/>
        </w:rPr>
        <w:t xml:space="preserve">The volatility of the warrants trading value particularly in Malaysian market and the applicability of the BSOPM to warrant pricing, therefore, is an empirical issue to be </w:t>
      </w:r>
      <w:r w:rsidR="00BD4A0E">
        <w:rPr>
          <w:rFonts w:cstheme="minorHAnsi"/>
        </w:rPr>
        <w:t>addressed</w:t>
      </w:r>
      <w:r>
        <w:rPr>
          <w:rFonts w:cstheme="minorHAnsi"/>
        </w:rPr>
        <w:t xml:space="preserve">. Albeit the BSOPM has been widely studied in developed countries, however, empirical studies of BSOPM </w:t>
      </w:r>
      <w:r w:rsidR="00BD4A0E">
        <w:rPr>
          <w:rFonts w:cstheme="minorHAnsi"/>
        </w:rPr>
        <w:t>in emerging markets have been relatively limited. Thus</w:t>
      </w:r>
      <w:r w:rsidR="009604D6">
        <w:rPr>
          <w:rFonts w:cstheme="minorHAnsi"/>
        </w:rPr>
        <w:t xml:space="preserve">, it seems interesting to conducting the empirical research on the warrant mispricing and its determinants. In this regard, we employed some companies in Bursa Malaysia as case study to address this issue. Subsequently, the objectives of this paper can be distinguished into two parts, (1) to investigate the </w:t>
      </w:r>
      <w:r w:rsidR="003A1C5E">
        <w:rPr>
          <w:rFonts w:cstheme="minorHAnsi"/>
        </w:rPr>
        <w:t xml:space="preserve">pricing efficiency </w:t>
      </w:r>
      <w:r w:rsidR="009604D6">
        <w:rPr>
          <w:rFonts w:cstheme="minorHAnsi"/>
        </w:rPr>
        <w:t>of warrant in the Malaysian derivatives market</w:t>
      </w:r>
      <w:r w:rsidR="003A1C5E">
        <w:rPr>
          <w:rFonts w:cstheme="minorHAnsi"/>
        </w:rPr>
        <w:t xml:space="preserve"> by employing BSOPM. (2) Testing </w:t>
      </w:r>
      <w:r w:rsidR="009604D6">
        <w:rPr>
          <w:rFonts w:cstheme="minorHAnsi"/>
        </w:rPr>
        <w:t xml:space="preserve">the impact of variables selected such as </w:t>
      </w:r>
      <w:proofErr w:type="spellStart"/>
      <w:r w:rsidR="009604D6">
        <w:rPr>
          <w:rFonts w:cstheme="minorHAnsi"/>
        </w:rPr>
        <w:t>moneyness</w:t>
      </w:r>
      <w:proofErr w:type="spellEnd"/>
      <w:r w:rsidR="009604D6">
        <w:rPr>
          <w:rFonts w:cstheme="minorHAnsi"/>
        </w:rPr>
        <w:t xml:space="preserve">, stock return, maturity, and volatility on the mispricing of warrant. The paper contributes to the literature by investigating the </w:t>
      </w:r>
      <w:r w:rsidR="003A1C5E">
        <w:rPr>
          <w:rFonts w:cstheme="minorHAnsi"/>
        </w:rPr>
        <w:t xml:space="preserve">determinants of warrant mispricing </w:t>
      </w:r>
      <w:r w:rsidR="009604D6">
        <w:rPr>
          <w:rFonts w:cstheme="minorHAnsi"/>
        </w:rPr>
        <w:t>since empirical works on this topic are relatively limited</w:t>
      </w:r>
      <w:r w:rsidR="003A1C5E">
        <w:rPr>
          <w:rFonts w:cstheme="minorHAnsi"/>
        </w:rPr>
        <w:t xml:space="preserve"> particularly in Malaysia derivatives market</w:t>
      </w:r>
      <w:r w:rsidR="009604D6">
        <w:rPr>
          <w:rFonts w:cstheme="minorHAnsi"/>
        </w:rPr>
        <w:t xml:space="preserve">. Our findings, in turn, perhaps might be further enriching our understanding of warrant market behavior and its relation </w:t>
      </w:r>
      <w:r w:rsidR="009604D6">
        <w:rPr>
          <w:rFonts w:cstheme="minorHAnsi"/>
        </w:rPr>
        <w:lastRenderedPageBreak/>
        <w:t xml:space="preserve">with underlying. </w:t>
      </w:r>
      <w:r w:rsidR="003A1C5E">
        <w:rPr>
          <w:rFonts w:cstheme="minorHAnsi"/>
        </w:rPr>
        <w:t xml:space="preserve">This paper perhaps might give an exposure to the investors in regards with the investment decision on the warrant instrument. </w:t>
      </w:r>
    </w:p>
    <w:p w:rsidR="009604D6" w:rsidRDefault="009604D6" w:rsidP="009604D6">
      <w:pPr>
        <w:spacing w:after="0"/>
        <w:jc w:val="both"/>
        <w:rPr>
          <w:rFonts w:cstheme="minorHAnsi"/>
        </w:rPr>
      </w:pPr>
    </w:p>
    <w:p w:rsidR="009604D6" w:rsidRDefault="009604D6" w:rsidP="009604D6">
      <w:pPr>
        <w:spacing w:after="0"/>
        <w:jc w:val="both"/>
        <w:rPr>
          <w:rFonts w:cstheme="minorHAnsi"/>
        </w:rPr>
      </w:pPr>
      <w:r>
        <w:rPr>
          <w:rFonts w:cstheme="minorHAnsi"/>
        </w:rPr>
        <w:t>The rest of this paper is organized as follows. The next section provides the literature review on</w:t>
      </w:r>
      <w:r w:rsidR="00262E3C">
        <w:rPr>
          <w:rFonts w:cstheme="minorHAnsi"/>
        </w:rPr>
        <w:t xml:space="preserve"> theoretical and empirical studies</w:t>
      </w:r>
      <w:r>
        <w:rPr>
          <w:rFonts w:cstheme="minorHAnsi"/>
        </w:rPr>
        <w:t xml:space="preserve"> on the warrant </w:t>
      </w:r>
      <w:r w:rsidR="003A1C5E">
        <w:rPr>
          <w:rFonts w:cstheme="minorHAnsi"/>
        </w:rPr>
        <w:t>mispricing</w:t>
      </w:r>
      <w:r>
        <w:rPr>
          <w:rFonts w:cstheme="minorHAnsi"/>
        </w:rPr>
        <w:t xml:space="preserve">. The third section describes the data and methodology employed in this study. The fourth section discusses and elaborates the empirical findings and discussion. Finally, the last section exhibit conclusions of study. </w:t>
      </w:r>
    </w:p>
    <w:p w:rsidR="009604D6" w:rsidRPr="009604D6" w:rsidRDefault="009604D6" w:rsidP="008E70B7">
      <w:pPr>
        <w:spacing w:after="0"/>
      </w:pPr>
    </w:p>
    <w:p w:rsidR="008E70B7" w:rsidRPr="00DA74B0" w:rsidRDefault="008E70B7" w:rsidP="00DA74B0">
      <w:pPr>
        <w:pStyle w:val="ListParagraph"/>
        <w:numPr>
          <w:ilvl w:val="0"/>
          <w:numId w:val="3"/>
        </w:numPr>
        <w:spacing w:after="0"/>
        <w:jc w:val="center"/>
        <w:rPr>
          <w:b/>
        </w:rPr>
      </w:pPr>
      <w:r w:rsidRPr="00DA74B0">
        <w:rPr>
          <w:b/>
        </w:rPr>
        <w:t>LITERATURE REVIEW</w:t>
      </w:r>
    </w:p>
    <w:p w:rsidR="003238CB" w:rsidRDefault="003238CB" w:rsidP="008E70B7">
      <w:pPr>
        <w:spacing w:after="0"/>
        <w:rPr>
          <w:b/>
          <w:i/>
        </w:rPr>
      </w:pPr>
    </w:p>
    <w:p w:rsidR="00E5249F" w:rsidRDefault="00E5249F" w:rsidP="008E70B7">
      <w:pPr>
        <w:spacing w:after="0"/>
        <w:rPr>
          <w:b/>
          <w:i/>
        </w:rPr>
      </w:pPr>
      <w:r>
        <w:rPr>
          <w:b/>
          <w:i/>
        </w:rPr>
        <w:t>Theoretical Framework</w:t>
      </w:r>
    </w:p>
    <w:p w:rsidR="007F73B8" w:rsidRDefault="004D1F30" w:rsidP="00DA74B0">
      <w:pPr>
        <w:spacing w:after="0"/>
        <w:jc w:val="both"/>
      </w:pPr>
      <w:r>
        <w:t xml:space="preserve">Black and Scholes (1973) </w:t>
      </w:r>
      <w:r w:rsidR="00A41D06">
        <w:t>determine</w:t>
      </w:r>
      <w:r>
        <w:t xml:space="preserve"> the price for a call option on a non-dividend paying share of common stock</w:t>
      </w:r>
      <w:r w:rsidR="00506659">
        <w:t xml:space="preserve">, </w:t>
      </w:r>
      <w:r w:rsidR="00BC41FB">
        <w:t xml:space="preserve">which is commonly </w:t>
      </w:r>
      <w:r w:rsidR="00506659">
        <w:t>known as Black-Scholes option pricing model (BSOPM)</w:t>
      </w:r>
      <w:r>
        <w:t>:</w:t>
      </w:r>
    </w:p>
    <w:p w:rsidR="004D1F30" w:rsidRPr="00A41D06" w:rsidRDefault="004D1F30" w:rsidP="008E70B7">
      <w:pPr>
        <w:spacing w:after="0"/>
        <w:rPr>
          <w:rFonts w:cstheme="minorHAnsi"/>
        </w:rPr>
      </w:pPr>
      <m:oMathPara>
        <m:oMath>
          <m:r>
            <w:rPr>
              <w:rFonts w:ascii="Cambria Math" w:hAnsi="Cambria Math" w:cstheme="minorHAnsi"/>
            </w:rPr>
            <m:t>C</m:t>
          </m:r>
          <m:r>
            <w:rPr>
              <w:rFonts w:ascii="Cambria Math" w:cstheme="minorHAnsi"/>
            </w:rPr>
            <m:t>=</m:t>
          </m:r>
          <m:r>
            <w:rPr>
              <w:rFonts w:ascii="Cambria Math" w:hAnsi="Cambria Math" w:cstheme="minorHAnsi"/>
            </w:rPr>
            <m:t>SN</m:t>
          </m:r>
          <m:r>
            <w:rPr>
              <w:rFonts w:ascii="Cambria Math" w:cstheme="minorHAnsi"/>
            </w:rPr>
            <m:t xml:space="preserve"> </m:t>
          </m:r>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d</m:t>
                  </m:r>
                </m:e>
                <m:sub>
                  <m:r>
                    <w:rPr>
                      <w:rFonts w:ascii="Cambria Math" w:cstheme="minorHAnsi"/>
                    </w:rPr>
                    <m:t>1</m:t>
                  </m:r>
                </m:sub>
              </m:sSub>
            </m:e>
          </m:d>
          <m:r>
            <w:rPr>
              <w:rFonts w:ascii="Cambria Math" w:hAnsi="Cambria Math" w:cstheme="minorHAnsi"/>
            </w:rPr>
            <m:t>-</m:t>
          </m:r>
          <m:r>
            <w:rPr>
              <w:rFonts w:ascii="Cambria Math" w:cstheme="minorHAnsi"/>
            </w:rPr>
            <m:t xml:space="preserve"> </m:t>
          </m:r>
          <m:r>
            <w:rPr>
              <w:rFonts w:ascii="Cambria Math" w:hAnsi="Cambria Math" w:cstheme="minorHAnsi"/>
            </w:rPr>
            <m:t>K</m:t>
          </m:r>
          <m:r>
            <w:rPr>
              <w:rFonts w:ascii="Cambria Math" w:cstheme="minorHAnsi"/>
            </w:rPr>
            <m:t xml:space="preserve"> </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-rT</m:t>
              </m:r>
            </m:sup>
          </m:sSup>
          <m:r>
            <w:rPr>
              <w:rFonts w:ascii="Cambria Math" w:hAnsi="Cambria Math" w:cstheme="minorHAnsi"/>
            </w:rPr>
            <m:t>N</m:t>
          </m:r>
          <m:r>
            <w:rPr>
              <w:rFonts w:ascii="Cambria Math" w:cstheme="minorHAnsi"/>
            </w:rPr>
            <m:t>(</m:t>
          </m:r>
          <m:sSub>
            <m:sSubPr>
              <m:ctrlPr>
                <w:rPr>
                  <w:rFonts w:ascii="Cambria Math" w:hAnsi="Cambria Math" w:cstheme="minorHAnsi"/>
                  <w:i/>
                </w:rPr>
              </m:ctrlPr>
            </m:sSubPr>
            <m:e>
              <m:r>
                <w:rPr>
                  <w:rFonts w:ascii="Cambria Math" w:hAnsi="Cambria Math" w:cstheme="minorHAnsi"/>
                </w:rPr>
                <m:t>d</m:t>
              </m:r>
            </m:e>
            <m:sub>
              <m:r>
                <w:rPr>
                  <w:rFonts w:ascii="Cambria Math" w:cstheme="minorHAnsi"/>
                </w:rPr>
                <m:t>2</m:t>
              </m:r>
            </m:sub>
          </m:sSub>
          <m:r>
            <w:rPr>
              <w:rFonts w:ascii="Cambria Math" w:cstheme="minorHAnsi"/>
            </w:rPr>
            <m:t>)</m:t>
          </m:r>
        </m:oMath>
      </m:oMathPara>
    </w:p>
    <w:p w:rsidR="00A41D06" w:rsidRPr="00A41D06" w:rsidRDefault="00A41D06" w:rsidP="008E70B7">
      <w:pPr>
        <w:spacing w:after="0"/>
        <w:rPr>
          <w:rFonts w:cstheme="minorHAnsi"/>
        </w:rPr>
      </w:pPr>
    </w:p>
    <w:p w:rsidR="00A41D06" w:rsidRPr="00A41D06" w:rsidRDefault="00A7745D" w:rsidP="008E70B7">
      <w:pPr>
        <w:spacing w:after="0"/>
        <w:rPr>
          <w:rFonts w:cstheme="minorHAnsi"/>
        </w:rPr>
      </w:pPr>
      <m:oMathPara>
        <m:oMath>
          <m:sSub>
            <m:sSubPr>
              <m:ctrlPr>
                <w:rPr>
                  <w:rFonts w:ascii="Cambria Math" w:hAnsi="Cambria Math" w:cstheme="minorHAnsi"/>
                  <w:i/>
                </w:rPr>
              </m:ctrlPr>
            </m:sSubPr>
            <m:e>
              <m:r>
                <w:rPr>
                  <w:rFonts w:ascii="Cambria Math" w:hAnsi="Cambria Math" w:cstheme="minorHAnsi"/>
                </w:rPr>
                <m:t>d</m:t>
              </m:r>
            </m:e>
            <m:sub>
              <m:r>
                <w:rPr>
                  <w:rFonts w:ascii="Cambria Math" w:cstheme="minorHAnsi"/>
                </w:rPr>
                <m:t>1</m:t>
              </m:r>
            </m:sub>
          </m:sSub>
          <m:r>
            <w:rPr>
              <w:rFonts w:ascii="Cambria Math" w:cstheme="minorHAnsi"/>
            </w:rPr>
            <m:t xml:space="preserve">= </m:t>
          </m:r>
          <m:f>
            <m:fPr>
              <m:ctrlPr>
                <w:rPr>
                  <w:rFonts w:ascii="Cambria Math" w:hAnsi="Cambria Math" w:cstheme="minorHAnsi"/>
                  <w:i/>
                </w:rPr>
              </m:ctrlPr>
            </m:fPr>
            <m:num>
              <m:func>
                <m:funcPr>
                  <m:ctrlPr>
                    <w:rPr>
                      <w:rFonts w:ascii="Cambria Math" w:hAnsi="Cambria Math" w:cstheme="minorHAnsi"/>
                      <w:i/>
                    </w:rPr>
                  </m:ctrlPr>
                </m:funcPr>
                <m:fName>
                  <m:r>
                    <m:rPr>
                      <m:sty m:val="p"/>
                    </m:rPr>
                    <w:rPr>
                      <w:rFonts w:ascii="Cambria Math" w:cstheme="minorHAnsi"/>
                    </w:rPr>
                    <m:t>ln</m:t>
                  </m:r>
                </m:fName>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S</m:t>
                          </m:r>
                        </m:num>
                        <m:den>
                          <m:r>
                            <w:rPr>
                              <w:rFonts w:ascii="Cambria Math" w:hAnsi="Cambria Math" w:cstheme="minorHAnsi"/>
                            </w:rPr>
                            <m:t>K</m:t>
                          </m:r>
                        </m:den>
                      </m:f>
                    </m:e>
                  </m:d>
                  <m:r>
                    <w:rPr>
                      <w:rFonts w:ascii="Cambria Math" w:cstheme="minorHAnsi"/>
                    </w:rPr>
                    <m:t>+ [</m:t>
                  </m:r>
                  <m:r>
                    <w:rPr>
                      <w:rFonts w:ascii="Cambria Math" w:hAnsi="Cambria Math" w:cstheme="minorHAnsi"/>
                    </w:rPr>
                    <m:t>r</m:t>
                  </m:r>
                  <m:r>
                    <w:rPr>
                      <w:rFonts w:ascii="Cambria Math" w:cstheme="minorHAnsi"/>
                    </w:rPr>
                    <m:t xml:space="preserve">+ </m:t>
                  </m:r>
                  <m:sSup>
                    <m:sSupPr>
                      <m:ctrlPr>
                        <w:rPr>
                          <w:rFonts w:ascii="Cambria Math" w:hAnsi="Cambria Math" w:cstheme="minorHAnsi"/>
                          <w:i/>
                        </w:rPr>
                      </m:ctrlPr>
                    </m:sSupPr>
                    <m:e>
                      <m:r>
                        <w:rPr>
                          <w:rFonts w:ascii="Cambria Math" w:hAnsi="Cambria Math" w:cstheme="minorHAnsi"/>
                        </w:rPr>
                        <m:t>(σ</m:t>
                      </m:r>
                    </m:e>
                    <m:sup>
                      <m:r>
                        <w:rPr>
                          <w:rFonts w:ascii="Cambria Math" w:cstheme="minorHAnsi"/>
                        </w:rPr>
                        <m:t>2</m:t>
                      </m:r>
                    </m:sup>
                  </m:sSup>
                  <m:r>
                    <w:rPr>
                      <w:rFonts w:ascii="Cambria Math" w:cstheme="minorHAnsi"/>
                    </w:rPr>
                    <m:t>/2)]</m:t>
                  </m:r>
                  <m:r>
                    <w:rPr>
                      <w:rFonts w:ascii="Cambria Math" w:hAnsi="Cambria Math" w:cstheme="minorHAnsi"/>
                    </w:rPr>
                    <m:t>T</m:t>
                  </m:r>
                </m:e>
              </m:func>
            </m:num>
            <m:den>
              <m:r>
                <w:rPr>
                  <w:rFonts w:ascii="Cambria Math" w:hAnsi="Cambria Math" w:cstheme="minorHAnsi"/>
                </w:rPr>
                <m:t>σ</m:t>
              </m:r>
              <m:rad>
                <m:radPr>
                  <m:degHide m:val="1"/>
                  <m:ctrlPr>
                    <w:rPr>
                      <w:rFonts w:ascii="Cambria Math" w:hAnsi="Cambria Math" w:cstheme="minorHAnsi"/>
                      <w:i/>
                    </w:rPr>
                  </m:ctrlPr>
                </m:radPr>
                <m:deg/>
                <m:e>
                  <m:r>
                    <w:rPr>
                      <w:rFonts w:ascii="Cambria Math" w:hAnsi="Cambria Math" w:cstheme="minorHAnsi"/>
                    </w:rPr>
                    <m:t>T</m:t>
                  </m:r>
                </m:e>
              </m:rad>
            </m:den>
          </m:f>
        </m:oMath>
      </m:oMathPara>
    </w:p>
    <w:p w:rsidR="00A41D06" w:rsidRPr="00A41D06" w:rsidRDefault="00A41D06" w:rsidP="008E70B7">
      <w:pPr>
        <w:spacing w:after="0"/>
        <w:rPr>
          <w:rFonts w:cstheme="minorHAnsi"/>
        </w:rPr>
      </w:pPr>
    </w:p>
    <w:p w:rsidR="00A41D06" w:rsidRDefault="00A7745D" w:rsidP="008E70B7">
      <w:pPr>
        <w:spacing w:after="0"/>
      </w:pPr>
      <m:oMathPara>
        <m:oMath>
          <m:sSub>
            <m:sSubPr>
              <m:ctrlPr>
                <w:rPr>
                  <w:rFonts w:ascii="Cambria Math" w:hAnsi="Cambria Math" w:cstheme="minorHAnsi"/>
                  <w:i/>
                </w:rPr>
              </m:ctrlPr>
            </m:sSubPr>
            <m:e>
              <m:r>
                <w:rPr>
                  <w:rFonts w:ascii="Cambria Math" w:hAnsi="Cambria Math" w:cstheme="minorHAnsi"/>
                </w:rPr>
                <m:t>d</m:t>
              </m:r>
            </m:e>
            <m:sub>
              <m:r>
                <w:rPr>
                  <w:rFonts w:ascii="Cambria Math" w:cstheme="minorHAnsi"/>
                </w:rPr>
                <m:t>2</m:t>
              </m:r>
            </m:sub>
          </m:sSub>
          <m:r>
            <w:rPr>
              <w:rFonts w:ascii="Cambria Math" w:cstheme="minorHAnsi"/>
            </w:rPr>
            <m:t xml:space="preserve">= </m:t>
          </m:r>
          <m:sSub>
            <m:sSubPr>
              <m:ctrlPr>
                <w:rPr>
                  <w:rFonts w:ascii="Cambria Math" w:hAnsi="Cambria Math" w:cstheme="minorHAnsi"/>
                  <w:i/>
                </w:rPr>
              </m:ctrlPr>
            </m:sSubPr>
            <m:e>
              <m:r>
                <w:rPr>
                  <w:rFonts w:ascii="Cambria Math" w:hAnsi="Cambria Math" w:cstheme="minorHAnsi"/>
                </w:rPr>
                <m:t>d</m:t>
              </m:r>
            </m:e>
            <m:sub>
              <m:r>
                <w:rPr>
                  <w:rFonts w:ascii="Cambria Math" w:cstheme="minorHAnsi"/>
                </w:rPr>
                <m:t>1</m:t>
              </m:r>
            </m:sub>
          </m:sSub>
          <m:r>
            <w:rPr>
              <w:rFonts w:ascii="Cambria Math" w:hAnsi="Cambria Math" w:cstheme="minorHAnsi"/>
            </w:rPr>
            <m:t>-</m:t>
          </m:r>
          <m:r>
            <w:rPr>
              <w:rFonts w:ascii="Cambria Math" w:cstheme="minorHAnsi"/>
            </w:rPr>
            <m:t xml:space="preserve"> σ</m:t>
          </m:r>
          <m:rad>
            <m:radPr>
              <m:degHide m:val="1"/>
              <m:ctrlPr>
                <w:rPr>
                  <w:rFonts w:ascii="Cambria Math" w:hAnsi="Cambria Math" w:cstheme="minorHAnsi"/>
                  <w:i/>
                </w:rPr>
              </m:ctrlPr>
            </m:radPr>
            <m:deg/>
            <m:e>
              <m:r>
                <w:rPr>
                  <w:rFonts w:ascii="Cambria Math" w:hAnsi="Cambria Math" w:cstheme="minorHAnsi"/>
                </w:rPr>
                <m:t>T-t</m:t>
              </m:r>
            </m:e>
          </m:rad>
        </m:oMath>
      </m:oMathPara>
    </w:p>
    <w:p w:rsidR="00A41D06" w:rsidRDefault="00290F0A" w:rsidP="00290F0A">
      <w:pPr>
        <w:spacing w:after="0"/>
        <w:jc w:val="both"/>
      </w:pPr>
      <w:r>
        <w:t xml:space="preserve">where </w:t>
      </w:r>
      <w:r w:rsidR="00A41D06">
        <w:t>C is the call option value, S is the spot price of underlying asset, K is exercise price of call option</w:t>
      </w:r>
      <w:r>
        <w:t xml:space="preserve">, T is time to expiration (as % of year), </w:t>
      </w:r>
      <w:proofErr w:type="spellStart"/>
      <w:r>
        <w:t>r</w:t>
      </w:r>
      <w:proofErr w:type="spellEnd"/>
      <w:r>
        <w:t xml:space="preserve"> is risk-free (</w:t>
      </w:r>
      <w:proofErr w:type="spellStart"/>
      <w:r w:rsidRPr="00290F0A">
        <w:rPr>
          <w:i/>
        </w:rPr>
        <w:t>rf</w:t>
      </w:r>
      <w:proofErr w:type="spellEnd"/>
      <w:r>
        <w:t>) interest rate, e</w:t>
      </w:r>
      <w:r w:rsidRPr="00290F0A">
        <w:rPr>
          <w:vertAlign w:val="superscript"/>
        </w:rPr>
        <w:t>-</w:t>
      </w:r>
      <w:proofErr w:type="spellStart"/>
      <w:r w:rsidRPr="00290F0A">
        <w:rPr>
          <w:vertAlign w:val="superscript"/>
        </w:rPr>
        <w:t>rt</w:t>
      </w:r>
      <w:proofErr w:type="spellEnd"/>
      <w:r>
        <w:t xml:space="preserve"> is the exponential function of </w:t>
      </w:r>
      <w:proofErr w:type="spellStart"/>
      <w:r w:rsidRPr="00290F0A">
        <w:rPr>
          <w:i/>
        </w:rPr>
        <w:t>rf</w:t>
      </w:r>
      <w:proofErr w:type="spellEnd"/>
      <w:r>
        <w:t xml:space="preserve"> and T, N(.) is cumulative standard normal distribution function, </w:t>
      </w:r>
      <m:oMath>
        <m:r>
          <w:rPr>
            <w:rFonts w:ascii="Cambria Math" w:hAnsi="Cambria Math" w:cstheme="minorHAnsi"/>
          </w:rPr>
          <m:t>σ</m:t>
        </m:r>
      </m:oMath>
      <w:r>
        <w:t xml:space="preserve"> is volatility of underlying asset as measured by standard deviation of the logarithmic stock return, and ln S/K is the natural logarithm of S/K. </w:t>
      </w:r>
    </w:p>
    <w:p w:rsidR="00506659" w:rsidRDefault="00506659" w:rsidP="00290F0A">
      <w:pPr>
        <w:spacing w:after="0"/>
        <w:jc w:val="both"/>
      </w:pPr>
    </w:p>
    <w:p w:rsidR="00506659" w:rsidRDefault="00BC41FB" w:rsidP="00290F0A">
      <w:pPr>
        <w:spacing w:after="0"/>
        <w:jc w:val="both"/>
      </w:pPr>
      <w:r>
        <w:t xml:space="preserve">The </w:t>
      </w:r>
      <w:r w:rsidR="00506659">
        <w:t xml:space="preserve">BSOPM is aimed to determine the call option value. In regards with warrant instrument, in turn, some adjustment required for pricing the warrant. The formula to calculate the warrant pricing given as follows: </w:t>
      </w:r>
    </w:p>
    <w:p w:rsidR="00506659" w:rsidRDefault="00506659" w:rsidP="00290F0A">
      <w:pPr>
        <w:spacing w:after="0"/>
        <w:jc w:val="both"/>
      </w:pPr>
      <m:oMathPara>
        <m:oMath>
          <m:r>
            <w:rPr>
              <w:rFonts w:ascii="Cambria Math" w:hAnsi="Cambria Math"/>
            </w:rPr>
            <m:t xml:space="preserve">W= </m:t>
          </m:r>
          <m:f>
            <m:fPr>
              <m:ctrlPr>
                <w:rPr>
                  <w:rFonts w:ascii="Cambria Math" w:hAnsi="Cambria Math"/>
                  <w:i/>
                </w:rPr>
              </m:ctrlPr>
            </m:fPr>
            <m:num>
              <m:r>
                <w:rPr>
                  <w:rFonts w:ascii="Cambria Math" w:hAnsi="Cambria Math"/>
                </w:rPr>
                <m:t>N</m:t>
              </m:r>
            </m:num>
            <m:den>
              <m:f>
                <m:fPr>
                  <m:ctrlPr>
                    <w:rPr>
                      <w:rFonts w:ascii="Cambria Math" w:hAnsi="Cambria Math"/>
                      <w:i/>
                    </w:rPr>
                  </m:ctrlPr>
                </m:fPr>
                <m:num>
                  <m:r>
                    <w:rPr>
                      <w:rFonts w:ascii="Cambria Math" w:hAnsi="Cambria Math"/>
                    </w:rPr>
                    <m:t>N</m:t>
                  </m:r>
                </m:num>
                <m:den>
                  <m:r>
                    <w:rPr>
                      <w:rFonts w:ascii="Cambria Math" w:hAnsi="Cambria Math"/>
                    </w:rPr>
                    <m:t>Y</m:t>
                  </m:r>
                </m:den>
              </m:f>
              <m:r>
                <w:rPr>
                  <w:rFonts w:ascii="Cambria Math" w:hAnsi="Cambria Math"/>
                </w:rPr>
                <m:t>+ m</m:t>
              </m:r>
            </m:den>
          </m:f>
          <m:r>
            <w:rPr>
              <w:rFonts w:ascii="Cambria Math" w:hAnsi="Cambria Math"/>
            </w:rPr>
            <m:t xml:space="preserve"> x C</m:t>
          </m:r>
        </m:oMath>
      </m:oMathPara>
    </w:p>
    <w:p w:rsidR="00BC41FB" w:rsidRDefault="00506659" w:rsidP="00290F0A">
      <w:pPr>
        <w:spacing w:after="0"/>
        <w:jc w:val="both"/>
      </w:pPr>
      <w:r>
        <w:t xml:space="preserve">Where w is the value of warrant, N is total number of shares outstanding, Y as the conversion ratio of warrant, in this particular study, the conversion ration should be equal to 1 whereby 1 warrant has the right to be converted into 1 share. M is total number of warrants outstanding, and C is call value. </w:t>
      </w:r>
    </w:p>
    <w:p w:rsidR="00BC41FB" w:rsidRDefault="00BC41FB" w:rsidP="00290F0A">
      <w:pPr>
        <w:spacing w:after="0"/>
        <w:jc w:val="both"/>
      </w:pPr>
      <w:r>
        <w:t>Subsequently, there are several assumptions holds under BSOPM:</w:t>
      </w:r>
    </w:p>
    <w:p w:rsidR="00BC41FB" w:rsidRDefault="00BC41FB" w:rsidP="00BC41FB">
      <w:pPr>
        <w:pStyle w:val="ListParagraph"/>
        <w:numPr>
          <w:ilvl w:val="0"/>
          <w:numId w:val="2"/>
        </w:numPr>
        <w:spacing w:after="0"/>
        <w:jc w:val="both"/>
      </w:pPr>
      <w:r>
        <w:t>Existence of efficient market and no attrition trading</w:t>
      </w:r>
    </w:p>
    <w:p w:rsidR="00BC41FB" w:rsidRDefault="00BC41FB" w:rsidP="00BC41FB">
      <w:pPr>
        <w:pStyle w:val="ListParagraph"/>
        <w:numPr>
          <w:ilvl w:val="0"/>
          <w:numId w:val="2"/>
        </w:numPr>
        <w:spacing w:after="0"/>
        <w:jc w:val="both"/>
      </w:pPr>
      <w:r>
        <w:t>There is no transaction cost</w:t>
      </w:r>
    </w:p>
    <w:p w:rsidR="00BC41FB" w:rsidRDefault="00BC41FB" w:rsidP="00BC41FB">
      <w:pPr>
        <w:pStyle w:val="ListParagraph"/>
        <w:numPr>
          <w:ilvl w:val="0"/>
          <w:numId w:val="2"/>
        </w:numPr>
        <w:spacing w:after="0"/>
        <w:jc w:val="both"/>
      </w:pPr>
      <w:r>
        <w:t>The option model follows the European style which basically means that it can be exercised only at its maturity</w:t>
      </w:r>
    </w:p>
    <w:p w:rsidR="00BC41FB" w:rsidRDefault="00BC41FB" w:rsidP="00BC41FB">
      <w:pPr>
        <w:pStyle w:val="ListParagraph"/>
        <w:numPr>
          <w:ilvl w:val="0"/>
          <w:numId w:val="2"/>
        </w:numPr>
        <w:spacing w:after="0"/>
        <w:jc w:val="both"/>
      </w:pPr>
      <w:r>
        <w:t>There is no dividend required when the maturity of an option occurred</w:t>
      </w:r>
    </w:p>
    <w:p w:rsidR="00BC41FB" w:rsidRDefault="00BC41FB" w:rsidP="00BC41FB">
      <w:pPr>
        <w:pStyle w:val="ListParagraph"/>
        <w:numPr>
          <w:ilvl w:val="0"/>
          <w:numId w:val="2"/>
        </w:numPr>
        <w:spacing w:after="0"/>
        <w:jc w:val="both"/>
      </w:pPr>
      <w:r>
        <w:t>The logarithm of stock returns are normally distributed</w:t>
      </w:r>
    </w:p>
    <w:p w:rsidR="00BC41FB" w:rsidRDefault="00BC41FB" w:rsidP="00BC41FB">
      <w:pPr>
        <w:pStyle w:val="ListParagraph"/>
        <w:numPr>
          <w:ilvl w:val="0"/>
          <w:numId w:val="2"/>
        </w:numPr>
        <w:spacing w:after="0"/>
        <w:jc w:val="both"/>
      </w:pPr>
      <w:r>
        <w:t>The risk free rate steady the same upon the maturity of the option</w:t>
      </w:r>
    </w:p>
    <w:p w:rsidR="00BC41FB" w:rsidRDefault="00BC41FB" w:rsidP="00BC41FB">
      <w:pPr>
        <w:pStyle w:val="ListParagraph"/>
        <w:numPr>
          <w:ilvl w:val="0"/>
          <w:numId w:val="2"/>
        </w:numPr>
        <w:spacing w:after="0"/>
        <w:jc w:val="both"/>
      </w:pPr>
      <w:r>
        <w:t xml:space="preserve">There is constant volatility of the underlying stock over the maturity of option. </w:t>
      </w:r>
    </w:p>
    <w:p w:rsidR="00BC41FB" w:rsidRPr="00BC41FB" w:rsidRDefault="00BC41FB" w:rsidP="00BC41FB">
      <w:pPr>
        <w:pStyle w:val="ListParagraph"/>
        <w:spacing w:after="0"/>
        <w:jc w:val="both"/>
      </w:pPr>
    </w:p>
    <w:p w:rsidR="00506659" w:rsidRDefault="00BC41FB" w:rsidP="00290F0A">
      <w:pPr>
        <w:spacing w:after="0"/>
        <w:jc w:val="both"/>
      </w:pPr>
      <w:r>
        <w:lastRenderedPageBreak/>
        <w:t>Subsequently, t</w:t>
      </w:r>
      <w:r w:rsidR="00506659">
        <w:t xml:space="preserve">o find the mispricing of warrant </w:t>
      </w:r>
      <w:r w:rsidR="001B15AA">
        <w:t>or the warrant efficiency, the formula given as follows:</w:t>
      </w:r>
    </w:p>
    <w:p w:rsidR="001B15AA" w:rsidRDefault="001B15AA" w:rsidP="00290F0A">
      <w:pPr>
        <w:spacing w:after="0"/>
        <w:jc w:val="both"/>
      </w:pPr>
      <m:oMathPara>
        <m:oMath>
          <m:r>
            <w:rPr>
              <w:rFonts w:ascii="Cambria Math" w:hAnsi="Cambria Math"/>
            </w:rPr>
            <m:t>% daily mispricing=ln</m:t>
          </m:r>
          <m:f>
            <m:fPr>
              <m:ctrlPr>
                <w:rPr>
                  <w:rFonts w:ascii="Cambria Math" w:hAnsi="Cambria Math"/>
                  <w:i/>
                </w:rPr>
              </m:ctrlPr>
            </m:fPr>
            <m:num>
              <m:r>
                <w:rPr>
                  <w:rFonts w:ascii="Cambria Math" w:hAnsi="Cambria Math"/>
                </w:rPr>
                <m:t>Ri</m:t>
              </m:r>
            </m:num>
            <m:den>
              <m:r>
                <w:rPr>
                  <w:rFonts w:ascii="Cambria Math" w:hAnsi="Cambria Math"/>
                </w:rPr>
                <m:t>R*</m:t>
              </m:r>
            </m:den>
          </m:f>
          <m:r>
            <w:rPr>
              <w:rFonts w:ascii="Cambria Math" w:hAnsi="Cambria Math"/>
            </w:rPr>
            <m:t xml:space="preserve"> .100</m:t>
          </m:r>
        </m:oMath>
      </m:oMathPara>
    </w:p>
    <w:p w:rsidR="001B15AA" w:rsidRDefault="001B15AA" w:rsidP="00290F0A">
      <w:pPr>
        <w:spacing w:after="0"/>
        <w:jc w:val="both"/>
      </w:pPr>
      <w:r>
        <w:t xml:space="preserve">Where </w:t>
      </w:r>
      <w:proofErr w:type="spellStart"/>
      <w:proofErr w:type="gramStart"/>
      <w:r>
        <w:t>R</w:t>
      </w:r>
      <w:r w:rsidRPr="00BC41FB">
        <w:rPr>
          <w:vertAlign w:val="subscript"/>
        </w:rPr>
        <w:t>i</w:t>
      </w:r>
      <w:proofErr w:type="spellEnd"/>
      <w:proofErr w:type="gramEnd"/>
      <w:r>
        <w:t xml:space="preserve"> is the actual price of warrant, and R* is the theoretical of warrants.</w:t>
      </w:r>
    </w:p>
    <w:p w:rsidR="001B15AA" w:rsidRDefault="001B15AA" w:rsidP="00290F0A">
      <w:pPr>
        <w:spacing w:after="0"/>
        <w:jc w:val="both"/>
      </w:pPr>
      <w:proofErr w:type="spellStart"/>
      <w:r>
        <w:t>Moneyness</w:t>
      </w:r>
      <w:proofErr w:type="spellEnd"/>
      <w:r>
        <w:t xml:space="preserve"> can be determined by taking the differences between current values of stocks with the present value of exercise price of warrant. Thus, the formula for </w:t>
      </w:r>
      <w:proofErr w:type="spellStart"/>
      <w:r>
        <w:t>moneyness</w:t>
      </w:r>
      <w:proofErr w:type="spellEnd"/>
      <w:r>
        <w:t xml:space="preserve"> is given as follows:</w:t>
      </w:r>
    </w:p>
    <w:p w:rsidR="001B15AA" w:rsidRPr="001B15AA" w:rsidRDefault="001B15AA" w:rsidP="00290F0A">
      <w:pPr>
        <w:spacing w:after="0"/>
        <w:jc w:val="both"/>
      </w:pPr>
      <m:oMathPara>
        <m:oMath>
          <m:r>
            <w:rPr>
              <w:rFonts w:ascii="Cambria Math" w:hAnsi="Cambria Math"/>
            </w:rPr>
            <m:t xml:space="preserve">Moneyness= </m:t>
          </m:r>
          <m:f>
            <m:fPr>
              <m:ctrlPr>
                <w:rPr>
                  <w:rFonts w:ascii="Cambria Math" w:hAnsi="Cambria Math"/>
                  <w:i/>
                </w:rPr>
              </m:ctrlPr>
            </m:fPr>
            <m:num>
              <m:r>
                <w:rPr>
                  <w:rFonts w:ascii="Cambria Math" w:hAnsi="Cambria Math"/>
                </w:rPr>
                <m:t xml:space="preserve">Stock price- </m:t>
              </m:r>
              <m:sSup>
                <m:sSupPr>
                  <m:ctrlPr>
                    <w:rPr>
                      <w:rFonts w:ascii="Cambria Math" w:hAnsi="Cambria Math"/>
                      <w:i/>
                    </w:rPr>
                  </m:ctrlPr>
                </m:sSupPr>
                <m:e>
                  <m:r>
                    <w:rPr>
                      <w:rFonts w:ascii="Cambria Math" w:hAnsi="Cambria Math"/>
                    </w:rPr>
                    <m:t xml:space="preserve">Exercise Price </m:t>
                  </m:r>
                </m:e>
                <m:sup>
                  <m:r>
                    <w:rPr>
                      <w:rFonts w:ascii="Cambria Math" w:hAnsi="Cambria Math"/>
                    </w:rPr>
                    <m:t>-rT</m:t>
                  </m:r>
                </m:sup>
              </m:sSup>
            </m:num>
            <m:den>
              <m:sSup>
                <m:sSupPr>
                  <m:ctrlPr>
                    <w:rPr>
                      <w:rFonts w:ascii="Cambria Math" w:hAnsi="Cambria Math"/>
                      <w:i/>
                    </w:rPr>
                  </m:ctrlPr>
                </m:sSupPr>
                <m:e>
                  <m:r>
                    <w:rPr>
                      <w:rFonts w:ascii="Cambria Math" w:hAnsi="Cambria Math"/>
                    </w:rPr>
                    <m:t xml:space="preserve">Exercise Price </m:t>
                  </m:r>
                </m:e>
                <m:sup>
                  <m:r>
                    <w:rPr>
                      <w:rFonts w:ascii="Cambria Math" w:hAnsi="Cambria Math"/>
                    </w:rPr>
                    <m:t>-rT</m:t>
                  </m:r>
                </m:sup>
              </m:sSup>
            </m:den>
          </m:f>
        </m:oMath>
      </m:oMathPara>
    </w:p>
    <w:p w:rsidR="00290F0A" w:rsidRDefault="00290F0A" w:rsidP="008E70B7">
      <w:pPr>
        <w:spacing w:after="0"/>
        <w:rPr>
          <w:b/>
          <w:i/>
        </w:rPr>
      </w:pPr>
    </w:p>
    <w:p w:rsidR="00E5249F" w:rsidRDefault="00E5249F" w:rsidP="008E70B7">
      <w:pPr>
        <w:spacing w:after="0"/>
        <w:rPr>
          <w:b/>
          <w:i/>
        </w:rPr>
      </w:pPr>
      <w:r>
        <w:rPr>
          <w:b/>
          <w:i/>
        </w:rPr>
        <w:t>Previous Study</w:t>
      </w:r>
    </w:p>
    <w:p w:rsidR="006E35D0" w:rsidRDefault="00331643" w:rsidP="00401953">
      <w:pPr>
        <w:spacing w:after="0"/>
        <w:jc w:val="both"/>
      </w:pPr>
      <w:r>
        <w:t xml:space="preserve">Some studies such as </w:t>
      </w:r>
      <w:r w:rsidR="003955A8">
        <w:t>Rubinstein (1987</w:t>
      </w:r>
      <w:r w:rsidR="007A1866">
        <w:t>)</w:t>
      </w:r>
      <w:r>
        <w:t>, and</w:t>
      </w:r>
      <w:r w:rsidR="00AE0368">
        <w:t xml:space="preserve"> </w:t>
      </w:r>
      <w:proofErr w:type="spellStart"/>
      <w:r w:rsidR="00AE0368">
        <w:t>Geske</w:t>
      </w:r>
      <w:proofErr w:type="spellEnd"/>
      <w:r w:rsidR="00AE0368">
        <w:t xml:space="preserve">, Roll, and </w:t>
      </w:r>
      <w:proofErr w:type="spellStart"/>
      <w:r w:rsidR="00AE0368">
        <w:t>Sastri</w:t>
      </w:r>
      <w:proofErr w:type="spellEnd"/>
      <w:r w:rsidR="00AE0368">
        <w:t xml:space="preserve"> (1983)</w:t>
      </w:r>
      <w:r>
        <w:t xml:space="preserve"> are confirmed that the BSOPM generates warrant values fairly close to the actual prices at which warrants traded especially for the short-term maturity warrants. </w:t>
      </w:r>
      <w:proofErr w:type="spellStart"/>
      <w:r w:rsidR="006E35D0">
        <w:t>Santoso</w:t>
      </w:r>
      <w:proofErr w:type="spellEnd"/>
      <w:r w:rsidR="006E35D0">
        <w:t xml:space="preserve"> (2000) studied the pricing efficiency for warrants traded at the Jakarta Stock Exchange, and he found that the BSOPM and dividend-adjusted BSOPM are doing equally well. The BSOPM generates option values fairly close to the actual prices at which options are traded.  </w:t>
      </w:r>
    </w:p>
    <w:p w:rsidR="007A1866" w:rsidRDefault="007A1866" w:rsidP="00401953">
      <w:pPr>
        <w:spacing w:after="0"/>
        <w:jc w:val="both"/>
      </w:pPr>
    </w:p>
    <w:p w:rsidR="006E35D0" w:rsidRDefault="007A1866" w:rsidP="00401953">
      <w:pPr>
        <w:spacing w:after="0"/>
        <w:jc w:val="both"/>
      </w:pPr>
      <w:r>
        <w:t xml:space="preserve">On the other hand, Macbeth and </w:t>
      </w:r>
      <w:proofErr w:type="spellStart"/>
      <w:r>
        <w:t>Merville</w:t>
      </w:r>
      <w:proofErr w:type="spellEnd"/>
      <w:r>
        <w:t xml:space="preserve"> (1980) revealed that</w:t>
      </w:r>
      <w:r w:rsidR="00401953">
        <w:t xml:space="preserve"> BSOPM underpriced </w:t>
      </w:r>
      <w:r w:rsidR="00331643">
        <w:t>in-the-money (</w:t>
      </w:r>
      <w:r w:rsidR="00401953">
        <w:t>ITM</w:t>
      </w:r>
      <w:r w:rsidR="00331643">
        <w:t>)</w:t>
      </w:r>
      <w:r w:rsidR="00401953">
        <w:t xml:space="preserve"> options, overpriced </w:t>
      </w:r>
      <w:r w:rsidR="00331643">
        <w:t>at-the-money (</w:t>
      </w:r>
      <w:r w:rsidR="00401953">
        <w:t>OTM</w:t>
      </w:r>
      <w:r w:rsidR="00331643">
        <w:t>)</w:t>
      </w:r>
      <w:r w:rsidR="00401953">
        <w:t xml:space="preserve"> options, and gave an approximate and proper price for options at-the-money when the stochastic process that generating the stock price was a constant elasticity of variance process. </w:t>
      </w:r>
      <w:r>
        <w:t xml:space="preserve">Subsequently, </w:t>
      </w:r>
      <w:proofErr w:type="spellStart"/>
      <w:r>
        <w:t>Lauterbach</w:t>
      </w:r>
      <w:proofErr w:type="spellEnd"/>
      <w:r>
        <w:t xml:space="preserve"> and Schultz (1990) argued that</w:t>
      </w:r>
      <w:r w:rsidR="00704A2A">
        <w:t xml:space="preserve"> BSOPM was outperformed by a model that assumed a constant elasticity of variance (CEV) diffusion process for stock price. BSOPM consistently misprices warrants especially on OTM warrants. </w:t>
      </w:r>
      <w:proofErr w:type="spellStart"/>
      <w:r w:rsidR="00401953">
        <w:t>Shastri</w:t>
      </w:r>
      <w:proofErr w:type="spellEnd"/>
      <w:r w:rsidR="00401953">
        <w:t xml:space="preserve"> and </w:t>
      </w:r>
      <w:proofErr w:type="spellStart"/>
      <w:r w:rsidR="00401953">
        <w:t>Sirodom</w:t>
      </w:r>
      <w:proofErr w:type="spellEnd"/>
      <w:r w:rsidR="00401953">
        <w:t xml:space="preserve"> (1995)</w:t>
      </w:r>
      <w:r w:rsidR="006E35D0">
        <w:t xml:space="preserve"> studied the Thailand warrants and further exhibited that a constant elasticity of variance outperformed BSOPM in pricing the warrants. In addition, they </w:t>
      </w:r>
      <w:r w:rsidR="00401953">
        <w:t xml:space="preserve">argued that the reason why the BSOPM underprice </w:t>
      </w:r>
      <w:r w:rsidR="006E35D0">
        <w:t xml:space="preserve">the </w:t>
      </w:r>
      <w:r w:rsidR="00401953">
        <w:t xml:space="preserve">ITM warrants and overprice OTM warrants is that because the model did not incorporate the fact that market participants were not allowed to short sell their securities. </w:t>
      </w:r>
      <w:r w:rsidR="009024CC">
        <w:t xml:space="preserve">Lim and Terry (2002) in their study noticed that the highest pricing error for BSOPM occurred when the potential dilution for warrant is high, either when the warrants are OTM or when the warrants are further from expiry. </w:t>
      </w:r>
    </w:p>
    <w:p w:rsidR="006E35D0" w:rsidRDefault="006E35D0" w:rsidP="00401953">
      <w:pPr>
        <w:spacing w:after="0"/>
        <w:jc w:val="both"/>
      </w:pPr>
    </w:p>
    <w:p w:rsidR="006E35D0" w:rsidRDefault="006E35D0" w:rsidP="00401953">
      <w:pPr>
        <w:spacing w:after="0"/>
        <w:jc w:val="both"/>
      </w:pPr>
      <w:r>
        <w:t xml:space="preserve">Another research by </w:t>
      </w:r>
      <w:proofErr w:type="spellStart"/>
      <w:r>
        <w:t>Duan</w:t>
      </w:r>
      <w:proofErr w:type="spellEnd"/>
      <w:r>
        <w:t xml:space="preserve"> and Yan (1999) studied the market efficiency of derivative warrants written on the HSBC common stock traded on Hong Kong Stock Exchange. They found that the BSOPM underpriced the warrants in Hong Kong Stock Exchange market. </w:t>
      </w:r>
      <w:r w:rsidR="007F73B8">
        <w:t xml:space="preserve">Similarly, the study done </w:t>
      </w:r>
      <w:r>
        <w:t>by Huang and Chen (2002) who investigated the market pricing of covered warrants traded on Taiwan stock exchange</w:t>
      </w:r>
      <w:r w:rsidR="007F73B8">
        <w:t xml:space="preserve"> also revealed that the BSOPM underpriced the covered warrants in Taiwan market. </w:t>
      </w:r>
      <w:r w:rsidR="007E6F85">
        <w:t xml:space="preserve">The pricing errors are related to the degree to which the warrants are ITM, and the volatility of the underlying assets. </w:t>
      </w:r>
      <w:r w:rsidR="00C7586E">
        <w:t xml:space="preserve">Liu and </w:t>
      </w:r>
      <w:proofErr w:type="spellStart"/>
      <w:r w:rsidR="00C7586E">
        <w:t>Rangan</w:t>
      </w:r>
      <w:proofErr w:type="spellEnd"/>
      <w:r w:rsidR="00C7586E">
        <w:t xml:space="preserve"> (2012) studied the covered warrants in China, thus, they found that covered warrants are significantly overvalued over the period 2005-2008. In addition to that, the warrants are so overvalued that the implied volatility provides no information for the future volatility. </w:t>
      </w:r>
    </w:p>
    <w:p w:rsidR="00401953" w:rsidRDefault="00401953" w:rsidP="00401953">
      <w:pPr>
        <w:spacing w:after="0"/>
        <w:jc w:val="both"/>
      </w:pPr>
    </w:p>
    <w:p w:rsidR="00E5249F" w:rsidRDefault="00472397" w:rsidP="00BC41FB">
      <w:pPr>
        <w:spacing w:after="0"/>
        <w:jc w:val="both"/>
      </w:pPr>
      <w:r>
        <w:t xml:space="preserve">In regard with Malaysian derivatives market, </w:t>
      </w:r>
      <w:proofErr w:type="spellStart"/>
      <w:r w:rsidR="00BD4A0E">
        <w:t>Kyun</w:t>
      </w:r>
      <w:proofErr w:type="spellEnd"/>
      <w:r w:rsidR="007D5D62">
        <w:t xml:space="preserve"> (2004) performed the empirical testing on the performance of Black-Scholes model that used for warrants traded on KLSE using daily prices of 74 </w:t>
      </w:r>
      <w:r w:rsidR="007D5D62">
        <w:lastRenderedPageBreak/>
        <w:t xml:space="preserve">samples warrant in year 1994-2003. He further exhibited that the BSOPM tends to overvalue in-the money (ITM) warrants and overvalue “out-of-the money” (OTM) warrants. In addition, he recommended that the investors that used BSOPM should carefully observe the systematic pattern of deviation when choosing a type of warrants in the KLSE. </w:t>
      </w:r>
      <w:r w:rsidR="006149A3">
        <w:t xml:space="preserve">Subsequently, </w:t>
      </w:r>
      <w:proofErr w:type="spellStart"/>
      <w:r w:rsidR="00BC41FB">
        <w:t>Qizam</w:t>
      </w:r>
      <w:proofErr w:type="spellEnd"/>
      <w:r w:rsidR="00BC41FB">
        <w:t xml:space="preserve">, </w:t>
      </w:r>
      <w:proofErr w:type="spellStart"/>
      <w:r w:rsidR="00BC41FB">
        <w:t>Ardiansyah</w:t>
      </w:r>
      <w:proofErr w:type="spellEnd"/>
      <w:r w:rsidR="00BC41FB">
        <w:t xml:space="preserve">, and </w:t>
      </w:r>
      <w:proofErr w:type="spellStart"/>
      <w:r w:rsidR="00BC41FB">
        <w:t>Haron</w:t>
      </w:r>
      <w:proofErr w:type="spellEnd"/>
      <w:r w:rsidR="00BC41FB">
        <w:t xml:space="preserve"> (2013) studied the mispricing in Malaysian derivatives market. Using BSOPM model, they further found that the mispricing of warrant existed either at OTM warrants or ITM warrants. The variables such as stock price, KLIBOR, and maturity are significantly explained the mispricing of Malaysian warra</w:t>
      </w:r>
      <w:r w:rsidR="00193C54">
        <w:t>n</w:t>
      </w:r>
      <w:r w:rsidR="00BC41FB">
        <w:t xml:space="preserve">ts. </w:t>
      </w:r>
    </w:p>
    <w:p w:rsidR="00BC41FB" w:rsidRPr="00BC41FB" w:rsidRDefault="00BC41FB" w:rsidP="00BC41FB">
      <w:pPr>
        <w:spacing w:after="0"/>
        <w:jc w:val="both"/>
      </w:pPr>
    </w:p>
    <w:p w:rsidR="003238CB" w:rsidRPr="00DA74B0" w:rsidRDefault="008E70B7" w:rsidP="00DA74B0">
      <w:pPr>
        <w:pStyle w:val="ListParagraph"/>
        <w:numPr>
          <w:ilvl w:val="0"/>
          <w:numId w:val="3"/>
        </w:numPr>
        <w:spacing w:after="0"/>
        <w:jc w:val="center"/>
        <w:rPr>
          <w:b/>
        </w:rPr>
      </w:pPr>
      <w:r w:rsidRPr="00DA74B0">
        <w:rPr>
          <w:b/>
        </w:rPr>
        <w:t>DATA AND METHODOLOGY</w:t>
      </w:r>
    </w:p>
    <w:p w:rsidR="001B15AA" w:rsidRPr="001B15AA" w:rsidRDefault="001B15AA" w:rsidP="008E70B7">
      <w:pPr>
        <w:spacing w:after="0"/>
        <w:rPr>
          <w:b/>
        </w:rPr>
      </w:pPr>
    </w:p>
    <w:p w:rsidR="00E5249F" w:rsidRDefault="002432EE" w:rsidP="008E70B7">
      <w:pPr>
        <w:spacing w:after="0"/>
        <w:rPr>
          <w:b/>
          <w:i/>
        </w:rPr>
      </w:pPr>
      <w:r>
        <w:rPr>
          <w:b/>
          <w:i/>
        </w:rPr>
        <w:t xml:space="preserve">Data, </w:t>
      </w:r>
      <w:r w:rsidR="00E5249F">
        <w:rPr>
          <w:b/>
          <w:i/>
        </w:rPr>
        <w:t>Samples</w:t>
      </w:r>
      <w:r w:rsidR="004A574C">
        <w:rPr>
          <w:b/>
          <w:i/>
        </w:rPr>
        <w:t>,</w:t>
      </w:r>
      <w:r>
        <w:rPr>
          <w:b/>
          <w:i/>
        </w:rPr>
        <w:t xml:space="preserve"> </w:t>
      </w:r>
      <w:r w:rsidR="00E5249F">
        <w:rPr>
          <w:b/>
          <w:i/>
        </w:rPr>
        <w:t>and Model Specification</w:t>
      </w:r>
    </w:p>
    <w:p w:rsidR="00E74FEF" w:rsidRPr="005D1F1E" w:rsidRDefault="00E74FEF" w:rsidP="00E74FEF">
      <w:pPr>
        <w:spacing w:after="0"/>
        <w:jc w:val="both"/>
        <w:rPr>
          <w:rFonts w:cstheme="minorHAnsi"/>
        </w:rPr>
      </w:pPr>
      <w:r w:rsidRPr="005D1F1E">
        <w:rPr>
          <w:rFonts w:cstheme="minorHAnsi"/>
        </w:rPr>
        <w:t>I</w:t>
      </w:r>
      <w:r>
        <w:rPr>
          <w:rFonts w:cstheme="minorHAnsi"/>
        </w:rPr>
        <w:t xml:space="preserve">n examining the warrants mispricing and its determinants in Malaysia, five key variables; percentage of warrant misprice, stock return, maturity, </w:t>
      </w:r>
      <w:proofErr w:type="spellStart"/>
      <w:r>
        <w:rPr>
          <w:rFonts w:cstheme="minorHAnsi"/>
        </w:rPr>
        <w:t>moneyness</w:t>
      </w:r>
      <w:proofErr w:type="spellEnd"/>
      <w:r>
        <w:rPr>
          <w:rFonts w:cstheme="minorHAnsi"/>
        </w:rPr>
        <w:t xml:space="preserve">, and volatility, are employed. For the purpose of this study, four companies being selected as our samples; </w:t>
      </w:r>
      <w:r w:rsidRPr="00331C57">
        <w:rPr>
          <w:rFonts w:cstheme="minorHAnsi"/>
        </w:rPr>
        <w:t xml:space="preserve">MHC Plantations </w:t>
      </w:r>
      <w:proofErr w:type="spellStart"/>
      <w:r w:rsidRPr="00331C57">
        <w:rPr>
          <w:rFonts w:cstheme="minorHAnsi"/>
        </w:rPr>
        <w:t>Bhd</w:t>
      </w:r>
      <w:proofErr w:type="spellEnd"/>
      <w:r w:rsidRPr="00331C57">
        <w:rPr>
          <w:rFonts w:cstheme="minorHAnsi"/>
        </w:rPr>
        <w:t xml:space="preserve">, MKH </w:t>
      </w:r>
      <w:proofErr w:type="spellStart"/>
      <w:r w:rsidRPr="00331C57">
        <w:rPr>
          <w:rFonts w:cstheme="minorHAnsi"/>
        </w:rPr>
        <w:t>Bhd</w:t>
      </w:r>
      <w:proofErr w:type="spellEnd"/>
      <w:r w:rsidRPr="00331C57">
        <w:rPr>
          <w:rFonts w:cstheme="minorHAnsi"/>
        </w:rPr>
        <w:t xml:space="preserve">, </w:t>
      </w:r>
      <w:r>
        <w:rPr>
          <w:rFonts w:cstheme="minorHAnsi"/>
        </w:rPr>
        <w:t>UNISEM</w:t>
      </w:r>
      <w:r w:rsidRPr="00331C57">
        <w:rPr>
          <w:rFonts w:cstheme="minorHAnsi"/>
        </w:rPr>
        <w:t xml:space="preserve">, and YFG </w:t>
      </w:r>
      <w:proofErr w:type="spellStart"/>
      <w:r w:rsidRPr="00331C57">
        <w:rPr>
          <w:rFonts w:cstheme="minorHAnsi"/>
        </w:rPr>
        <w:t>Bhd</w:t>
      </w:r>
      <w:proofErr w:type="spellEnd"/>
      <w:r>
        <w:rPr>
          <w:rFonts w:cstheme="minorHAnsi"/>
        </w:rPr>
        <w:t xml:space="preserve">, with 5-day daily basis of both variables. In addition, all variables were retrieved from Bloomberg and Bursa Malaysia, covering period from 30 June 2010 until 30 June 2013 with covered 1,452 total observations. </w:t>
      </w:r>
    </w:p>
    <w:p w:rsidR="00E74FEF" w:rsidRDefault="00E74FEF" w:rsidP="001B15AA">
      <w:pPr>
        <w:spacing w:after="0"/>
        <w:jc w:val="both"/>
      </w:pPr>
    </w:p>
    <w:p w:rsidR="001B15AA" w:rsidRDefault="001B15AA" w:rsidP="001B15AA">
      <w:pPr>
        <w:spacing w:after="0"/>
        <w:jc w:val="both"/>
      </w:pPr>
      <w:r>
        <w:t xml:space="preserve">In order to test the determinants of warrant mispricing, panel data techniques such as pooled-OLS, fixed effect model (FEM), and Random effect model (REM) will be employed. Moreover, we try to find which </w:t>
      </w:r>
      <w:r w:rsidR="00982B69">
        <w:t xml:space="preserve">one is the best </w:t>
      </w:r>
      <w:r>
        <w:t xml:space="preserve">model </w:t>
      </w:r>
      <w:r w:rsidR="00982B69">
        <w:t>to explain</w:t>
      </w:r>
      <w:r>
        <w:t xml:space="preserve"> the det</w:t>
      </w:r>
      <w:r w:rsidR="00982B69">
        <w:t>erminants of warrant mispricing</w:t>
      </w:r>
      <w:r>
        <w:t>. The model for warrant mispricing is given as follows:</w:t>
      </w:r>
    </w:p>
    <w:p w:rsidR="007053AE" w:rsidRPr="007053AE" w:rsidRDefault="007053AE" w:rsidP="001B15AA">
      <w:pPr>
        <w:spacing w:after="0"/>
        <w:jc w:val="both"/>
      </w:pPr>
    </w:p>
    <w:p w:rsidR="001B15AA" w:rsidRPr="002432EE" w:rsidRDefault="00A7745D" w:rsidP="008E70B7">
      <w:pPr>
        <w:spacing w:after="0"/>
        <w:rPr>
          <w:rFonts w:cstheme="minorHAnsi"/>
          <w:b/>
          <w:i/>
          <w:sz w:val="20"/>
          <w:szCs w:val="20"/>
        </w:rPr>
      </w:pPr>
      <m:oMathPara>
        <m:oMath>
          <m:sSub>
            <m:sSubPr>
              <m:ctrlPr>
                <w:rPr>
                  <w:rFonts w:ascii="Cambria Math" w:hAnsi="Cambria Math" w:cstheme="minorHAnsi"/>
                  <w:i/>
                  <w:sz w:val="20"/>
                  <w:szCs w:val="20"/>
                </w:rPr>
              </m:ctrlPr>
            </m:sSubPr>
            <m:e>
              <m:r>
                <w:rPr>
                  <w:rFonts w:ascii="Cambria Math" w:cstheme="minorHAnsi"/>
                  <w:sz w:val="20"/>
                  <w:szCs w:val="20"/>
                </w:rPr>
                <m:t xml:space="preserve">% </m:t>
              </m:r>
              <m:r>
                <w:rPr>
                  <w:rFonts w:ascii="Cambria Math" w:hAnsi="Cambria Math" w:cstheme="minorHAnsi"/>
                  <w:sz w:val="20"/>
                  <w:szCs w:val="20"/>
                </w:rPr>
                <m:t>mispricing</m:t>
              </m:r>
            </m:e>
            <m:sub>
              <m:r>
                <w:rPr>
                  <w:rFonts w:ascii="Cambria Math" w:hAnsi="Cambria Math" w:cstheme="minorHAnsi"/>
                  <w:sz w:val="20"/>
                  <w:szCs w:val="20"/>
                </w:rPr>
                <m:t>it</m:t>
              </m:r>
            </m:sub>
          </m:sSub>
          <m:r>
            <w:rPr>
              <w:rFonts w:asci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β</m:t>
              </m:r>
            </m:e>
            <m:sub>
              <m:r>
                <w:rPr>
                  <w:rFonts w:ascii="Cambria Math" w:cstheme="minorHAnsi"/>
                  <w:sz w:val="20"/>
                  <w:szCs w:val="20"/>
                </w:rPr>
                <m:t xml:space="preserve">0 </m:t>
              </m:r>
            </m:sub>
          </m:sSub>
          <m:r>
            <w:rPr>
              <w:rFonts w:asci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β</m:t>
              </m:r>
            </m:e>
            <m:sub>
              <m:r>
                <w:rPr>
                  <w:rFonts w:ascii="Cambria Math" w:cstheme="minorHAnsi"/>
                  <w:sz w:val="20"/>
                  <w:szCs w:val="20"/>
                </w:rPr>
                <m:t xml:space="preserve">1  </m:t>
              </m:r>
            </m:sub>
          </m:sSub>
          <m:sSub>
            <m:sSubPr>
              <m:ctrlPr>
                <w:rPr>
                  <w:rFonts w:ascii="Cambria Math" w:hAnsi="Cambria Math" w:cstheme="minorHAnsi"/>
                  <w:i/>
                  <w:sz w:val="20"/>
                  <w:szCs w:val="20"/>
                </w:rPr>
              </m:ctrlPr>
            </m:sSubPr>
            <m:e>
              <m:r>
                <w:rPr>
                  <w:rFonts w:ascii="Cambria Math" w:hAnsi="Cambria Math" w:cstheme="minorHAnsi"/>
                  <w:sz w:val="20"/>
                  <w:szCs w:val="20"/>
                </w:rPr>
                <m:t>Stock</m:t>
              </m:r>
              <m:r>
                <w:rPr>
                  <w:rFonts w:ascii="Cambria Math" w:cstheme="minorHAnsi"/>
                  <w:sz w:val="20"/>
                  <w:szCs w:val="20"/>
                </w:rPr>
                <m:t xml:space="preserve"> </m:t>
              </m:r>
              <m:r>
                <w:rPr>
                  <w:rFonts w:ascii="Cambria Math" w:hAnsi="Cambria Math" w:cstheme="minorHAnsi"/>
                  <w:sz w:val="20"/>
                  <w:szCs w:val="20"/>
                </w:rPr>
                <m:t>Return</m:t>
              </m:r>
            </m:e>
            <m:sub>
              <m:r>
                <w:rPr>
                  <w:rFonts w:ascii="Cambria Math" w:hAnsi="Cambria Math" w:cstheme="minorHAnsi"/>
                  <w:sz w:val="20"/>
                  <w:szCs w:val="20"/>
                </w:rPr>
                <m:t>it</m:t>
              </m:r>
            </m:sub>
          </m:sSub>
          <m:r>
            <w:rPr>
              <w:rFonts w:asci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β</m:t>
              </m:r>
            </m:e>
            <m:sub>
              <m:r>
                <w:rPr>
                  <w:rFonts w:ascii="Cambria Math" w:cstheme="minorHAnsi"/>
                  <w:sz w:val="20"/>
                  <w:szCs w:val="20"/>
                </w:rPr>
                <m:t xml:space="preserve">2 </m:t>
              </m:r>
            </m:sub>
          </m:sSub>
          <m:sSub>
            <m:sSubPr>
              <m:ctrlPr>
                <w:rPr>
                  <w:rFonts w:ascii="Cambria Math" w:hAnsi="Cambria Math" w:cstheme="minorHAnsi"/>
                  <w:i/>
                  <w:sz w:val="20"/>
                  <w:szCs w:val="20"/>
                </w:rPr>
              </m:ctrlPr>
            </m:sSubPr>
            <m:e>
              <m:r>
                <w:rPr>
                  <w:rFonts w:ascii="Cambria Math" w:hAnsi="Cambria Math" w:cstheme="minorHAnsi"/>
                  <w:sz w:val="20"/>
                  <w:szCs w:val="20"/>
                </w:rPr>
                <m:t>Maturity</m:t>
              </m:r>
            </m:e>
            <m:sub>
              <m:r>
                <w:rPr>
                  <w:rFonts w:ascii="Cambria Math" w:hAnsi="Cambria Math" w:cstheme="minorHAnsi"/>
                  <w:sz w:val="20"/>
                  <w:szCs w:val="20"/>
                </w:rPr>
                <m:t>it</m:t>
              </m:r>
            </m:sub>
          </m:sSub>
          <m:r>
            <w:rPr>
              <w:rFonts w:ascii="Cambria Math" w:cstheme="minorHAnsi"/>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β</m:t>
              </m:r>
            </m:e>
            <m:sub>
              <m:r>
                <w:rPr>
                  <w:rFonts w:ascii="Cambria Math" w:cstheme="minorHAnsi"/>
                  <w:sz w:val="20"/>
                  <w:szCs w:val="20"/>
                </w:rPr>
                <m:t xml:space="preserve">3 </m:t>
              </m:r>
            </m:sub>
          </m:sSub>
          <m:sSub>
            <m:sSubPr>
              <m:ctrlPr>
                <w:rPr>
                  <w:rFonts w:ascii="Cambria Math" w:hAnsi="Cambria Math" w:cstheme="minorHAnsi"/>
                  <w:i/>
                  <w:sz w:val="20"/>
                  <w:szCs w:val="20"/>
                </w:rPr>
              </m:ctrlPr>
            </m:sSubPr>
            <m:e>
              <m:r>
                <w:rPr>
                  <w:rFonts w:ascii="Cambria Math" w:hAnsi="Cambria Math" w:cstheme="minorHAnsi"/>
                  <w:sz w:val="20"/>
                  <w:szCs w:val="20"/>
                </w:rPr>
                <m:t>Moneyness</m:t>
              </m:r>
            </m:e>
            <m:sub>
              <m:r>
                <w:rPr>
                  <w:rFonts w:ascii="Cambria Math" w:hAnsi="Cambria Math" w:cstheme="minorHAnsi"/>
                  <w:sz w:val="20"/>
                  <w:szCs w:val="20"/>
                </w:rPr>
                <m:t>it</m:t>
              </m:r>
            </m:sub>
          </m:sSub>
          <m:r>
            <w:rPr>
              <w:rFonts w:asci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β</m:t>
              </m:r>
            </m:e>
            <m:sub>
              <m:r>
                <w:rPr>
                  <w:rFonts w:ascii="Cambria Math" w:cstheme="minorHAnsi"/>
                  <w:sz w:val="20"/>
                  <w:szCs w:val="20"/>
                </w:rPr>
                <m:t xml:space="preserve">4 </m:t>
              </m:r>
            </m:sub>
          </m:sSub>
          <m:r>
            <m:rPr>
              <m:sty m:val="bi"/>
            </m:rPr>
            <w:rPr>
              <w:rFonts w:ascii="Cambria Math" w:cstheme="minorHAnsi"/>
              <w:sz w:val="20"/>
              <w:szCs w:val="20"/>
            </w:rPr>
            <m:t xml:space="preserve"> </m:t>
          </m:r>
          <m:sSub>
            <m:sSubPr>
              <m:ctrlPr>
                <w:rPr>
                  <w:rFonts w:ascii="Cambria Math" w:hAnsi="Cambria Math" w:cstheme="minorHAnsi"/>
                  <w:b/>
                  <w:i/>
                  <w:sz w:val="20"/>
                  <w:szCs w:val="20"/>
                </w:rPr>
              </m:ctrlPr>
            </m:sSubPr>
            <m:e>
              <m:r>
                <w:rPr>
                  <w:rFonts w:ascii="Cambria Math" w:hAnsi="Cambria Math" w:cstheme="minorHAnsi"/>
                  <w:sz w:val="20"/>
                  <w:szCs w:val="20"/>
                </w:rPr>
                <m:t>Volatility</m:t>
              </m:r>
            </m:e>
            <m:sub>
              <m:r>
                <w:rPr>
                  <w:rFonts w:ascii="Cambria Math" w:hAnsi="Cambria Math" w:cstheme="minorHAnsi"/>
                  <w:sz w:val="20"/>
                  <w:szCs w:val="20"/>
                </w:rPr>
                <m:t>it</m:t>
              </m:r>
            </m:sub>
          </m:sSub>
          <m:r>
            <m:rPr>
              <m:sty m:val="bi"/>
            </m:rPr>
            <w:rPr>
              <w:rFonts w:asci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ε</m:t>
              </m:r>
            </m:e>
            <m:sub>
              <m:r>
                <w:rPr>
                  <w:rFonts w:ascii="Cambria Math" w:hAnsi="Cambria Math" w:cstheme="minorHAnsi"/>
                  <w:sz w:val="20"/>
                  <w:szCs w:val="20"/>
                </w:rPr>
                <m:t>it</m:t>
              </m:r>
            </m:sub>
          </m:sSub>
        </m:oMath>
      </m:oMathPara>
    </w:p>
    <w:p w:rsidR="007053AE" w:rsidRPr="002432EE" w:rsidRDefault="007053AE" w:rsidP="008E70B7">
      <w:pPr>
        <w:spacing w:after="0"/>
        <w:rPr>
          <w:rFonts w:cstheme="minorHAnsi"/>
          <w:b/>
          <w:i/>
          <w:sz w:val="20"/>
          <w:szCs w:val="20"/>
        </w:rPr>
      </w:pPr>
    </w:p>
    <w:p w:rsidR="00DF06DD" w:rsidRDefault="00DF06DD" w:rsidP="008E70B7">
      <w:pPr>
        <w:spacing w:after="0"/>
      </w:pPr>
      <w:r>
        <w:rPr>
          <w:b/>
          <w:i/>
        </w:rPr>
        <w:t>Pooled OLS</w:t>
      </w:r>
    </w:p>
    <w:p w:rsidR="00DF06DD" w:rsidRDefault="00DF06DD" w:rsidP="00CA6981">
      <w:pPr>
        <w:spacing w:after="0"/>
        <w:jc w:val="both"/>
      </w:pPr>
      <w:r>
        <w:t xml:space="preserve">Panel data models initially testing the individual effects, time effects, or both for the purpose </w:t>
      </w:r>
      <w:r w:rsidR="00CA6981">
        <w:t>to deal with heterogeneity or individual effect (cross sectional or time specific effect) that may or may not be observed. Subsequently</w:t>
      </w:r>
      <w:r>
        <w:t xml:space="preserve">, if the individual effect does not exist, ordinary least square (OLS) produces efficient and consistent parameters estimation. </w:t>
      </w:r>
      <w:r w:rsidR="00CA6981">
        <w:t>The function form for pooled OLS:</w:t>
      </w:r>
    </w:p>
    <w:p w:rsidR="00CA6981" w:rsidRPr="00DF06DD" w:rsidRDefault="00A7745D" w:rsidP="00CA6981">
      <w:pPr>
        <w:spacing w:after="0"/>
        <w:jc w:val="both"/>
      </w:pPr>
      <m:oMathPara>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 xml:space="preserve">= α+ </m:t>
          </m:r>
          <m:sSub>
            <m:sSubPr>
              <m:ctrlPr>
                <w:rPr>
                  <w:rFonts w:ascii="Cambria Math" w:hAnsi="Cambria Math"/>
                  <w:i/>
                </w:rPr>
              </m:ctrlPr>
            </m:sSubPr>
            <m:e>
              <m:r>
                <w:rPr>
                  <w:rFonts w:ascii="Cambria Math" w:hAnsi="Cambria Math"/>
                </w:rPr>
                <m:t>X</m:t>
              </m:r>
            </m:e>
            <m:sub>
              <m:r>
                <w:rPr>
                  <w:rFonts w:ascii="Cambria Math" w:hAnsi="Cambria Math"/>
                </w:rPr>
                <m:t>it</m:t>
              </m:r>
            </m:sub>
          </m:sSub>
          <m:r>
            <w:rPr>
              <w:rFonts w:ascii="Cambria Math" w:hAnsi="Cambria Math"/>
            </w:rPr>
            <m:t xml:space="preserve">β+ </m:t>
          </m:r>
          <m:sSub>
            <m:sSubPr>
              <m:ctrlPr>
                <w:rPr>
                  <w:rFonts w:ascii="Cambria Math" w:hAnsi="Cambria Math"/>
                  <w:i/>
                </w:rPr>
              </m:ctrlPr>
            </m:sSubPr>
            <m:e>
              <m:r>
                <w:rPr>
                  <w:rFonts w:ascii="Cambria Math" w:hAnsi="Cambria Math"/>
                </w:rPr>
                <m:t>µ</m:t>
              </m:r>
            </m:e>
            <m:sub>
              <m:r>
                <w:rPr>
                  <w:rFonts w:ascii="Cambria Math" w:hAnsi="Cambria Math"/>
                </w:rPr>
                <m:t>it</m:t>
              </m:r>
            </m:sub>
          </m:sSub>
        </m:oMath>
      </m:oMathPara>
    </w:p>
    <w:p w:rsidR="00CA6981" w:rsidRDefault="00CA6981" w:rsidP="002432EE">
      <w:pPr>
        <w:spacing w:after="0"/>
        <w:jc w:val="both"/>
      </w:pPr>
      <w:r>
        <w:t xml:space="preserve">Where </w:t>
      </w:r>
      <w:r>
        <w:rPr>
          <w:rFonts w:cstheme="minorHAnsi"/>
        </w:rPr>
        <w:t>µ</w:t>
      </w:r>
      <w:r w:rsidRPr="00CA6981">
        <w:rPr>
          <w:vertAlign w:val="subscript"/>
        </w:rPr>
        <w:t>it</w:t>
      </w:r>
      <w:r>
        <w:rPr>
          <w:vertAlign w:val="subscript"/>
        </w:rPr>
        <w:t xml:space="preserve"> </w:t>
      </w:r>
      <w:r>
        <w:t xml:space="preserve">= </w:t>
      </w:r>
      <w:r>
        <w:rPr>
          <w:rFonts w:cstheme="minorHAnsi"/>
        </w:rPr>
        <w:t>µ</w:t>
      </w:r>
      <w:r>
        <w:t xml:space="preserve">i + </w:t>
      </w:r>
      <w:proofErr w:type="spellStart"/>
      <w:r>
        <w:rPr>
          <w:rFonts w:cstheme="minorHAnsi"/>
        </w:rPr>
        <w:t>λ</w:t>
      </w:r>
      <w:r w:rsidRPr="00CA6981">
        <w:rPr>
          <w:rFonts w:cstheme="minorHAnsi"/>
          <w:vertAlign w:val="subscript"/>
        </w:rPr>
        <w:t>t</w:t>
      </w:r>
      <w:proofErr w:type="spellEnd"/>
      <w:r>
        <w:rPr>
          <w:rFonts w:cstheme="minorHAnsi"/>
        </w:rPr>
        <w:t xml:space="preserve"> + </w:t>
      </w:r>
      <w:proofErr w:type="spellStart"/>
      <w:r>
        <w:rPr>
          <w:rFonts w:cstheme="minorHAnsi"/>
        </w:rPr>
        <w:t>ν</w:t>
      </w:r>
      <w:r w:rsidRPr="00CA6981">
        <w:rPr>
          <w:rFonts w:cstheme="minorHAnsi"/>
          <w:vertAlign w:val="subscript"/>
        </w:rPr>
        <w:t>it</w:t>
      </w:r>
      <w:proofErr w:type="spellEnd"/>
      <w:r w:rsidR="002432EE">
        <w:rPr>
          <w:rFonts w:cstheme="minorHAnsi"/>
        </w:rPr>
        <w:t>. In case of Pooled OLS, the summation of individual effect and time effect equal to zero; µ</w:t>
      </w:r>
      <w:r w:rsidR="002432EE">
        <w:t xml:space="preserve">i + </w:t>
      </w:r>
      <w:proofErr w:type="spellStart"/>
      <w:r w:rsidR="002432EE">
        <w:rPr>
          <w:rFonts w:cstheme="minorHAnsi"/>
        </w:rPr>
        <w:t>λ</w:t>
      </w:r>
      <w:r w:rsidR="002432EE" w:rsidRPr="00CA6981">
        <w:rPr>
          <w:rFonts w:cstheme="minorHAnsi"/>
          <w:vertAlign w:val="subscript"/>
        </w:rPr>
        <w:t>t</w:t>
      </w:r>
      <w:proofErr w:type="spellEnd"/>
      <w:r w:rsidR="002432EE">
        <w:rPr>
          <w:rFonts w:cstheme="minorHAnsi"/>
          <w:vertAlign w:val="subscript"/>
        </w:rPr>
        <w:t xml:space="preserve"> </w:t>
      </w:r>
      <w:r w:rsidR="002432EE">
        <w:rPr>
          <w:rFonts w:cstheme="minorHAnsi"/>
        </w:rPr>
        <w:t xml:space="preserve">= 0. In other words, the individual effects do not exist. </w:t>
      </w:r>
      <w:r>
        <w:rPr>
          <w:rFonts w:cstheme="minorHAnsi"/>
        </w:rPr>
        <w:t>There are five core assumptions under OLS estimation: (1) Line</w:t>
      </w:r>
      <w:r w:rsidR="002432EE">
        <w:rPr>
          <w:rFonts w:cstheme="minorHAnsi"/>
        </w:rPr>
        <w:t xml:space="preserve">arity in parameters, (2) </w:t>
      </w:r>
      <w:proofErr w:type="spellStart"/>
      <w:r w:rsidR="002432EE">
        <w:rPr>
          <w:rFonts w:cstheme="minorHAnsi"/>
        </w:rPr>
        <w:t>Exogeneity</w:t>
      </w:r>
      <w:proofErr w:type="spellEnd"/>
      <w:r w:rsidR="002432EE">
        <w:rPr>
          <w:rFonts w:cstheme="minorHAnsi"/>
        </w:rPr>
        <w:t xml:space="preserve">, which means that disturbances are not correlated with any </w:t>
      </w:r>
      <w:proofErr w:type="spellStart"/>
      <w:r w:rsidR="002432EE">
        <w:rPr>
          <w:rFonts w:cstheme="minorHAnsi"/>
        </w:rPr>
        <w:t>regressors</w:t>
      </w:r>
      <w:proofErr w:type="spellEnd"/>
      <w:r w:rsidR="002432EE">
        <w:rPr>
          <w:rFonts w:cstheme="minorHAnsi"/>
        </w:rPr>
        <w:t xml:space="preserve">, (3) Disturbances have constant variances (homoscedasticity) and are not related to each other’s (there is no auto-correlation), (4) The observations on the independent variables are not stochastic but fixed in repeated samples without measurement errors, (5) there is no </w:t>
      </w:r>
      <w:proofErr w:type="spellStart"/>
      <w:r w:rsidR="002432EE">
        <w:rPr>
          <w:rFonts w:cstheme="minorHAnsi"/>
        </w:rPr>
        <w:t>multicollinerity</w:t>
      </w:r>
      <w:proofErr w:type="spellEnd"/>
      <w:r w:rsidR="002432EE">
        <w:rPr>
          <w:rFonts w:cstheme="minorHAnsi"/>
        </w:rPr>
        <w:t xml:space="preserve"> problems. </w:t>
      </w:r>
    </w:p>
    <w:p w:rsidR="002432EE" w:rsidRDefault="002432EE" w:rsidP="002432EE">
      <w:pPr>
        <w:spacing w:after="0"/>
        <w:jc w:val="both"/>
      </w:pPr>
      <w:r>
        <w:t>On the other hand, if the individual effect</w:t>
      </w:r>
      <w:r w:rsidR="00236E47">
        <w:t>s</w:t>
      </w:r>
      <w:r>
        <w:t xml:space="preserve"> are not zero</w:t>
      </w:r>
      <w:r w:rsidR="00236E47">
        <w:t xml:space="preserve">, heterogeneity will potentially affect the assumption 2 and 3. The violence in assumption 2 renders random-effect estimators tends to biased. Thus, the OLS estimators are no longer best unbiased linear estimators (BLUE). Then, to deal with these problems, panel data models provide a way such as fixed-effect model and random-effect model. </w:t>
      </w:r>
    </w:p>
    <w:p w:rsidR="00236E47" w:rsidRPr="00CA6981" w:rsidRDefault="00236E47" w:rsidP="002432EE">
      <w:pPr>
        <w:spacing w:after="0"/>
        <w:jc w:val="both"/>
      </w:pPr>
    </w:p>
    <w:p w:rsidR="00DF06DD" w:rsidRDefault="00DF06DD" w:rsidP="008E70B7">
      <w:pPr>
        <w:spacing w:after="0"/>
        <w:rPr>
          <w:b/>
          <w:i/>
        </w:rPr>
      </w:pPr>
      <w:r>
        <w:rPr>
          <w:b/>
          <w:i/>
        </w:rPr>
        <w:lastRenderedPageBreak/>
        <w:t>Fixed Effect Model (FEM)</w:t>
      </w:r>
    </w:p>
    <w:p w:rsidR="00236E47" w:rsidRDefault="00236E47" w:rsidP="00236E47">
      <w:pPr>
        <w:spacing w:after="0"/>
        <w:jc w:val="both"/>
      </w:pPr>
      <w:r>
        <w:t xml:space="preserve">The fixed effect model (FEM) is a model that estimated by least square dummy variables (LSDV) regression; or OLS with a set of dummies, and within effects estimation methods. </w:t>
      </w:r>
      <w:r w:rsidR="001E4FF0">
        <w:t xml:space="preserve">The intercept are varying across group or time. </w:t>
      </w:r>
      <w:r>
        <w:t xml:space="preserve">As individual effects are time invariant and considered as a part of intercept, thus, individual effects are allowed to be correlated with other </w:t>
      </w:r>
      <w:proofErr w:type="spellStart"/>
      <w:r>
        <w:t>regressors</w:t>
      </w:r>
      <w:proofErr w:type="spellEnd"/>
      <w:r>
        <w:t xml:space="preserve">. In turn, the assumption 2 which is </w:t>
      </w:r>
      <w:proofErr w:type="spellStart"/>
      <w:r>
        <w:t>exogeneity</w:t>
      </w:r>
      <w:proofErr w:type="spellEnd"/>
      <w:r>
        <w:t xml:space="preserve">; the error terms are not correlated with any </w:t>
      </w:r>
      <w:proofErr w:type="spellStart"/>
      <w:r>
        <w:t>regressors</w:t>
      </w:r>
      <w:proofErr w:type="spellEnd"/>
      <w:r>
        <w:t>, is no longer violated.</w:t>
      </w:r>
      <w:r w:rsidR="001E4FF0">
        <w:t xml:space="preserve"> The functional form for FEM can be defined as follows:</w:t>
      </w:r>
    </w:p>
    <w:p w:rsidR="001E4FF0" w:rsidRDefault="00A7745D" w:rsidP="00236E47">
      <w:pPr>
        <w:spacing w:after="0"/>
        <w:jc w:val="both"/>
      </w:pPr>
      <m:oMathPara>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d>
            <m:dPr>
              <m:ctrlPr>
                <w:rPr>
                  <w:rFonts w:ascii="Cambria Math" w:hAnsi="Cambria Math"/>
                  <w:i/>
                </w:rPr>
              </m:ctrlPr>
            </m:dPr>
            <m:e>
              <m:r>
                <w:rPr>
                  <w:rFonts w:ascii="Cambria Math" w:hAnsi="Cambria Math"/>
                </w:rPr>
                <m:t xml:space="preserve"> α+ </m:t>
              </m:r>
              <m:sSub>
                <m:sSubPr>
                  <m:ctrlPr>
                    <w:rPr>
                      <w:rFonts w:ascii="Cambria Math" w:hAnsi="Cambria Math"/>
                      <w:i/>
                    </w:rPr>
                  </m:ctrlPr>
                </m:sSubPr>
                <m:e>
                  <m:r>
                    <w:rPr>
                      <w:rFonts w:ascii="Cambria Math" w:hAnsi="Cambria Math"/>
                    </w:rPr>
                    <m:t>µ</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t</m:t>
                  </m:r>
                </m:sub>
              </m:sSub>
            </m:e>
          </m:d>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it</m:t>
              </m:r>
            </m:sub>
          </m:sSub>
          <m:sSub>
            <m:sSubPr>
              <m:ctrlPr>
                <w:rPr>
                  <w:rFonts w:ascii="Cambria Math" w:hAnsi="Cambria Math"/>
                  <w:i/>
                </w:rPr>
              </m:ctrlPr>
            </m:sSubPr>
            <m:e>
              <m:r>
                <w:rPr>
                  <w:rFonts w:ascii="Cambria Math" w:hAnsi="Cambria Math"/>
                </w:rPr>
                <m:t>β+V</m:t>
              </m:r>
            </m:e>
            <m:sub>
              <m:r>
                <w:rPr>
                  <w:rFonts w:ascii="Cambria Math" w:hAnsi="Cambria Math"/>
                </w:rPr>
                <m:t>it</m:t>
              </m:r>
            </m:sub>
          </m:sSub>
        </m:oMath>
      </m:oMathPara>
    </w:p>
    <w:p w:rsidR="005476A8" w:rsidRDefault="005476A8" w:rsidP="005B44C5">
      <w:pPr>
        <w:pStyle w:val="ListParagraph"/>
        <w:spacing w:after="0"/>
        <w:ind w:left="0"/>
        <w:jc w:val="both"/>
      </w:pPr>
      <w:r>
        <w:t>Subsequently, for the purposes of hypothesis testing, the fixed effect employed the F-test.</w:t>
      </w:r>
      <w:r w:rsidR="005B44C5">
        <w:t xml:space="preserve"> Basically, the F-test performed to determine which model between Pooled OLS and FEM is the best model. The null hypothesis is that all dummy variables are equal too zero (H</w:t>
      </w:r>
      <w:r w:rsidR="005B44C5" w:rsidRPr="00315281">
        <w:rPr>
          <w:vertAlign w:val="subscript"/>
        </w:rPr>
        <w:t>0</w:t>
      </w:r>
      <w:r w:rsidR="005B44C5">
        <w:t xml:space="preserve">: </w:t>
      </w:r>
      <w:r w:rsidR="005B44C5">
        <w:rPr>
          <w:rFonts w:cstheme="minorHAnsi"/>
        </w:rPr>
        <w:t>α</w:t>
      </w:r>
      <w:r w:rsidR="005B44C5" w:rsidRPr="00315281">
        <w:rPr>
          <w:vertAlign w:val="subscript"/>
        </w:rPr>
        <w:t>1</w:t>
      </w:r>
      <w:r w:rsidR="005B44C5">
        <w:t xml:space="preserve"> = </w:t>
      </w:r>
      <w:r w:rsidR="005B44C5">
        <w:rPr>
          <w:rFonts w:cstheme="minorHAnsi"/>
        </w:rPr>
        <w:t>α</w:t>
      </w:r>
      <w:r w:rsidR="005B44C5">
        <w:rPr>
          <w:vertAlign w:val="subscript"/>
        </w:rPr>
        <w:t xml:space="preserve">2 </w:t>
      </w:r>
      <w:r w:rsidR="005B44C5">
        <w:t>=</w:t>
      </w:r>
      <w:r w:rsidR="005B44C5" w:rsidRPr="00315281">
        <w:rPr>
          <w:rFonts w:cstheme="minorHAnsi"/>
        </w:rPr>
        <w:t xml:space="preserve"> </w:t>
      </w:r>
      <w:r w:rsidR="005B44C5">
        <w:rPr>
          <w:rFonts w:cstheme="minorHAnsi"/>
        </w:rPr>
        <w:t>α</w:t>
      </w:r>
      <w:r w:rsidR="005B44C5">
        <w:rPr>
          <w:vertAlign w:val="subscript"/>
        </w:rPr>
        <w:t xml:space="preserve">3 </w:t>
      </w:r>
      <w:r w:rsidR="005B44C5">
        <w:t xml:space="preserve">= </w:t>
      </w:r>
      <w:r w:rsidR="005B44C5">
        <w:rPr>
          <w:rFonts w:cstheme="minorHAnsi"/>
        </w:rPr>
        <w:t>α</w:t>
      </w:r>
      <w:r w:rsidR="005B44C5">
        <w:rPr>
          <w:vertAlign w:val="subscript"/>
        </w:rPr>
        <w:t xml:space="preserve">4 </w:t>
      </w:r>
      <w:r w:rsidR="005B44C5">
        <w:t xml:space="preserve">= 0), while the alternative hypothesis is that at least one dummy parameters in not zero (Ha: at least one </w:t>
      </w:r>
      <w:r w:rsidR="005B44C5">
        <w:rPr>
          <w:rFonts w:cstheme="minorHAnsi"/>
        </w:rPr>
        <w:t>α</w:t>
      </w:r>
      <w:r w:rsidR="005B44C5">
        <w:rPr>
          <w:vertAlign w:val="subscript"/>
        </w:rPr>
        <w:t xml:space="preserve">i </w:t>
      </w:r>
      <w:r w:rsidR="005B44C5">
        <w:rPr>
          <w:rFonts w:cstheme="minorHAnsi"/>
        </w:rPr>
        <w:t>≠</w:t>
      </w:r>
      <w:r w:rsidR="005B44C5">
        <w:t xml:space="preserve"> 0). In turn, if the null is rejected, we can infer that there is a significant fixed-effect. Therefore, the FEM is better than pooled OLS. </w:t>
      </w:r>
    </w:p>
    <w:p w:rsidR="005B44C5" w:rsidRPr="00236E47" w:rsidRDefault="005B44C5" w:rsidP="005B44C5">
      <w:pPr>
        <w:pStyle w:val="ListParagraph"/>
        <w:spacing w:after="0"/>
        <w:ind w:left="0"/>
        <w:jc w:val="both"/>
      </w:pPr>
    </w:p>
    <w:p w:rsidR="00E5249F" w:rsidRPr="00E5249F" w:rsidRDefault="002226FC" w:rsidP="008E70B7">
      <w:pPr>
        <w:spacing w:after="0"/>
        <w:rPr>
          <w:b/>
          <w:i/>
        </w:rPr>
      </w:pPr>
      <w:r>
        <w:rPr>
          <w:b/>
          <w:i/>
        </w:rPr>
        <w:t>Random Effect Model (REM)</w:t>
      </w:r>
    </w:p>
    <w:p w:rsidR="002226FC" w:rsidRDefault="005B44C5" w:rsidP="0062297C">
      <w:pPr>
        <w:spacing w:after="0"/>
        <w:jc w:val="both"/>
      </w:pPr>
      <w:r w:rsidRPr="005B44C5">
        <w:t xml:space="preserve">The </w:t>
      </w:r>
      <w:r>
        <w:t xml:space="preserve">random effect is also known as error component model. The assumption under REM is that the individual effects are not correlated with other </w:t>
      </w:r>
      <w:proofErr w:type="spellStart"/>
      <w:r>
        <w:t>regressors</w:t>
      </w:r>
      <w:proofErr w:type="spellEnd"/>
      <w:r>
        <w:t xml:space="preserve">. In turn, the error variances are randomly distributed across group or time. The intercept and slope of </w:t>
      </w:r>
      <w:proofErr w:type="spellStart"/>
      <w:r>
        <w:t>regressors</w:t>
      </w:r>
      <w:proofErr w:type="spellEnd"/>
      <w:r>
        <w:t xml:space="preserve"> </w:t>
      </w:r>
      <w:r w:rsidR="0062297C">
        <w:t xml:space="preserve">are the same across the individuals. The functional form for REM given as follows: </w:t>
      </w:r>
    </w:p>
    <w:p w:rsidR="0062297C" w:rsidRDefault="00A7745D" w:rsidP="0062297C">
      <w:pPr>
        <w:spacing w:after="0"/>
        <w:jc w:val="both"/>
      </w:pPr>
      <m:oMathPara>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 xml:space="preserve">=α+ </m:t>
          </m:r>
          <m:sSub>
            <m:sSubPr>
              <m:ctrlPr>
                <w:rPr>
                  <w:rFonts w:ascii="Cambria Math" w:hAnsi="Cambria Math"/>
                  <w:i/>
                </w:rPr>
              </m:ctrlPr>
            </m:sSubPr>
            <m:e>
              <m:r>
                <w:rPr>
                  <w:rFonts w:ascii="Cambria Math" w:hAnsi="Cambria Math"/>
                </w:rPr>
                <m:t>X</m:t>
              </m:r>
            </m:e>
            <m:sub>
              <m:r>
                <w:rPr>
                  <w:rFonts w:ascii="Cambria Math" w:hAnsi="Cambria Math"/>
                </w:rPr>
                <m:t>it</m:t>
              </m:r>
            </m:sub>
          </m:sSub>
          <m:sSub>
            <m:sSubPr>
              <m:ctrlPr>
                <w:rPr>
                  <w:rFonts w:ascii="Cambria Math" w:hAnsi="Cambria Math"/>
                  <w:i/>
                </w:rPr>
              </m:ctrlPr>
            </m:sSubPr>
            <m:e>
              <m:r>
                <w:rPr>
                  <w:rFonts w:ascii="Cambria Math" w:hAnsi="Cambria Math"/>
                </w:rPr>
                <m:t>β+</m:t>
              </m:r>
              <m:d>
                <m:dPr>
                  <m:ctrlPr>
                    <w:rPr>
                      <w:rFonts w:ascii="Cambria Math" w:hAnsi="Cambria Math"/>
                      <w:i/>
                    </w:rPr>
                  </m:ctrlPr>
                </m:dPr>
                <m:e>
                  <m:r>
                    <w:rPr>
                      <w:rFonts w:ascii="Cambria Math" w:hAnsi="Cambria Math"/>
                    </w:rPr>
                    <m:t xml:space="preserve"> α+ </m:t>
                  </m:r>
                  <m:sSub>
                    <m:sSubPr>
                      <m:ctrlPr>
                        <w:rPr>
                          <w:rFonts w:ascii="Cambria Math" w:hAnsi="Cambria Math"/>
                          <w:i/>
                        </w:rPr>
                      </m:ctrlPr>
                    </m:sSubPr>
                    <m:e>
                      <m:r>
                        <w:rPr>
                          <w:rFonts w:ascii="Cambria Math" w:hAnsi="Cambria Math"/>
                        </w:rPr>
                        <m:t>µ</m:t>
                      </m:r>
                    </m:e>
                    <m:sub>
                      <m:r>
                        <w:rPr>
                          <w:rFonts w:ascii="Cambria Math" w:hAnsi="Cambria Math"/>
                        </w:rPr>
                        <m:t xml:space="preserve">i </m:t>
                      </m:r>
                    </m:sub>
                  </m:sSub>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 xml:space="preserve">t </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it</m:t>
                      </m:r>
                    </m:sub>
                  </m:sSub>
                </m:e>
              </m:d>
            </m:e>
            <m:sub/>
          </m:sSub>
        </m:oMath>
      </m:oMathPara>
    </w:p>
    <w:p w:rsidR="0062297C" w:rsidRDefault="0062297C" w:rsidP="0062297C">
      <w:pPr>
        <w:spacing w:after="0"/>
        <w:jc w:val="both"/>
      </w:pPr>
      <w:proofErr w:type="spellStart"/>
      <w:r>
        <w:t>Breush</w:t>
      </w:r>
      <w:proofErr w:type="spellEnd"/>
      <w:r>
        <w:t xml:space="preserve"> and Pagan test provide a test of the Pooled OLS against REM. The null hypothesis is </w:t>
      </w:r>
      <w:proofErr w:type="gramStart"/>
      <w:r>
        <w:t xml:space="preserve">that </w:t>
      </w:r>
      <w:proofErr w:type="gramEnd"/>
      <m:oMath>
        <m:sSub>
          <m:sSubPr>
            <m:ctrlPr>
              <w:rPr>
                <w:rFonts w:ascii="Cambria Math" w:hAnsi="Cambria Math"/>
                <w:i/>
              </w:rPr>
            </m:ctrlPr>
          </m:sSubPr>
          <m:e>
            <m:sSup>
              <m:sSupPr>
                <m:ctrlPr>
                  <w:rPr>
                    <w:rFonts w:ascii="Cambria Math" w:hAnsi="Cambria Math"/>
                    <w:i/>
                  </w:rPr>
                </m:ctrlPr>
              </m:sSupPr>
              <m:e>
                <m:r>
                  <w:rPr>
                    <w:rFonts w:ascii="Cambria Math" w:hAnsi="Cambria Math"/>
                  </w:rPr>
                  <m:t>σ</m:t>
                </m:r>
              </m:e>
              <m:sup>
                <m:r>
                  <w:rPr>
                    <w:rFonts w:ascii="Cambria Math" w:hAnsi="Cambria Math"/>
                  </w:rPr>
                  <m:t>2</m:t>
                </m:r>
              </m:sup>
            </m:sSup>
          </m:e>
          <m:sub>
            <m:r>
              <w:rPr>
                <w:rFonts w:ascii="Cambria Math" w:hAnsi="Cambria Math"/>
              </w:rPr>
              <m:t>α</m:t>
            </m:r>
          </m:sub>
        </m:sSub>
        <m:r>
          <w:rPr>
            <w:rFonts w:ascii="Cambria Math" w:hAnsi="Cambria Math"/>
          </w:rPr>
          <m:t>=0</m:t>
        </m:r>
      </m:oMath>
      <w:r>
        <w:t>, which is the case where the individual effect do not exist</w:t>
      </w:r>
      <w:r w:rsidRPr="0062297C">
        <w:t xml:space="preserve"> </w:t>
      </w:r>
      <w:r>
        <w:t xml:space="preserve">and Pooled OLS is better. Subsequently, </w:t>
      </w:r>
      <w:r w:rsidR="0035120D">
        <w:t xml:space="preserve">the </w:t>
      </w:r>
      <w:proofErr w:type="spellStart"/>
      <w:r>
        <w:t>hausman</w:t>
      </w:r>
      <w:proofErr w:type="spellEnd"/>
      <w:r>
        <w:t xml:space="preserve"> test initially applied to examine for FEM against REM. In this case, we compare directly the random effect estimators </w:t>
      </w:r>
      <w:r w:rsidR="0035120D">
        <w:t xml:space="preserve">against the fixed effect estimators. The null hypothesis is the REM is preferred, and the alternative is that the FEM is preferred. </w:t>
      </w:r>
    </w:p>
    <w:p w:rsidR="0062297C" w:rsidRPr="005B44C5" w:rsidRDefault="0062297C" w:rsidP="0062297C">
      <w:pPr>
        <w:spacing w:after="0"/>
        <w:jc w:val="both"/>
      </w:pPr>
    </w:p>
    <w:p w:rsidR="008E70B7" w:rsidRPr="00DA74B0" w:rsidRDefault="008E70B7" w:rsidP="00DA74B0">
      <w:pPr>
        <w:pStyle w:val="ListParagraph"/>
        <w:numPr>
          <w:ilvl w:val="0"/>
          <w:numId w:val="3"/>
        </w:numPr>
        <w:spacing w:after="0"/>
        <w:jc w:val="center"/>
        <w:rPr>
          <w:b/>
        </w:rPr>
      </w:pPr>
      <w:r w:rsidRPr="00DA74B0">
        <w:rPr>
          <w:b/>
        </w:rPr>
        <w:t>EMPIRICAL FINDINGS AND DISCUSSION</w:t>
      </w:r>
    </w:p>
    <w:p w:rsidR="00F42D7B" w:rsidRDefault="00F42D7B" w:rsidP="008E70B7">
      <w:pPr>
        <w:spacing w:after="0"/>
        <w:rPr>
          <w:b/>
        </w:rPr>
      </w:pPr>
    </w:p>
    <w:p w:rsidR="004A574C" w:rsidRPr="00F42D7B" w:rsidRDefault="00F42D7B" w:rsidP="008E70B7">
      <w:pPr>
        <w:spacing w:after="0"/>
        <w:rPr>
          <w:i/>
        </w:rPr>
      </w:pPr>
      <w:r w:rsidRPr="00F42D7B">
        <w:rPr>
          <w:b/>
          <w:i/>
        </w:rPr>
        <w:t>Descriptive Statistics</w:t>
      </w:r>
    </w:p>
    <w:p w:rsidR="007313D3" w:rsidRDefault="007313D3" w:rsidP="007313D3">
      <w:pPr>
        <w:spacing w:after="0"/>
        <w:jc w:val="both"/>
      </w:pPr>
      <w:r>
        <w:t xml:space="preserve">The table 1 below depicts the average value of several selected variables such as warrant price (adjusted call value), misprice, spot price, warrant price, stock return, volatility, maturity, share outstanding, and warrant outstanding. In this particular study, we can get insight </w:t>
      </w:r>
      <w:r w:rsidR="008E048A">
        <w:t xml:space="preserve">so of </w:t>
      </w:r>
      <w:r w:rsidR="009453DA">
        <w:t>four</w:t>
      </w:r>
      <w:r>
        <w:t xml:space="preserve"> companies listed in Bursa Malaysia (namely: MHC, MKH, YFG, and UNISEM) and their val</w:t>
      </w:r>
      <w:r w:rsidR="009453DA">
        <w:t xml:space="preserve">ue. For the warrant price, MKH </w:t>
      </w:r>
      <w:proofErr w:type="spellStart"/>
      <w:r w:rsidR="009453DA">
        <w:t>B</w:t>
      </w:r>
      <w:r>
        <w:t>erhad</w:t>
      </w:r>
      <w:proofErr w:type="spellEnd"/>
      <w:r>
        <w:t xml:space="preserve"> entitled as the highest price of warrant at RM0.5924</w:t>
      </w:r>
      <w:r w:rsidR="008E048A">
        <w:t>,</w:t>
      </w:r>
      <w:r>
        <w:t xml:space="preserve"> while the lowest price of warrant is YFG at RM0.0903. Subsequently, </w:t>
      </w:r>
      <w:r w:rsidR="008E048A">
        <w:t xml:space="preserve">when </w:t>
      </w:r>
      <w:r>
        <w:t xml:space="preserve">the </w:t>
      </w:r>
      <w:r w:rsidR="008E048A">
        <w:t>company has</w:t>
      </w:r>
      <w:r>
        <w:t xml:space="preserve"> </w:t>
      </w:r>
      <w:r w:rsidR="008E048A">
        <w:t>the highest warrant price</w:t>
      </w:r>
      <w:r>
        <w:t xml:space="preserve">, </w:t>
      </w:r>
      <w:r w:rsidR="008E048A">
        <w:t xml:space="preserve">therefore their stock price will be highest.  </w:t>
      </w:r>
      <w:proofErr w:type="spellStart"/>
      <w:proofErr w:type="gramStart"/>
      <w:r w:rsidR="008E048A">
        <w:t>Its</w:t>
      </w:r>
      <w:proofErr w:type="spellEnd"/>
      <w:proofErr w:type="gramEnd"/>
      <w:r w:rsidR="008E048A">
        <w:t xml:space="preserve"> clearly seen that MKH </w:t>
      </w:r>
      <w:proofErr w:type="spellStart"/>
      <w:r w:rsidR="008E048A">
        <w:t>Berhad</w:t>
      </w:r>
      <w:proofErr w:type="spellEnd"/>
      <w:r w:rsidR="008E048A">
        <w:t xml:space="preserve"> has RM2.1470 for its stock price, thus, this companies becomes the highest value of all observed companies. The </w:t>
      </w:r>
      <w:r w:rsidR="00B703F6">
        <w:t>reason</w:t>
      </w:r>
      <w:r w:rsidR="008E048A">
        <w:t xml:space="preserve"> behind this is that because the warrant is the right to buy a stock, even with the conversion ratio is equal to one. Thus, the higher stock price of companies, the higher warrant price will be. </w:t>
      </w:r>
    </w:p>
    <w:p w:rsidR="00740FD8" w:rsidRDefault="00740FD8" w:rsidP="007313D3">
      <w:pPr>
        <w:spacing w:after="0"/>
        <w:jc w:val="both"/>
      </w:pPr>
    </w:p>
    <w:p w:rsidR="00740FD8" w:rsidRDefault="00740FD8" w:rsidP="007313D3">
      <w:pPr>
        <w:spacing w:after="0"/>
        <w:jc w:val="both"/>
      </w:pPr>
      <w:r>
        <w:t xml:space="preserve">Apart from that, since the MKH has the highest value of both stock price and warrant price, in turn, its yield is also high at 0.2930% in average. In contrast, the MHC generates a negative yield for its stock by -0.0740%. </w:t>
      </w:r>
      <w:proofErr w:type="spellStart"/>
      <w:proofErr w:type="gramStart"/>
      <w:r w:rsidR="00B703F6">
        <w:t>Its</w:t>
      </w:r>
      <w:proofErr w:type="spellEnd"/>
      <w:proofErr w:type="gramEnd"/>
      <w:r w:rsidR="00B703F6">
        <w:t xml:space="preserve"> also true for YFG at which obtained negative yield at -0.0235% during same </w:t>
      </w:r>
      <w:r w:rsidR="00B703F6">
        <w:lastRenderedPageBreak/>
        <w:t xml:space="preserve">period. </w:t>
      </w:r>
      <w:r w:rsidR="00121A40">
        <w:t>Moreover</w:t>
      </w:r>
      <w:r w:rsidR="000B28B8">
        <w:t xml:space="preserve">, the companies </w:t>
      </w:r>
      <w:r w:rsidR="00121A40">
        <w:t>that</w:t>
      </w:r>
      <w:r w:rsidR="000B28B8">
        <w:t xml:space="preserve"> have a highest return, the maturity will be longer as well. It can be seen that the MKH has the longer maturity in average at 1,703 days until expiration period. </w:t>
      </w:r>
    </w:p>
    <w:p w:rsidR="007313D3" w:rsidRPr="007313D3" w:rsidRDefault="007313D3" w:rsidP="007313D3">
      <w:pPr>
        <w:spacing w:after="0"/>
        <w:jc w:val="both"/>
      </w:pPr>
    </w:p>
    <w:p w:rsidR="00EC5699" w:rsidRDefault="008E70B7" w:rsidP="008E70B7">
      <w:pPr>
        <w:spacing w:after="0"/>
      </w:pPr>
      <w:proofErr w:type="gramStart"/>
      <w:r w:rsidRPr="008E70B7">
        <w:rPr>
          <w:b/>
        </w:rPr>
        <w:t>Table 1</w:t>
      </w:r>
      <w:r>
        <w:t>.</w:t>
      </w:r>
      <w:proofErr w:type="gramEnd"/>
      <w:r>
        <w:t xml:space="preserve"> Descriptive Statistics </w:t>
      </w:r>
    </w:p>
    <w:tbl>
      <w:tblPr>
        <w:tblpPr w:leftFromText="180" w:rightFromText="180" w:vertAnchor="text" w:horzAnchor="margin" w:tblpY="114"/>
        <w:tblW w:w="0" w:type="auto"/>
        <w:tblLook w:val="0000" w:firstRow="0" w:lastRow="0" w:firstColumn="0" w:lastColumn="0" w:noHBand="0" w:noVBand="0"/>
      </w:tblPr>
      <w:tblGrid>
        <w:gridCol w:w="908"/>
        <w:gridCol w:w="721"/>
        <w:gridCol w:w="903"/>
        <w:gridCol w:w="924"/>
        <w:gridCol w:w="978"/>
        <w:gridCol w:w="963"/>
        <w:gridCol w:w="867"/>
        <w:gridCol w:w="857"/>
        <w:gridCol w:w="1047"/>
        <w:gridCol w:w="1120"/>
      </w:tblGrid>
      <w:tr w:rsidR="008E70B7"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rPr>
                <w:rFonts w:ascii="Calibri" w:hAnsi="Calibri" w:cs="Calibri"/>
                <w:color w:val="000000"/>
                <w:sz w:val="18"/>
                <w:szCs w:val="18"/>
              </w:rPr>
            </w:pPr>
            <w:r w:rsidRPr="008E70B7">
              <w:rPr>
                <w:rFonts w:ascii="Calibri" w:hAnsi="Calibri" w:cs="Calibri"/>
                <w:color w:val="000000"/>
                <w:sz w:val="18"/>
                <w:szCs w:val="18"/>
              </w:rPr>
              <w:t>Company</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b/>
                <w:bCs/>
                <w:color w:val="000000"/>
                <w:sz w:val="18"/>
                <w:szCs w:val="18"/>
              </w:rPr>
            </w:pPr>
            <w:proofErr w:type="spellStart"/>
            <w:r w:rsidRPr="008E70B7">
              <w:rPr>
                <w:rFonts w:ascii="Calibri" w:hAnsi="Calibri" w:cs="Calibri"/>
                <w:b/>
                <w:bCs/>
                <w:color w:val="000000"/>
                <w:sz w:val="18"/>
                <w:szCs w:val="18"/>
              </w:rPr>
              <w:t>Adj</w:t>
            </w:r>
            <w:proofErr w:type="spellEnd"/>
            <w:r w:rsidRPr="008E70B7">
              <w:rPr>
                <w:rFonts w:ascii="Calibri" w:hAnsi="Calibri" w:cs="Calibri"/>
                <w:b/>
                <w:bCs/>
                <w:color w:val="000000"/>
                <w:sz w:val="18"/>
                <w:szCs w:val="18"/>
              </w:rPr>
              <w:t xml:space="preserve"> C</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b/>
                <w:bCs/>
                <w:color w:val="000000"/>
                <w:sz w:val="18"/>
                <w:szCs w:val="18"/>
              </w:rPr>
            </w:pPr>
            <w:r w:rsidRPr="008E70B7">
              <w:rPr>
                <w:rFonts w:ascii="Calibri" w:hAnsi="Calibri" w:cs="Calibri"/>
                <w:b/>
                <w:bCs/>
                <w:color w:val="000000"/>
                <w:sz w:val="18"/>
                <w:szCs w:val="18"/>
              </w:rPr>
              <w:t>Misprice</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color w:val="000000"/>
                <w:sz w:val="18"/>
                <w:szCs w:val="18"/>
              </w:rPr>
            </w:pPr>
            <w:r w:rsidRPr="008E70B7">
              <w:rPr>
                <w:rFonts w:ascii="Calibri" w:hAnsi="Calibri" w:cs="Calibri"/>
                <w:color w:val="000000"/>
                <w:sz w:val="18"/>
                <w:szCs w:val="18"/>
              </w:rPr>
              <w:t>Spot Price (S0)</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color w:val="000000"/>
                <w:sz w:val="18"/>
                <w:szCs w:val="18"/>
              </w:rPr>
            </w:pPr>
            <w:r w:rsidRPr="008E70B7">
              <w:rPr>
                <w:rFonts w:ascii="Calibri" w:hAnsi="Calibri" w:cs="Calibri"/>
                <w:color w:val="000000"/>
                <w:sz w:val="18"/>
                <w:szCs w:val="18"/>
              </w:rPr>
              <w:t>Warrant Price</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rPr>
                <w:rFonts w:ascii="Calibri" w:hAnsi="Calibri" w:cs="Calibri"/>
                <w:color w:val="000000"/>
                <w:sz w:val="18"/>
                <w:szCs w:val="18"/>
              </w:rPr>
            </w:pPr>
            <w:proofErr w:type="gramStart"/>
            <w:r w:rsidRPr="008E70B7">
              <w:rPr>
                <w:rFonts w:ascii="Calibri" w:hAnsi="Calibri" w:cs="Calibri"/>
                <w:color w:val="000000"/>
                <w:sz w:val="18"/>
                <w:szCs w:val="18"/>
              </w:rPr>
              <w:t>stock</w:t>
            </w:r>
            <w:proofErr w:type="gramEnd"/>
            <w:r w:rsidRPr="008E70B7">
              <w:rPr>
                <w:rFonts w:ascii="Calibri" w:hAnsi="Calibri" w:cs="Calibri"/>
                <w:color w:val="000000"/>
                <w:sz w:val="18"/>
                <w:szCs w:val="18"/>
              </w:rPr>
              <w:t xml:space="preserve"> return (%)</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rPr>
                <w:rFonts w:ascii="Calibri" w:hAnsi="Calibri" w:cs="Calibri"/>
                <w:color w:val="000000"/>
                <w:sz w:val="18"/>
                <w:szCs w:val="18"/>
              </w:rPr>
            </w:pPr>
            <w:r w:rsidRPr="008E70B7">
              <w:rPr>
                <w:rFonts w:ascii="Calibri" w:hAnsi="Calibri" w:cs="Calibri"/>
                <w:color w:val="000000"/>
                <w:sz w:val="18"/>
                <w:szCs w:val="18"/>
              </w:rPr>
              <w:t>Volatility</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color w:val="000000"/>
                <w:sz w:val="18"/>
                <w:szCs w:val="18"/>
              </w:rPr>
            </w:pPr>
            <w:r w:rsidRPr="008E70B7">
              <w:rPr>
                <w:rFonts w:ascii="Calibri" w:hAnsi="Calibri" w:cs="Calibri"/>
                <w:color w:val="000000"/>
                <w:sz w:val="18"/>
                <w:szCs w:val="18"/>
              </w:rPr>
              <w:t>Maturity</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color w:val="000000"/>
                <w:sz w:val="18"/>
                <w:szCs w:val="18"/>
              </w:rPr>
            </w:pPr>
            <w:r w:rsidRPr="008E70B7">
              <w:rPr>
                <w:rFonts w:ascii="Calibri" w:hAnsi="Calibri" w:cs="Calibri"/>
                <w:color w:val="000000"/>
                <w:sz w:val="18"/>
                <w:szCs w:val="18"/>
              </w:rPr>
              <w:t>Share Outs.</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8E70B7" w:rsidRDefault="008E70B7" w:rsidP="008E70B7">
            <w:pPr>
              <w:autoSpaceDE w:val="0"/>
              <w:autoSpaceDN w:val="0"/>
              <w:adjustRightInd w:val="0"/>
              <w:spacing w:after="0"/>
              <w:jc w:val="center"/>
              <w:rPr>
                <w:rFonts w:ascii="Calibri" w:hAnsi="Calibri" w:cs="Calibri"/>
                <w:color w:val="000000"/>
                <w:sz w:val="18"/>
                <w:szCs w:val="18"/>
              </w:rPr>
            </w:pPr>
            <w:r w:rsidRPr="008E70B7">
              <w:rPr>
                <w:rFonts w:ascii="Calibri" w:hAnsi="Calibri" w:cs="Calibri"/>
                <w:color w:val="000000"/>
                <w:sz w:val="18"/>
                <w:szCs w:val="18"/>
              </w:rPr>
              <w:t>Warrant Outs.</w:t>
            </w:r>
          </w:p>
        </w:tc>
      </w:tr>
      <w:tr w:rsidR="0040106C"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rPr>
                <w:rFonts w:ascii="Calibri" w:hAnsi="Calibri" w:cs="Calibri"/>
                <w:color w:val="000000"/>
                <w:sz w:val="18"/>
                <w:szCs w:val="18"/>
              </w:rPr>
            </w:pPr>
            <w:r w:rsidRPr="008E70B7">
              <w:rPr>
                <w:rFonts w:ascii="Calibri" w:hAnsi="Calibri" w:cs="Calibri"/>
                <w:color w:val="000000"/>
                <w:sz w:val="18"/>
                <w:szCs w:val="18"/>
              </w:rPr>
              <w:t>MHC</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0.7330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-60.3976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1.0883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F639D3">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0.2911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-0.0740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1.4600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1631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196540000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56155000</w:t>
            </w:r>
          </w:p>
        </w:tc>
      </w:tr>
      <w:tr w:rsidR="0040106C"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rPr>
                <w:rFonts w:ascii="Calibri" w:hAnsi="Calibri" w:cs="Calibri"/>
                <w:color w:val="000000"/>
                <w:sz w:val="18"/>
                <w:szCs w:val="18"/>
              </w:rPr>
            </w:pPr>
            <w:r w:rsidRPr="008E70B7">
              <w:rPr>
                <w:rFonts w:ascii="Calibri" w:hAnsi="Calibri" w:cs="Calibri"/>
                <w:color w:val="000000"/>
                <w:sz w:val="18"/>
                <w:szCs w:val="18"/>
              </w:rPr>
              <w:t>MKH</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1.9283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-88.5051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2.1470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F639D3">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w:t>
            </w:r>
            <w:r>
              <w:rPr>
                <w:rFonts w:ascii="Calibri" w:hAnsi="Calibri" w:cs="Calibri"/>
                <w:color w:val="000000"/>
                <w:sz w:val="18"/>
                <w:szCs w:val="18"/>
              </w:rPr>
              <w:t>2167</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0.2930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2.2542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1703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296340000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29104000</w:t>
            </w:r>
          </w:p>
        </w:tc>
      </w:tr>
      <w:tr w:rsidR="0040106C"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rPr>
                <w:rFonts w:ascii="Calibri" w:hAnsi="Calibri" w:cs="Calibri"/>
                <w:color w:val="000000"/>
                <w:sz w:val="18"/>
                <w:szCs w:val="18"/>
              </w:rPr>
            </w:pPr>
            <w:r w:rsidRPr="008E70B7">
              <w:rPr>
                <w:rFonts w:ascii="Calibri" w:hAnsi="Calibri" w:cs="Calibri"/>
                <w:color w:val="000000"/>
                <w:sz w:val="18"/>
                <w:szCs w:val="18"/>
              </w:rPr>
              <w:t>YFG</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0.0981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178.0546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0.1472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F639D3">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w:t>
            </w:r>
            <w:r>
              <w:rPr>
                <w:rFonts w:ascii="Calibri" w:hAnsi="Calibri" w:cs="Calibri"/>
                <w:color w:val="000000"/>
                <w:sz w:val="18"/>
                <w:szCs w:val="18"/>
              </w:rPr>
              <w:t>2600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-0.0235</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3.4123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1424</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609070000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304534000</w:t>
            </w:r>
          </w:p>
        </w:tc>
      </w:tr>
      <w:tr w:rsidR="0040106C"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rPr>
                <w:rFonts w:ascii="Calibri" w:hAnsi="Calibri" w:cs="Calibri"/>
                <w:color w:val="000000"/>
                <w:sz w:val="18"/>
                <w:szCs w:val="18"/>
              </w:rPr>
            </w:pPr>
            <w:r w:rsidRPr="008E70B7">
              <w:rPr>
                <w:rFonts w:ascii="Calibri" w:hAnsi="Calibri" w:cs="Calibri"/>
                <w:color w:val="000000"/>
                <w:sz w:val="18"/>
                <w:szCs w:val="18"/>
              </w:rPr>
              <w:t>UNISEM</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0.5660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2226FC" w:rsidRDefault="0040106C" w:rsidP="008E70B7">
            <w:pPr>
              <w:autoSpaceDE w:val="0"/>
              <w:autoSpaceDN w:val="0"/>
              <w:adjustRightInd w:val="0"/>
              <w:spacing w:after="0"/>
              <w:jc w:val="right"/>
              <w:rPr>
                <w:rFonts w:ascii="Calibri" w:hAnsi="Calibri" w:cs="Calibri"/>
                <w:b/>
                <w:color w:val="000000"/>
                <w:sz w:val="18"/>
                <w:szCs w:val="18"/>
              </w:rPr>
            </w:pPr>
            <w:r w:rsidRPr="002226FC">
              <w:rPr>
                <w:rFonts w:ascii="Calibri" w:hAnsi="Calibri" w:cs="Calibri"/>
                <w:b/>
                <w:color w:val="000000"/>
                <w:sz w:val="18"/>
                <w:szCs w:val="18"/>
              </w:rPr>
              <w:t>-40.8163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0.9896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F639D3">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0.3259</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0.1086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1.3715</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1285</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674230000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40106C" w:rsidRPr="008E70B7" w:rsidRDefault="0040106C" w:rsidP="008E70B7">
            <w:pPr>
              <w:autoSpaceDE w:val="0"/>
              <w:autoSpaceDN w:val="0"/>
              <w:adjustRightInd w:val="0"/>
              <w:spacing w:after="0"/>
              <w:jc w:val="right"/>
              <w:rPr>
                <w:rFonts w:ascii="Calibri" w:hAnsi="Calibri" w:cs="Calibri"/>
                <w:color w:val="000000"/>
                <w:sz w:val="18"/>
                <w:szCs w:val="18"/>
              </w:rPr>
            </w:pPr>
            <w:r w:rsidRPr="008E70B7">
              <w:rPr>
                <w:rFonts w:ascii="Calibri" w:hAnsi="Calibri" w:cs="Calibri"/>
                <w:color w:val="000000"/>
                <w:sz w:val="18"/>
                <w:szCs w:val="18"/>
              </w:rPr>
              <w:t>168540000</w:t>
            </w:r>
          </w:p>
        </w:tc>
      </w:tr>
    </w:tbl>
    <w:p w:rsidR="008E70B7" w:rsidRDefault="008E70B7" w:rsidP="008E70B7">
      <w:pPr>
        <w:spacing w:after="0"/>
      </w:pPr>
    </w:p>
    <w:p w:rsidR="00F42D7B" w:rsidRPr="00F42D7B" w:rsidRDefault="00F42D7B" w:rsidP="00121A40">
      <w:pPr>
        <w:spacing w:after="0"/>
        <w:jc w:val="both"/>
        <w:rPr>
          <w:b/>
          <w:i/>
        </w:rPr>
      </w:pPr>
      <w:proofErr w:type="spellStart"/>
      <w:r w:rsidRPr="00F42D7B">
        <w:rPr>
          <w:b/>
          <w:i/>
        </w:rPr>
        <w:t>Moneyness</w:t>
      </w:r>
      <w:proofErr w:type="spellEnd"/>
    </w:p>
    <w:p w:rsidR="00121A40" w:rsidRDefault="00F42D7B" w:rsidP="00121A40">
      <w:pPr>
        <w:spacing w:after="0"/>
        <w:jc w:val="both"/>
      </w:pPr>
      <w:r>
        <w:t xml:space="preserve">Basically, </w:t>
      </w:r>
      <w:proofErr w:type="spellStart"/>
      <w:r>
        <w:t>m</w:t>
      </w:r>
      <w:r w:rsidR="00121A40">
        <w:t>oneyness</w:t>
      </w:r>
      <w:proofErr w:type="spellEnd"/>
      <w:r w:rsidR="00121A40">
        <w:t xml:space="preserve"> is the terminologies to define whether the warrant can make money (profitable) or not. According to </w:t>
      </w:r>
      <w:proofErr w:type="spellStart"/>
      <w:r w:rsidR="00121A40">
        <w:t>Bacha</w:t>
      </w:r>
      <w:proofErr w:type="spellEnd"/>
      <w:r w:rsidR="00121A40">
        <w:t xml:space="preserve"> (2012), there are two important consider</w:t>
      </w:r>
      <w:r w:rsidR="00AB1300">
        <w:t xml:space="preserve">ations in describing </w:t>
      </w:r>
      <w:proofErr w:type="spellStart"/>
      <w:r w:rsidR="00AB1300">
        <w:t>moneyness</w:t>
      </w:r>
      <w:proofErr w:type="spellEnd"/>
      <w:r w:rsidR="00AB1300">
        <w:t xml:space="preserve">; (1) </w:t>
      </w:r>
      <w:proofErr w:type="spellStart"/>
      <w:r w:rsidR="00AB1300">
        <w:t>moneyness</w:t>
      </w:r>
      <w:proofErr w:type="spellEnd"/>
      <w:r w:rsidR="00AB1300">
        <w:t xml:space="preserve"> is always considered as the long position, rather than the seller position, (2) </w:t>
      </w:r>
      <w:r w:rsidR="005443F4">
        <w:t xml:space="preserve">Compare </w:t>
      </w:r>
      <w:r w:rsidR="00AB1300">
        <w:t>the present value of exercise price of warrant with the current value of underlying stocks. Table 2 below exhibit</w:t>
      </w:r>
      <w:r w:rsidR="007A1968">
        <w:t>s</w:t>
      </w:r>
      <w:r w:rsidR="00AB1300">
        <w:t xml:space="preserve"> the warrant </w:t>
      </w:r>
      <w:proofErr w:type="spellStart"/>
      <w:r w:rsidR="00AB1300">
        <w:t>moneyness</w:t>
      </w:r>
      <w:proofErr w:type="spellEnd"/>
      <w:r w:rsidR="00AB1300">
        <w:t xml:space="preserve"> for four selected companies in this particular study. </w:t>
      </w:r>
      <w:proofErr w:type="spellStart"/>
      <w:proofErr w:type="gramStart"/>
      <w:r w:rsidR="00AB1300">
        <w:t>Its</w:t>
      </w:r>
      <w:proofErr w:type="spellEnd"/>
      <w:proofErr w:type="gramEnd"/>
      <w:r w:rsidR="00AB1300">
        <w:t xml:space="preserve"> clear that out of 4 observed companies, there are 3 companies which is MHC, MKH, and UNISEM are out-the-money (OTM), which means that the value of exercise price is greater than the value of underlying stock price. Therefore, the warrant of MHC, MKH, and UNISEM are no longer profitable for its investors. In contrast, there is only one company which is in-the-money (ITM) at which the company namely YFG is profitable in regards of warrant holders. </w:t>
      </w:r>
    </w:p>
    <w:p w:rsidR="00121A40" w:rsidRDefault="00121A40" w:rsidP="008E70B7">
      <w:pPr>
        <w:spacing w:after="0"/>
      </w:pPr>
    </w:p>
    <w:p w:rsidR="007A1968" w:rsidRDefault="007A1968" w:rsidP="007A1968">
      <w:pPr>
        <w:spacing w:after="0"/>
        <w:jc w:val="both"/>
      </w:pPr>
      <w:r>
        <w:t xml:space="preserve">Since the three observed companies (MHC, MKH, and UNISEM) are out-the-money warrant, thus, the investors are over-expectation on the performance of the stocks in the future. Put in another way, the stock price does not perform well to cater the expectation of the market participants in the future, since the warrant is the right to buy the stocks that reflects on the expectations of investors to its underlying stocks. </w:t>
      </w:r>
    </w:p>
    <w:p w:rsidR="007808F8" w:rsidRDefault="007808F8" w:rsidP="008E70B7">
      <w:pPr>
        <w:spacing w:after="0"/>
        <w:rPr>
          <w:b/>
        </w:rPr>
      </w:pPr>
    </w:p>
    <w:p w:rsidR="00DA74B0" w:rsidRDefault="008E70B7" w:rsidP="008E70B7">
      <w:pPr>
        <w:spacing w:after="0"/>
      </w:pPr>
      <w:proofErr w:type="gramStart"/>
      <w:r w:rsidRPr="008E70B7">
        <w:rPr>
          <w:b/>
        </w:rPr>
        <w:t>Table 2</w:t>
      </w:r>
      <w:r>
        <w:t>.</w:t>
      </w:r>
      <w:proofErr w:type="gramEnd"/>
      <w:r>
        <w:t xml:space="preserve"> Warrant </w:t>
      </w:r>
      <w:proofErr w:type="spellStart"/>
      <w:r>
        <w:t>Moneyness</w:t>
      </w:r>
      <w:proofErr w:type="spellEnd"/>
    </w:p>
    <w:tbl>
      <w:tblPr>
        <w:tblW w:w="0" w:type="auto"/>
        <w:tblInd w:w="78" w:type="dxa"/>
        <w:tblLook w:val="0000" w:firstRow="0" w:lastRow="0" w:firstColumn="0" w:lastColumn="0" w:noHBand="0" w:noVBand="0"/>
      </w:tblPr>
      <w:tblGrid>
        <w:gridCol w:w="985"/>
        <w:gridCol w:w="1394"/>
        <w:gridCol w:w="774"/>
        <w:gridCol w:w="1584"/>
        <w:gridCol w:w="1151"/>
        <w:gridCol w:w="936"/>
        <w:gridCol w:w="1182"/>
        <w:gridCol w:w="1044"/>
      </w:tblGrid>
      <w:tr w:rsidR="008E70B7" w:rsidRPr="008E70B7" w:rsidTr="00F42D7B">
        <w:trPr>
          <w:trHeight w:val="288"/>
        </w:trPr>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Company</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Spot Price (S0)</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DA74B0"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R</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Exercise Price (k)</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maturity (t)</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w:t>
            </w:r>
            <w:proofErr w:type="spellStart"/>
            <w:r w:rsidRPr="00DA74B0">
              <w:rPr>
                <w:rFonts w:ascii="Calibri" w:hAnsi="Calibri" w:cs="Calibri"/>
                <w:color w:val="000000"/>
                <w:sz w:val="20"/>
                <w:szCs w:val="20"/>
              </w:rPr>
              <w:t>rt</w:t>
            </w:r>
            <w:proofErr w:type="spellEnd"/>
            <w:r w:rsidRPr="00DA74B0">
              <w:rPr>
                <w:rFonts w:ascii="Calibri" w:hAnsi="Calibri" w:cs="Calibri"/>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b/>
                <w:color w:val="000000"/>
                <w:sz w:val="20"/>
                <w:szCs w:val="20"/>
              </w:rPr>
            </w:pPr>
            <w:proofErr w:type="spellStart"/>
            <w:r w:rsidRPr="00DA74B0">
              <w:rPr>
                <w:rFonts w:ascii="Calibri" w:hAnsi="Calibri" w:cs="Calibri"/>
                <w:b/>
                <w:color w:val="000000"/>
                <w:sz w:val="20"/>
                <w:szCs w:val="20"/>
              </w:rPr>
              <w:t>moneyness</w:t>
            </w:r>
            <w:proofErr w:type="spellEnd"/>
          </w:p>
        </w:tc>
        <w:tc>
          <w:tcPr>
            <w:tcW w:w="1044" w:type="dxa"/>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740FD8"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S</w:t>
            </w:r>
            <w:r w:rsidR="008E70B7" w:rsidRPr="00DA74B0">
              <w:rPr>
                <w:rFonts w:ascii="Calibri" w:hAnsi="Calibri" w:cs="Calibri"/>
                <w:color w:val="000000"/>
                <w:sz w:val="20"/>
                <w:szCs w:val="20"/>
              </w:rPr>
              <w:t>tatus</w:t>
            </w:r>
          </w:p>
        </w:tc>
      </w:tr>
      <w:tr w:rsidR="008E70B7" w:rsidRPr="008E70B7" w:rsidTr="00F42D7B">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MHC</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1.0883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0.0322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1.56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1631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-52.5137</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0.16136889</w:t>
            </w:r>
          </w:p>
        </w:tc>
        <w:tc>
          <w:tcPr>
            <w:tcW w:w="1044"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OTM</w:t>
            </w:r>
          </w:p>
        </w:tc>
      </w:tr>
      <w:tr w:rsidR="008E70B7" w:rsidRPr="008E70B7" w:rsidTr="00F42D7B">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MKH</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2.1470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0.0322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2.26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1703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-54.8260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1.42979514</w:t>
            </w:r>
          </w:p>
        </w:tc>
        <w:tc>
          <w:tcPr>
            <w:tcW w:w="1044"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OTM</w:t>
            </w:r>
          </w:p>
        </w:tc>
      </w:tr>
      <w:tr w:rsidR="008E70B7" w:rsidRPr="008E70B7" w:rsidTr="00F42D7B">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YFG</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0.1472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0.0322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0.13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1424</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-45.8443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-0.8869898</w:t>
            </w:r>
          </w:p>
        </w:tc>
        <w:tc>
          <w:tcPr>
            <w:tcW w:w="1044"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ITM</w:t>
            </w:r>
          </w:p>
        </w:tc>
      </w:tr>
      <w:tr w:rsidR="008E70B7" w:rsidRPr="008E70B7" w:rsidTr="00F42D7B">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UNISEM</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0.9896</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0.0322</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2.18</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1285</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-41.3887</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0.07914921</w:t>
            </w:r>
          </w:p>
        </w:tc>
        <w:tc>
          <w:tcPr>
            <w:tcW w:w="1044" w:type="dxa"/>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OTM</w:t>
            </w:r>
          </w:p>
        </w:tc>
      </w:tr>
    </w:tbl>
    <w:p w:rsidR="00DA74B0" w:rsidRDefault="00DA74B0" w:rsidP="00F639D3">
      <w:pPr>
        <w:spacing w:after="0"/>
      </w:pPr>
    </w:p>
    <w:p w:rsidR="00F42D7B" w:rsidRDefault="00F42D7B" w:rsidP="008E70B7">
      <w:pPr>
        <w:spacing w:after="0"/>
        <w:rPr>
          <w:b/>
          <w:i/>
        </w:rPr>
      </w:pPr>
      <w:r w:rsidRPr="00F42D7B">
        <w:rPr>
          <w:b/>
          <w:i/>
        </w:rPr>
        <w:t>Mispricing</w:t>
      </w:r>
    </w:p>
    <w:p w:rsidR="00F42D7B" w:rsidRDefault="00F42D7B" w:rsidP="00C3442E">
      <w:pPr>
        <w:spacing w:after="0"/>
        <w:jc w:val="both"/>
      </w:pPr>
      <w:r>
        <w:t xml:space="preserve">Mispricing can be defined as the difference between the current prices and theoretical prices of warrants (adjusted c). The theoretical price can be determined based on BSOPM </w:t>
      </w:r>
      <w:r w:rsidR="00C3442E">
        <w:t>with some adjustment, because the BSOPM itself utilized in order to find the call option value. Table 3 below shows us the mispricing value for four observed companies. It’s clearly seen that there three warrants which are underpriced, namely MHC, MKH, and UNISEM, while YFG entitled as overpriced. In addition, the number of companies which are underpriced is greater than overpriced com</w:t>
      </w:r>
      <w:r w:rsidR="00CC4E27">
        <w:t xml:space="preserve">panies. The logic is that because the investors’ expectation toward the companies is lower relative to the real performance of the companies. Thus, </w:t>
      </w:r>
      <w:r w:rsidR="009453DA">
        <w:t xml:space="preserve">in this study, </w:t>
      </w:r>
      <w:r w:rsidR="00BE345F">
        <w:t xml:space="preserve">the BSOPM is consistently mispricing the warrant </w:t>
      </w:r>
      <w:r w:rsidR="00BE345F">
        <w:lastRenderedPageBreak/>
        <w:t xml:space="preserve">either in-the-money or out-the money warrants. The </w:t>
      </w:r>
      <w:r w:rsidR="005443F4">
        <w:t xml:space="preserve">market is </w:t>
      </w:r>
      <w:r w:rsidR="00BE345F">
        <w:t>i</w:t>
      </w:r>
      <w:r w:rsidR="00CC4E27">
        <w:t>n</w:t>
      </w:r>
      <w:r w:rsidR="005443F4">
        <w:t>-efficient</w:t>
      </w:r>
      <w:r w:rsidR="00BE345F">
        <w:t xml:space="preserve"> on the warrant traded of four observed companies</w:t>
      </w:r>
      <w:r w:rsidR="00CC4E27">
        <w:t xml:space="preserve">. </w:t>
      </w:r>
    </w:p>
    <w:p w:rsidR="002D2286" w:rsidRPr="00F42D7B" w:rsidRDefault="002D2286" w:rsidP="00C3442E">
      <w:pPr>
        <w:spacing w:after="0"/>
        <w:jc w:val="both"/>
      </w:pPr>
    </w:p>
    <w:p w:rsidR="008E70B7" w:rsidRDefault="008E70B7" w:rsidP="008E70B7">
      <w:pPr>
        <w:spacing w:after="0"/>
      </w:pPr>
      <w:proofErr w:type="gramStart"/>
      <w:r w:rsidRPr="008E70B7">
        <w:rPr>
          <w:b/>
        </w:rPr>
        <w:t>Table 3</w:t>
      </w:r>
      <w:r>
        <w:t>.</w:t>
      </w:r>
      <w:proofErr w:type="gramEnd"/>
      <w:r>
        <w:t xml:space="preserve"> Warrant Mispricing</w:t>
      </w:r>
      <w:r w:rsidR="009453DA">
        <w:t xml:space="preserve"> (%)</w:t>
      </w:r>
    </w:p>
    <w:tbl>
      <w:tblPr>
        <w:tblW w:w="0" w:type="auto"/>
        <w:tblInd w:w="78" w:type="dxa"/>
        <w:tblLook w:val="0000" w:firstRow="0" w:lastRow="0" w:firstColumn="0" w:lastColumn="0" w:noHBand="0" w:noVBand="0"/>
      </w:tblPr>
      <w:tblGrid>
        <w:gridCol w:w="985"/>
        <w:gridCol w:w="1346"/>
        <w:gridCol w:w="2144"/>
        <w:gridCol w:w="1235"/>
        <w:gridCol w:w="1376"/>
        <w:gridCol w:w="1083"/>
      </w:tblGrid>
      <w:tr w:rsidR="008E70B7"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Company</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Warrant Price</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proofErr w:type="spellStart"/>
            <w:r w:rsidRPr="00DA74B0">
              <w:rPr>
                <w:rFonts w:ascii="Calibri" w:hAnsi="Calibri" w:cs="Calibri"/>
                <w:color w:val="000000"/>
                <w:sz w:val="20"/>
                <w:szCs w:val="20"/>
              </w:rPr>
              <w:t>Adj.C</w:t>
            </w:r>
            <w:proofErr w:type="spellEnd"/>
            <w:r w:rsidR="009453DA" w:rsidRPr="00DA74B0">
              <w:rPr>
                <w:rFonts w:ascii="Calibri" w:hAnsi="Calibri" w:cs="Calibri"/>
                <w:color w:val="000000"/>
                <w:sz w:val="20"/>
                <w:szCs w:val="20"/>
              </w:rPr>
              <w:t xml:space="preserve"> (theoretical price)</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Shares Outs.</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Warrant Outs.</w:t>
            </w:r>
          </w:p>
        </w:tc>
        <w:tc>
          <w:tcPr>
            <w:tcW w:w="0" w:type="auto"/>
            <w:tcBorders>
              <w:top w:val="single" w:sz="6" w:space="0" w:color="auto"/>
              <w:left w:val="single" w:sz="6" w:space="0" w:color="auto"/>
              <w:bottom w:val="single" w:sz="6" w:space="0" w:color="auto"/>
              <w:right w:val="single" w:sz="6" w:space="0" w:color="auto"/>
            </w:tcBorders>
            <w:shd w:val="clear" w:color="auto" w:fill="00B0F0"/>
          </w:tcPr>
          <w:p w:rsidR="008E70B7" w:rsidRPr="00DA74B0" w:rsidRDefault="008E70B7" w:rsidP="008E70B7">
            <w:pPr>
              <w:autoSpaceDE w:val="0"/>
              <w:autoSpaceDN w:val="0"/>
              <w:adjustRightInd w:val="0"/>
              <w:spacing w:after="0"/>
              <w:rPr>
                <w:rFonts w:ascii="Calibri" w:hAnsi="Calibri" w:cs="Calibri"/>
                <w:b/>
                <w:color w:val="000000"/>
                <w:sz w:val="20"/>
                <w:szCs w:val="20"/>
              </w:rPr>
            </w:pPr>
            <w:r w:rsidRPr="00DA74B0">
              <w:rPr>
                <w:rFonts w:ascii="Calibri" w:hAnsi="Calibri" w:cs="Calibri"/>
                <w:b/>
                <w:color w:val="000000"/>
                <w:sz w:val="20"/>
                <w:szCs w:val="20"/>
              </w:rPr>
              <w:t>Mispricing</w:t>
            </w:r>
          </w:p>
        </w:tc>
      </w:tr>
      <w:tr w:rsidR="008E70B7"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MHC</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0.2911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0.7330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196540000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56155000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-60.3976</w:t>
            </w:r>
          </w:p>
        </w:tc>
      </w:tr>
      <w:tr w:rsidR="008E70B7"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MKH</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E713B5">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w:t>
            </w:r>
            <w:r w:rsidR="00E713B5" w:rsidRPr="00DA74B0">
              <w:rPr>
                <w:rFonts w:ascii="Calibri" w:hAnsi="Calibri" w:cs="Calibri"/>
                <w:color w:val="000000"/>
                <w:sz w:val="20"/>
                <w:szCs w:val="20"/>
              </w:rPr>
              <w:t>2167</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1.9283</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296340000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29104000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-88.5051</w:t>
            </w:r>
          </w:p>
        </w:tc>
      </w:tr>
      <w:tr w:rsidR="008E70B7"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YFG</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E713B5">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w:t>
            </w:r>
            <w:r w:rsidR="00E713B5" w:rsidRPr="00DA74B0">
              <w:rPr>
                <w:rFonts w:ascii="Calibri" w:hAnsi="Calibri" w:cs="Calibri"/>
                <w:color w:val="000000"/>
                <w:sz w:val="20"/>
                <w:szCs w:val="20"/>
              </w:rPr>
              <w:t>2600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0.0981</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609070000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304534000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178.0546</w:t>
            </w:r>
          </w:p>
        </w:tc>
      </w:tr>
      <w:tr w:rsidR="008E70B7" w:rsidRPr="008E70B7" w:rsidTr="002226FC">
        <w:trPr>
          <w:trHeight w:val="288"/>
        </w:trPr>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rPr>
                <w:rFonts w:ascii="Calibri" w:hAnsi="Calibri" w:cs="Calibri"/>
                <w:color w:val="000000"/>
                <w:sz w:val="20"/>
                <w:szCs w:val="20"/>
              </w:rPr>
            </w:pPr>
            <w:r w:rsidRPr="00DA74B0">
              <w:rPr>
                <w:rFonts w:ascii="Calibri" w:hAnsi="Calibri" w:cs="Calibri"/>
                <w:color w:val="000000"/>
                <w:sz w:val="20"/>
                <w:szCs w:val="20"/>
              </w:rPr>
              <w:t>UNISEM</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0.3259</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0.5660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674230000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color w:val="000000"/>
                <w:sz w:val="20"/>
                <w:szCs w:val="20"/>
              </w:rPr>
            </w:pPr>
            <w:r w:rsidRPr="00DA74B0">
              <w:rPr>
                <w:rFonts w:ascii="Calibri" w:hAnsi="Calibri" w:cs="Calibri"/>
                <w:color w:val="000000"/>
                <w:sz w:val="20"/>
                <w:szCs w:val="20"/>
              </w:rPr>
              <w:t>168540000</w:t>
            </w:r>
          </w:p>
        </w:tc>
        <w:tc>
          <w:tcPr>
            <w:tcW w:w="0" w:type="auto"/>
            <w:tcBorders>
              <w:top w:val="single" w:sz="6" w:space="0" w:color="auto"/>
              <w:left w:val="single" w:sz="6" w:space="0" w:color="auto"/>
              <w:bottom w:val="single" w:sz="6" w:space="0" w:color="auto"/>
              <w:right w:val="single" w:sz="6" w:space="0" w:color="auto"/>
            </w:tcBorders>
            <w:shd w:val="clear" w:color="auto" w:fill="C6D9F1" w:themeFill="text2" w:themeFillTint="33"/>
          </w:tcPr>
          <w:p w:rsidR="008E70B7" w:rsidRPr="00DA74B0" w:rsidRDefault="008E70B7" w:rsidP="008E70B7">
            <w:pPr>
              <w:autoSpaceDE w:val="0"/>
              <w:autoSpaceDN w:val="0"/>
              <w:adjustRightInd w:val="0"/>
              <w:spacing w:after="0"/>
              <w:jc w:val="right"/>
              <w:rPr>
                <w:rFonts w:ascii="Calibri" w:hAnsi="Calibri" w:cs="Calibri"/>
                <w:b/>
                <w:color w:val="000000"/>
                <w:sz w:val="20"/>
                <w:szCs w:val="20"/>
              </w:rPr>
            </w:pPr>
            <w:r w:rsidRPr="00DA74B0">
              <w:rPr>
                <w:rFonts w:ascii="Calibri" w:hAnsi="Calibri" w:cs="Calibri"/>
                <w:b/>
                <w:color w:val="000000"/>
                <w:sz w:val="20"/>
                <w:szCs w:val="20"/>
              </w:rPr>
              <w:t>-40.8163</w:t>
            </w:r>
          </w:p>
        </w:tc>
      </w:tr>
    </w:tbl>
    <w:p w:rsidR="00A64F27" w:rsidRDefault="00A64F27" w:rsidP="008E70B7">
      <w:pPr>
        <w:spacing w:after="0"/>
      </w:pPr>
    </w:p>
    <w:p w:rsidR="009453DA" w:rsidRDefault="009453DA" w:rsidP="009453DA">
      <w:pPr>
        <w:spacing w:after="0"/>
        <w:jc w:val="both"/>
      </w:pPr>
      <w:r>
        <w:t xml:space="preserve">Subsequently, most of warrants are underpriced, means that the actual price of warrants is lower than their theoretical price. In this regards, the investors can take some benefits since the probability of actual value of warrant to drop is very low.  Figure 2 below describes the magnitude of mispricing for companies observed and their duration. There are several </w:t>
      </w:r>
      <w:r w:rsidR="00F639D3">
        <w:t xml:space="preserve">interesting </w:t>
      </w:r>
      <w:r>
        <w:t>points that we can infer from</w:t>
      </w:r>
      <w:r w:rsidR="00F639D3">
        <w:t xml:space="preserve"> the</w:t>
      </w:r>
      <w:r>
        <w:t xml:space="preserve"> figure 2 below. First, </w:t>
      </w:r>
      <w:r w:rsidR="00FA2F3F">
        <w:t xml:space="preserve">the number of underpriced warrant is greater than overpriced; therefore, the investors can make money or profit in this circumstance. Second, the overpriced warrant is very volatile relative to underpriced warrant which is quite stable. In this regards, the YFG is significantly overpriced. Third, the underpriced warrants entitled as very low magnitude. </w:t>
      </w:r>
      <w:r w:rsidR="00F639D3">
        <w:t>Lastly</w:t>
      </w:r>
      <w:r w:rsidR="00FA2F3F">
        <w:t xml:space="preserve">, in respect of duration, the underpriced warrants have long duration rather than overpriced warrant. </w:t>
      </w:r>
    </w:p>
    <w:p w:rsidR="009453DA" w:rsidRDefault="009453DA" w:rsidP="009453DA">
      <w:pPr>
        <w:spacing w:after="0"/>
        <w:jc w:val="both"/>
      </w:pPr>
    </w:p>
    <w:p w:rsidR="00F42D7B" w:rsidRDefault="00F42D7B" w:rsidP="00F42D7B">
      <w:pPr>
        <w:spacing w:after="0"/>
        <w:rPr>
          <w:b/>
        </w:rPr>
      </w:pPr>
      <w:proofErr w:type="gramStart"/>
      <w:r>
        <w:rPr>
          <w:b/>
        </w:rPr>
        <w:t>Figure 2.</w:t>
      </w:r>
      <w:proofErr w:type="gramEnd"/>
      <w:r>
        <w:rPr>
          <w:b/>
        </w:rPr>
        <w:t xml:space="preserve"> </w:t>
      </w:r>
      <w:r w:rsidRPr="007D6C1E">
        <w:t>Warrant Mispricing</w:t>
      </w:r>
    </w:p>
    <w:p w:rsidR="00F42D7B" w:rsidRDefault="004444B3" w:rsidP="00F42D7B">
      <w:pPr>
        <w:spacing w:after="0"/>
        <w:rPr>
          <w:b/>
        </w:rPr>
      </w:pPr>
      <w:r>
        <w:rPr>
          <w:b/>
          <w:noProof/>
        </w:rPr>
        <w:drawing>
          <wp:anchor distT="0" distB="0" distL="114300" distR="114300" simplePos="0" relativeHeight="251663360" behindDoc="0" locked="0" layoutInCell="1" allowOverlap="1">
            <wp:simplePos x="0" y="0"/>
            <wp:positionH relativeFrom="column">
              <wp:posOffset>-14052</wp:posOffset>
            </wp:positionH>
            <wp:positionV relativeFrom="paragraph">
              <wp:posOffset>48039</wp:posOffset>
            </wp:positionV>
            <wp:extent cx="4489340" cy="2951765"/>
            <wp:effectExtent l="19050" t="0" r="646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490424" cy="2952478"/>
                    </a:xfrm>
                    <a:prstGeom prst="rect">
                      <a:avLst/>
                    </a:prstGeom>
                    <a:noFill/>
                    <a:ln w="9525">
                      <a:noFill/>
                      <a:miter lim="800000"/>
                      <a:headEnd/>
                      <a:tailEnd/>
                    </a:ln>
                  </pic:spPr>
                </pic:pic>
              </a:graphicData>
            </a:graphic>
          </wp:anchor>
        </w:drawing>
      </w: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42D7B" w:rsidRDefault="00F42D7B" w:rsidP="00F42D7B">
      <w:pPr>
        <w:spacing w:after="0"/>
        <w:rPr>
          <w:b/>
        </w:rPr>
      </w:pPr>
    </w:p>
    <w:p w:rsidR="00F639D3" w:rsidRDefault="00F639D3" w:rsidP="008E70B7">
      <w:pPr>
        <w:spacing w:after="0"/>
        <w:rPr>
          <w:b/>
          <w:i/>
        </w:rPr>
      </w:pPr>
    </w:p>
    <w:p w:rsidR="001805CA" w:rsidRDefault="001805CA" w:rsidP="003175F3">
      <w:pPr>
        <w:spacing w:after="0"/>
        <w:jc w:val="both"/>
      </w:pPr>
    </w:p>
    <w:p w:rsidR="001805CA" w:rsidRDefault="001805CA" w:rsidP="003175F3">
      <w:pPr>
        <w:spacing w:after="0"/>
        <w:jc w:val="both"/>
      </w:pPr>
    </w:p>
    <w:p w:rsidR="003175F3" w:rsidRDefault="00D95126" w:rsidP="003175F3">
      <w:pPr>
        <w:spacing w:after="0"/>
        <w:jc w:val="both"/>
      </w:pPr>
      <w:r>
        <w:t>Furtherm</w:t>
      </w:r>
      <w:r w:rsidR="007B6072">
        <w:t>o</w:t>
      </w:r>
      <w:r>
        <w:t>re</w:t>
      </w:r>
      <w:r w:rsidR="00F639D3">
        <w:t>, the overprice</w:t>
      </w:r>
      <w:r w:rsidR="003175F3">
        <w:t xml:space="preserve">d warrant (namely, YFG) is </w:t>
      </w:r>
      <w:r w:rsidR="00F639D3">
        <w:t>extremely deviate away from the equilibrium</w:t>
      </w:r>
      <w:r w:rsidR="003175F3">
        <w:t>. The investors react very slowly, in turn; the mispricing existed and continues until certain period. In addition to that, the overpriced phenomenon can be also explained due to the over-expectation from</w:t>
      </w:r>
      <w:r w:rsidR="003E0C63">
        <w:t xml:space="preserve"> the</w:t>
      </w:r>
      <w:r w:rsidR="003175F3">
        <w:t xml:space="preserve"> investors on the performance of the company issued the warrants. Perhaps, their might expect that the company will perform better and further give an impact on inclining </w:t>
      </w:r>
      <w:r w:rsidR="003E0C63">
        <w:t xml:space="preserve">price </w:t>
      </w:r>
      <w:r w:rsidR="003175F3">
        <w:t xml:space="preserve">of underlying stocks. However, the warrant price is still high albeit the theoretical price is low. </w:t>
      </w:r>
    </w:p>
    <w:p w:rsidR="00F639D3" w:rsidRPr="00F639D3" w:rsidRDefault="003175F3" w:rsidP="008E70B7">
      <w:pPr>
        <w:spacing w:after="0"/>
      </w:pPr>
      <w:r>
        <w:t xml:space="preserve"> </w:t>
      </w:r>
    </w:p>
    <w:p w:rsidR="004726F4" w:rsidRDefault="0038766C" w:rsidP="008E70B7">
      <w:pPr>
        <w:spacing w:after="0"/>
        <w:rPr>
          <w:b/>
          <w:i/>
        </w:rPr>
      </w:pPr>
      <w:r w:rsidRPr="0038766C">
        <w:rPr>
          <w:b/>
          <w:i/>
        </w:rPr>
        <w:t>Determinants of Warrant Mispricing</w:t>
      </w:r>
    </w:p>
    <w:p w:rsidR="00FD0029" w:rsidRDefault="00D71D7E" w:rsidP="00D71D7E">
      <w:pPr>
        <w:spacing w:after="0"/>
        <w:jc w:val="both"/>
      </w:pPr>
      <w:r>
        <w:lastRenderedPageBreak/>
        <w:t xml:space="preserve">In this research, in order to examine the determinants of warrant mispricing, several variables are employed, such as stock return, maturity, </w:t>
      </w:r>
      <w:proofErr w:type="spellStart"/>
      <w:r>
        <w:t>moneyness</w:t>
      </w:r>
      <w:proofErr w:type="spellEnd"/>
      <w:r>
        <w:t xml:space="preserve">, and volatility. Panel data regression from different jurisdictions, such as Pooled-OLS, fixed-effect model (FEM), and random-effect model (REM) are performed for the purpose of testing the determinants of the warrant mispricing. </w:t>
      </w:r>
      <w:r w:rsidR="00FD0029">
        <w:t xml:space="preserve">Panel data models examine individual-specific effects, time effects, or both in order to deal with heterogeneity or individual effect (cross-sectional or time specific effect). The regression tests conducted by using F-statistics and t-statistics, in which the test give a significant result when the significance of </w:t>
      </w:r>
      <w:r w:rsidR="00FD0029">
        <w:rPr>
          <w:rFonts w:cstheme="minorHAnsi"/>
        </w:rPr>
        <w:t>α</w:t>
      </w:r>
      <w:r w:rsidR="00FD0029">
        <w:t xml:space="preserve"> is below the critical value </w:t>
      </w:r>
      <w:r w:rsidR="00FD0029">
        <w:rPr>
          <w:rFonts w:cstheme="minorHAnsi"/>
        </w:rPr>
        <w:t>α</w:t>
      </w:r>
      <w:r w:rsidR="00FD0029">
        <w:t xml:space="preserve"> (we set the critical value 5% or 1%).</w:t>
      </w:r>
      <w:r w:rsidR="008B3C4C">
        <w:t xml:space="preserve"> Table 4 below depicts us clear picture on the panel regressions from several techniques. </w:t>
      </w:r>
    </w:p>
    <w:p w:rsidR="00FD0029" w:rsidRDefault="00FD0029" w:rsidP="00D71D7E">
      <w:pPr>
        <w:spacing w:after="0"/>
        <w:jc w:val="both"/>
      </w:pPr>
    </w:p>
    <w:p w:rsidR="00D71D7E" w:rsidRPr="00D71D7E" w:rsidRDefault="00D71D7E" w:rsidP="00D71D7E">
      <w:pPr>
        <w:spacing w:after="0"/>
        <w:jc w:val="both"/>
      </w:pPr>
      <w:r>
        <w:t xml:space="preserve">Subsequently, from these three techniques, we further testing the models to determine which </w:t>
      </w:r>
      <w:r w:rsidR="005634D7">
        <w:t xml:space="preserve">one </w:t>
      </w:r>
      <w:r>
        <w:t xml:space="preserve">is the best model in addressing our objectives. We </w:t>
      </w:r>
      <w:r w:rsidR="00C20B09">
        <w:t xml:space="preserve">determine </w:t>
      </w:r>
      <w:r w:rsidR="005634D7">
        <w:t>the best</w:t>
      </w:r>
      <w:r w:rsidR="00C20B09">
        <w:t xml:space="preserve"> model between </w:t>
      </w:r>
      <w:r>
        <w:t>pooled-OLS and FEM</w:t>
      </w:r>
      <w:r w:rsidR="00C20B09">
        <w:t xml:space="preserve"> </w:t>
      </w:r>
      <w:r>
        <w:t xml:space="preserve">by using </w:t>
      </w:r>
      <w:proofErr w:type="spellStart"/>
      <w:r w:rsidR="00C20B09">
        <w:t>poolability</w:t>
      </w:r>
      <w:proofErr w:type="spellEnd"/>
      <w:r w:rsidR="00C20B09">
        <w:t xml:space="preserve"> test</w:t>
      </w:r>
      <w:r>
        <w:t xml:space="preserve"> (F-test)</w:t>
      </w:r>
      <w:r w:rsidR="00C20B09">
        <w:t xml:space="preserve">. For the purpose of testing Pooled-OLS and REM, </w:t>
      </w:r>
      <w:proofErr w:type="spellStart"/>
      <w:r w:rsidR="00C20B09">
        <w:t>Breus</w:t>
      </w:r>
      <w:r w:rsidR="00FD0029">
        <w:t>c</w:t>
      </w:r>
      <w:r w:rsidR="00C20B09">
        <w:t>h</w:t>
      </w:r>
      <w:proofErr w:type="spellEnd"/>
      <w:r w:rsidR="00C20B09">
        <w:t xml:space="preserve">-Pagan LM test was performed. Lastly, </w:t>
      </w:r>
      <w:proofErr w:type="spellStart"/>
      <w:r w:rsidR="00C20B09">
        <w:t>Hausman</w:t>
      </w:r>
      <w:proofErr w:type="spellEnd"/>
      <w:r w:rsidR="00C20B09">
        <w:t xml:space="preserve"> test </w:t>
      </w:r>
      <w:r w:rsidR="00FD0029">
        <w:t xml:space="preserve">employed </w:t>
      </w:r>
      <w:r w:rsidR="00C20B09">
        <w:t xml:space="preserve">to testing which </w:t>
      </w:r>
      <w:r w:rsidR="00FD0029">
        <w:t>one is</w:t>
      </w:r>
      <w:r w:rsidR="00C20B09">
        <w:t xml:space="preserve"> the best model between FEM and REM. </w:t>
      </w:r>
    </w:p>
    <w:p w:rsidR="0038766C" w:rsidRPr="0038766C" w:rsidRDefault="0038766C" w:rsidP="008E70B7">
      <w:pPr>
        <w:spacing w:after="0"/>
        <w:rPr>
          <w:b/>
          <w:i/>
        </w:rPr>
      </w:pPr>
    </w:p>
    <w:p w:rsidR="00A64F27" w:rsidRDefault="00A64F27" w:rsidP="008E70B7">
      <w:pPr>
        <w:spacing w:after="0"/>
      </w:pPr>
      <w:proofErr w:type="gramStart"/>
      <w:r w:rsidRPr="00A64F27">
        <w:rPr>
          <w:b/>
        </w:rPr>
        <w:t>Table 4</w:t>
      </w:r>
      <w:r>
        <w:t>.</w:t>
      </w:r>
      <w:proofErr w:type="gramEnd"/>
      <w:r>
        <w:t xml:space="preserve"> Panel Data Models</w:t>
      </w:r>
    </w:p>
    <w:tbl>
      <w:tblPr>
        <w:tblStyle w:val="TableGrid"/>
        <w:tblW w:w="0" w:type="auto"/>
        <w:tblLook w:val="04A0" w:firstRow="1" w:lastRow="0" w:firstColumn="1" w:lastColumn="0" w:noHBand="0" w:noVBand="1"/>
      </w:tblPr>
      <w:tblGrid>
        <w:gridCol w:w="2376"/>
        <w:gridCol w:w="1701"/>
        <w:gridCol w:w="1701"/>
        <w:gridCol w:w="1560"/>
        <w:gridCol w:w="1701"/>
      </w:tblGrid>
      <w:tr w:rsidR="00946A42" w:rsidRPr="00A64F27" w:rsidTr="00F4605A">
        <w:tc>
          <w:tcPr>
            <w:tcW w:w="2376" w:type="dxa"/>
            <w:shd w:val="clear" w:color="auto" w:fill="00B0F0"/>
          </w:tcPr>
          <w:p w:rsidR="00946A42" w:rsidRPr="00A64F27" w:rsidRDefault="00946A42" w:rsidP="008E70B7">
            <w:pPr>
              <w:rPr>
                <w:sz w:val="20"/>
                <w:szCs w:val="20"/>
              </w:rPr>
            </w:pPr>
            <w:r>
              <w:rPr>
                <w:sz w:val="20"/>
                <w:szCs w:val="20"/>
              </w:rPr>
              <w:t>Variables</w:t>
            </w:r>
          </w:p>
        </w:tc>
        <w:tc>
          <w:tcPr>
            <w:tcW w:w="1701" w:type="dxa"/>
            <w:shd w:val="clear" w:color="auto" w:fill="00B0F0"/>
          </w:tcPr>
          <w:p w:rsidR="00946A42" w:rsidRPr="00A64F27" w:rsidRDefault="00946A42" w:rsidP="008E70B7">
            <w:pPr>
              <w:rPr>
                <w:sz w:val="20"/>
                <w:szCs w:val="20"/>
              </w:rPr>
            </w:pPr>
            <w:r w:rsidRPr="00A64F27">
              <w:rPr>
                <w:sz w:val="20"/>
                <w:szCs w:val="20"/>
              </w:rPr>
              <w:t>Pooled-OLS</w:t>
            </w:r>
          </w:p>
        </w:tc>
        <w:tc>
          <w:tcPr>
            <w:tcW w:w="1701" w:type="dxa"/>
            <w:shd w:val="clear" w:color="auto" w:fill="00B0F0"/>
          </w:tcPr>
          <w:p w:rsidR="00946A42" w:rsidRPr="00A64F27" w:rsidRDefault="00946A42" w:rsidP="008E70B7">
            <w:pPr>
              <w:rPr>
                <w:sz w:val="20"/>
                <w:szCs w:val="20"/>
              </w:rPr>
            </w:pPr>
            <w:r w:rsidRPr="00A64F27">
              <w:rPr>
                <w:sz w:val="20"/>
                <w:szCs w:val="20"/>
              </w:rPr>
              <w:t>Fixed Effect Model (FEM)</w:t>
            </w:r>
          </w:p>
        </w:tc>
        <w:tc>
          <w:tcPr>
            <w:tcW w:w="1560" w:type="dxa"/>
            <w:shd w:val="clear" w:color="auto" w:fill="00B0F0"/>
          </w:tcPr>
          <w:p w:rsidR="00946A42" w:rsidRPr="00A64F27" w:rsidRDefault="00946A42" w:rsidP="008E70B7">
            <w:pPr>
              <w:rPr>
                <w:sz w:val="20"/>
                <w:szCs w:val="20"/>
              </w:rPr>
            </w:pPr>
            <w:r w:rsidRPr="00A64F27">
              <w:rPr>
                <w:sz w:val="20"/>
                <w:szCs w:val="20"/>
              </w:rPr>
              <w:t>Random Effect Model (REM)</w:t>
            </w:r>
          </w:p>
        </w:tc>
        <w:tc>
          <w:tcPr>
            <w:tcW w:w="1701" w:type="dxa"/>
            <w:shd w:val="clear" w:color="auto" w:fill="00B0F0"/>
          </w:tcPr>
          <w:p w:rsidR="00946A42" w:rsidRPr="00A64F27" w:rsidRDefault="00946A42" w:rsidP="008E70B7">
            <w:pPr>
              <w:rPr>
                <w:sz w:val="20"/>
                <w:szCs w:val="20"/>
              </w:rPr>
            </w:pPr>
            <w:r>
              <w:rPr>
                <w:sz w:val="20"/>
                <w:szCs w:val="20"/>
              </w:rPr>
              <w:t xml:space="preserve">Fixed Effect Model (FEM) </w:t>
            </w:r>
            <w:r w:rsidRPr="00946A42">
              <w:rPr>
                <w:sz w:val="20"/>
                <w:szCs w:val="20"/>
                <w:vertAlign w:val="superscript"/>
              </w:rPr>
              <w:t>a</w:t>
            </w:r>
          </w:p>
        </w:tc>
      </w:tr>
      <w:tr w:rsidR="00946A42" w:rsidRPr="00A64F27" w:rsidTr="00F4605A">
        <w:tc>
          <w:tcPr>
            <w:tcW w:w="2376" w:type="dxa"/>
            <w:shd w:val="clear" w:color="auto" w:fill="C6D9F1" w:themeFill="text2" w:themeFillTint="33"/>
          </w:tcPr>
          <w:p w:rsidR="00946A42" w:rsidRPr="00A64F27" w:rsidRDefault="00946A42" w:rsidP="008E70B7">
            <w:pPr>
              <w:rPr>
                <w:sz w:val="20"/>
                <w:szCs w:val="20"/>
              </w:rPr>
            </w:pPr>
            <w:r w:rsidRPr="00A64F27">
              <w:rPr>
                <w:sz w:val="20"/>
                <w:szCs w:val="20"/>
              </w:rPr>
              <w:t>C</w:t>
            </w:r>
          </w:p>
        </w:tc>
        <w:tc>
          <w:tcPr>
            <w:tcW w:w="1701" w:type="dxa"/>
            <w:shd w:val="clear" w:color="auto" w:fill="C6D9F1" w:themeFill="text2" w:themeFillTint="33"/>
          </w:tcPr>
          <w:p w:rsidR="00946A42" w:rsidRDefault="00946A42" w:rsidP="008E70B7">
            <w:pPr>
              <w:rPr>
                <w:sz w:val="20"/>
                <w:szCs w:val="20"/>
              </w:rPr>
            </w:pPr>
            <w:r>
              <w:rPr>
                <w:sz w:val="20"/>
                <w:szCs w:val="20"/>
              </w:rPr>
              <w:t>-44.2357</w:t>
            </w:r>
          </w:p>
          <w:p w:rsidR="00946A42" w:rsidRPr="00A64F27" w:rsidRDefault="00946A42" w:rsidP="008E70B7">
            <w:pPr>
              <w:rPr>
                <w:sz w:val="20"/>
                <w:szCs w:val="20"/>
              </w:rPr>
            </w:pPr>
            <w:r>
              <w:rPr>
                <w:sz w:val="20"/>
                <w:szCs w:val="20"/>
              </w:rPr>
              <w:t>(-2.0833)**</w:t>
            </w:r>
          </w:p>
        </w:tc>
        <w:tc>
          <w:tcPr>
            <w:tcW w:w="1701" w:type="dxa"/>
            <w:shd w:val="clear" w:color="auto" w:fill="C6D9F1" w:themeFill="text2" w:themeFillTint="33"/>
          </w:tcPr>
          <w:p w:rsidR="00946A42" w:rsidRDefault="00946A42" w:rsidP="008E70B7">
            <w:pPr>
              <w:rPr>
                <w:sz w:val="20"/>
                <w:szCs w:val="20"/>
              </w:rPr>
            </w:pPr>
            <w:r>
              <w:rPr>
                <w:sz w:val="20"/>
                <w:szCs w:val="20"/>
              </w:rPr>
              <w:t>-1893.82</w:t>
            </w:r>
          </w:p>
          <w:p w:rsidR="00946A42" w:rsidRPr="00A64F27" w:rsidRDefault="00946A42" w:rsidP="008E70B7">
            <w:pPr>
              <w:rPr>
                <w:sz w:val="20"/>
                <w:szCs w:val="20"/>
              </w:rPr>
            </w:pPr>
            <w:r>
              <w:rPr>
                <w:sz w:val="20"/>
                <w:szCs w:val="20"/>
              </w:rPr>
              <w:t>(-3.5401)***</w:t>
            </w:r>
          </w:p>
        </w:tc>
        <w:tc>
          <w:tcPr>
            <w:tcW w:w="1560" w:type="dxa"/>
            <w:shd w:val="clear" w:color="auto" w:fill="C6D9F1" w:themeFill="text2" w:themeFillTint="33"/>
          </w:tcPr>
          <w:p w:rsidR="00946A42" w:rsidRDefault="00946A42" w:rsidP="008E70B7">
            <w:pPr>
              <w:rPr>
                <w:sz w:val="20"/>
                <w:szCs w:val="20"/>
              </w:rPr>
            </w:pPr>
            <w:r>
              <w:rPr>
                <w:sz w:val="20"/>
                <w:szCs w:val="20"/>
              </w:rPr>
              <w:t>-45.5342</w:t>
            </w:r>
          </w:p>
          <w:p w:rsidR="00946A42" w:rsidRPr="00A64F27" w:rsidRDefault="00946A42" w:rsidP="008E70B7">
            <w:pPr>
              <w:rPr>
                <w:sz w:val="20"/>
                <w:szCs w:val="20"/>
              </w:rPr>
            </w:pPr>
            <w:r>
              <w:rPr>
                <w:sz w:val="20"/>
                <w:szCs w:val="20"/>
              </w:rPr>
              <w:t>(-2.1609)**</w:t>
            </w:r>
          </w:p>
        </w:tc>
        <w:tc>
          <w:tcPr>
            <w:tcW w:w="1701" w:type="dxa"/>
            <w:shd w:val="clear" w:color="auto" w:fill="C6D9F1" w:themeFill="text2" w:themeFillTint="33"/>
          </w:tcPr>
          <w:p w:rsidR="00946A42" w:rsidRDefault="00946A42" w:rsidP="00E7561B">
            <w:pPr>
              <w:rPr>
                <w:sz w:val="20"/>
                <w:szCs w:val="20"/>
              </w:rPr>
            </w:pPr>
            <w:r>
              <w:rPr>
                <w:sz w:val="20"/>
                <w:szCs w:val="20"/>
              </w:rPr>
              <w:t>-1893.82</w:t>
            </w:r>
          </w:p>
          <w:p w:rsidR="00946A42" w:rsidRPr="00A64F27" w:rsidRDefault="00946A42" w:rsidP="00E7561B">
            <w:pPr>
              <w:rPr>
                <w:sz w:val="20"/>
                <w:szCs w:val="20"/>
              </w:rPr>
            </w:pPr>
            <w:r>
              <w:rPr>
                <w:sz w:val="20"/>
                <w:szCs w:val="20"/>
              </w:rPr>
              <w:t>(-4.9750)***</w:t>
            </w:r>
          </w:p>
        </w:tc>
      </w:tr>
      <w:tr w:rsidR="00946A42" w:rsidRPr="00A64F27" w:rsidTr="00F4605A">
        <w:tc>
          <w:tcPr>
            <w:tcW w:w="2376" w:type="dxa"/>
            <w:shd w:val="clear" w:color="auto" w:fill="C6D9F1" w:themeFill="text2" w:themeFillTint="33"/>
          </w:tcPr>
          <w:p w:rsidR="00946A42" w:rsidRPr="00A64F27" w:rsidRDefault="00946A42" w:rsidP="008E70B7">
            <w:pPr>
              <w:rPr>
                <w:sz w:val="20"/>
                <w:szCs w:val="20"/>
              </w:rPr>
            </w:pPr>
            <w:r w:rsidRPr="00A64F27">
              <w:rPr>
                <w:rFonts w:cstheme="minorHAnsi"/>
                <w:sz w:val="20"/>
                <w:szCs w:val="20"/>
              </w:rPr>
              <w:t>β</w:t>
            </w:r>
            <w:r w:rsidRPr="00A64F27">
              <w:rPr>
                <w:sz w:val="20"/>
                <w:szCs w:val="20"/>
                <w:vertAlign w:val="subscript"/>
              </w:rPr>
              <w:t xml:space="preserve">1 </w:t>
            </w:r>
            <w:r>
              <w:rPr>
                <w:sz w:val="20"/>
                <w:szCs w:val="20"/>
              </w:rPr>
              <w:t>(Stock Return)</w:t>
            </w:r>
          </w:p>
        </w:tc>
        <w:tc>
          <w:tcPr>
            <w:tcW w:w="1701" w:type="dxa"/>
            <w:shd w:val="clear" w:color="auto" w:fill="C6D9F1" w:themeFill="text2" w:themeFillTint="33"/>
          </w:tcPr>
          <w:p w:rsidR="00946A42" w:rsidRDefault="00946A42" w:rsidP="008E70B7">
            <w:pPr>
              <w:rPr>
                <w:sz w:val="20"/>
                <w:szCs w:val="20"/>
              </w:rPr>
            </w:pPr>
            <w:r>
              <w:rPr>
                <w:sz w:val="20"/>
                <w:szCs w:val="20"/>
              </w:rPr>
              <w:t>-1.7465</w:t>
            </w:r>
          </w:p>
          <w:p w:rsidR="00946A42" w:rsidRPr="00A64F27" w:rsidRDefault="00946A42" w:rsidP="008E70B7">
            <w:pPr>
              <w:rPr>
                <w:sz w:val="20"/>
                <w:szCs w:val="20"/>
              </w:rPr>
            </w:pPr>
            <w:r>
              <w:rPr>
                <w:sz w:val="20"/>
                <w:szCs w:val="20"/>
              </w:rPr>
              <w:t>(-1.0487)</w:t>
            </w:r>
          </w:p>
        </w:tc>
        <w:tc>
          <w:tcPr>
            <w:tcW w:w="1701" w:type="dxa"/>
            <w:shd w:val="clear" w:color="auto" w:fill="C6D9F1" w:themeFill="text2" w:themeFillTint="33"/>
          </w:tcPr>
          <w:p w:rsidR="00946A42" w:rsidRDefault="00946A42" w:rsidP="008E70B7">
            <w:pPr>
              <w:rPr>
                <w:sz w:val="20"/>
                <w:szCs w:val="20"/>
              </w:rPr>
            </w:pPr>
            <w:r>
              <w:rPr>
                <w:sz w:val="20"/>
                <w:szCs w:val="20"/>
              </w:rPr>
              <w:t>-2.0114</w:t>
            </w:r>
          </w:p>
          <w:p w:rsidR="00946A42" w:rsidRPr="00A64F27" w:rsidRDefault="00946A42" w:rsidP="008E70B7">
            <w:pPr>
              <w:rPr>
                <w:sz w:val="20"/>
                <w:szCs w:val="20"/>
              </w:rPr>
            </w:pPr>
            <w:r>
              <w:rPr>
                <w:sz w:val="20"/>
                <w:szCs w:val="20"/>
              </w:rPr>
              <w:t>(-0.9721)</w:t>
            </w:r>
          </w:p>
        </w:tc>
        <w:tc>
          <w:tcPr>
            <w:tcW w:w="1560" w:type="dxa"/>
            <w:shd w:val="clear" w:color="auto" w:fill="C6D9F1" w:themeFill="text2" w:themeFillTint="33"/>
          </w:tcPr>
          <w:p w:rsidR="00946A42" w:rsidRDefault="00946A42" w:rsidP="008E70B7">
            <w:pPr>
              <w:rPr>
                <w:sz w:val="20"/>
                <w:szCs w:val="20"/>
              </w:rPr>
            </w:pPr>
            <w:r>
              <w:rPr>
                <w:sz w:val="20"/>
                <w:szCs w:val="20"/>
              </w:rPr>
              <w:t>-1.7675</w:t>
            </w:r>
          </w:p>
          <w:p w:rsidR="00946A42" w:rsidRPr="00A64F27" w:rsidRDefault="00946A42" w:rsidP="008E70B7">
            <w:pPr>
              <w:rPr>
                <w:sz w:val="20"/>
                <w:szCs w:val="20"/>
              </w:rPr>
            </w:pPr>
            <w:r>
              <w:rPr>
                <w:sz w:val="20"/>
                <w:szCs w:val="20"/>
              </w:rPr>
              <w:t>(-1.0856)</w:t>
            </w:r>
          </w:p>
        </w:tc>
        <w:tc>
          <w:tcPr>
            <w:tcW w:w="1701" w:type="dxa"/>
            <w:shd w:val="clear" w:color="auto" w:fill="C6D9F1" w:themeFill="text2" w:themeFillTint="33"/>
          </w:tcPr>
          <w:p w:rsidR="00946A42" w:rsidRDefault="00946A42" w:rsidP="00E7561B">
            <w:pPr>
              <w:rPr>
                <w:sz w:val="20"/>
                <w:szCs w:val="20"/>
              </w:rPr>
            </w:pPr>
            <w:r>
              <w:rPr>
                <w:sz w:val="20"/>
                <w:szCs w:val="20"/>
              </w:rPr>
              <w:t>-2.0114</w:t>
            </w:r>
          </w:p>
          <w:p w:rsidR="00946A42" w:rsidRPr="00A64F27" w:rsidRDefault="00946A42" w:rsidP="00E7561B">
            <w:pPr>
              <w:rPr>
                <w:sz w:val="20"/>
                <w:szCs w:val="20"/>
              </w:rPr>
            </w:pPr>
            <w:r>
              <w:rPr>
                <w:sz w:val="20"/>
                <w:szCs w:val="20"/>
              </w:rPr>
              <w:t>(-0.6904)</w:t>
            </w:r>
          </w:p>
        </w:tc>
      </w:tr>
      <w:tr w:rsidR="00946A42" w:rsidRPr="00A64F27" w:rsidTr="00F4605A">
        <w:tc>
          <w:tcPr>
            <w:tcW w:w="2376" w:type="dxa"/>
            <w:shd w:val="clear" w:color="auto" w:fill="C6D9F1" w:themeFill="text2" w:themeFillTint="33"/>
          </w:tcPr>
          <w:p w:rsidR="00946A42" w:rsidRPr="00A64F27" w:rsidRDefault="00946A42" w:rsidP="008E70B7">
            <w:pPr>
              <w:rPr>
                <w:sz w:val="20"/>
                <w:szCs w:val="20"/>
              </w:rPr>
            </w:pPr>
            <w:r w:rsidRPr="00A64F27">
              <w:rPr>
                <w:rFonts w:cstheme="minorHAnsi"/>
                <w:sz w:val="20"/>
                <w:szCs w:val="20"/>
              </w:rPr>
              <w:t>Β</w:t>
            </w:r>
            <w:r w:rsidRPr="00A64F27">
              <w:rPr>
                <w:sz w:val="20"/>
                <w:szCs w:val="20"/>
                <w:vertAlign w:val="subscript"/>
              </w:rPr>
              <w:t>2</w:t>
            </w:r>
            <w:r>
              <w:rPr>
                <w:sz w:val="20"/>
                <w:szCs w:val="20"/>
                <w:vertAlign w:val="subscript"/>
              </w:rPr>
              <w:t xml:space="preserve"> </w:t>
            </w:r>
            <w:r>
              <w:rPr>
                <w:sz w:val="20"/>
                <w:szCs w:val="20"/>
              </w:rPr>
              <w:t>(Maturity)</w:t>
            </w:r>
          </w:p>
        </w:tc>
        <w:tc>
          <w:tcPr>
            <w:tcW w:w="1701" w:type="dxa"/>
            <w:shd w:val="clear" w:color="auto" w:fill="C6D9F1" w:themeFill="text2" w:themeFillTint="33"/>
          </w:tcPr>
          <w:p w:rsidR="00946A42" w:rsidRDefault="00946A42" w:rsidP="008E70B7">
            <w:pPr>
              <w:rPr>
                <w:sz w:val="20"/>
                <w:szCs w:val="20"/>
              </w:rPr>
            </w:pPr>
            <w:r>
              <w:rPr>
                <w:sz w:val="20"/>
                <w:szCs w:val="20"/>
              </w:rPr>
              <w:t>-0.0752</w:t>
            </w:r>
          </w:p>
          <w:p w:rsidR="00946A42" w:rsidRPr="00A64F27" w:rsidRDefault="00946A42" w:rsidP="008E70B7">
            <w:pPr>
              <w:rPr>
                <w:sz w:val="20"/>
                <w:szCs w:val="20"/>
              </w:rPr>
            </w:pPr>
            <w:r>
              <w:rPr>
                <w:sz w:val="20"/>
                <w:szCs w:val="20"/>
              </w:rPr>
              <w:t>(-5.3670)***</w:t>
            </w:r>
          </w:p>
        </w:tc>
        <w:tc>
          <w:tcPr>
            <w:tcW w:w="1701" w:type="dxa"/>
            <w:shd w:val="clear" w:color="auto" w:fill="C6D9F1" w:themeFill="text2" w:themeFillTint="33"/>
          </w:tcPr>
          <w:p w:rsidR="00946A42" w:rsidRDefault="00946A42" w:rsidP="008E70B7">
            <w:pPr>
              <w:rPr>
                <w:sz w:val="20"/>
                <w:szCs w:val="20"/>
              </w:rPr>
            </w:pPr>
            <w:r>
              <w:rPr>
                <w:sz w:val="20"/>
                <w:szCs w:val="20"/>
              </w:rPr>
              <w:t>1.2446</w:t>
            </w:r>
          </w:p>
          <w:p w:rsidR="00946A42" w:rsidRPr="00A64F27" w:rsidRDefault="00946A42" w:rsidP="008E70B7">
            <w:pPr>
              <w:rPr>
                <w:sz w:val="20"/>
                <w:szCs w:val="20"/>
              </w:rPr>
            </w:pPr>
            <w:r>
              <w:rPr>
                <w:sz w:val="20"/>
                <w:szCs w:val="20"/>
              </w:rPr>
              <w:t>(3.2806)***</w:t>
            </w:r>
          </w:p>
        </w:tc>
        <w:tc>
          <w:tcPr>
            <w:tcW w:w="1560" w:type="dxa"/>
            <w:shd w:val="clear" w:color="auto" w:fill="C6D9F1" w:themeFill="text2" w:themeFillTint="33"/>
          </w:tcPr>
          <w:p w:rsidR="00946A42" w:rsidRDefault="00946A42" w:rsidP="008E70B7">
            <w:pPr>
              <w:rPr>
                <w:sz w:val="20"/>
                <w:szCs w:val="20"/>
              </w:rPr>
            </w:pPr>
            <w:r>
              <w:rPr>
                <w:sz w:val="20"/>
                <w:szCs w:val="20"/>
              </w:rPr>
              <w:t>-0.0734</w:t>
            </w:r>
          </w:p>
          <w:p w:rsidR="00946A42" w:rsidRPr="00A64F27" w:rsidRDefault="00946A42" w:rsidP="008E70B7">
            <w:pPr>
              <w:rPr>
                <w:sz w:val="20"/>
                <w:szCs w:val="20"/>
              </w:rPr>
            </w:pPr>
            <w:r>
              <w:rPr>
                <w:sz w:val="20"/>
                <w:szCs w:val="20"/>
              </w:rPr>
              <w:t>(-5.2335)***</w:t>
            </w:r>
          </w:p>
        </w:tc>
        <w:tc>
          <w:tcPr>
            <w:tcW w:w="1701" w:type="dxa"/>
            <w:shd w:val="clear" w:color="auto" w:fill="C6D9F1" w:themeFill="text2" w:themeFillTint="33"/>
          </w:tcPr>
          <w:p w:rsidR="00946A42" w:rsidRDefault="00946A42" w:rsidP="00E7561B">
            <w:pPr>
              <w:rPr>
                <w:sz w:val="20"/>
                <w:szCs w:val="20"/>
              </w:rPr>
            </w:pPr>
            <w:r>
              <w:rPr>
                <w:sz w:val="20"/>
                <w:szCs w:val="20"/>
              </w:rPr>
              <w:t>1.2446</w:t>
            </w:r>
          </w:p>
          <w:p w:rsidR="00946A42" w:rsidRPr="00A64F27" w:rsidRDefault="00946A42" w:rsidP="00E7561B">
            <w:pPr>
              <w:rPr>
                <w:sz w:val="20"/>
                <w:szCs w:val="20"/>
              </w:rPr>
            </w:pPr>
            <w:r>
              <w:rPr>
                <w:sz w:val="20"/>
                <w:szCs w:val="20"/>
              </w:rPr>
              <w:t>(4.6676)***</w:t>
            </w:r>
          </w:p>
        </w:tc>
      </w:tr>
      <w:tr w:rsidR="00946A42" w:rsidRPr="00A64F27" w:rsidTr="00F4605A">
        <w:tc>
          <w:tcPr>
            <w:tcW w:w="2376" w:type="dxa"/>
            <w:shd w:val="clear" w:color="auto" w:fill="C6D9F1" w:themeFill="text2" w:themeFillTint="33"/>
          </w:tcPr>
          <w:p w:rsidR="00946A42" w:rsidRPr="00A64F27" w:rsidRDefault="00946A42" w:rsidP="008E70B7">
            <w:pPr>
              <w:rPr>
                <w:sz w:val="20"/>
                <w:szCs w:val="20"/>
              </w:rPr>
            </w:pPr>
            <w:r w:rsidRPr="00A64F27">
              <w:rPr>
                <w:rFonts w:cstheme="minorHAnsi"/>
                <w:sz w:val="20"/>
                <w:szCs w:val="20"/>
              </w:rPr>
              <w:t>Β</w:t>
            </w:r>
            <w:r w:rsidRPr="00A64F27">
              <w:rPr>
                <w:sz w:val="20"/>
                <w:szCs w:val="20"/>
                <w:vertAlign w:val="subscript"/>
              </w:rPr>
              <w:t>3</w:t>
            </w:r>
            <w:r>
              <w:rPr>
                <w:sz w:val="20"/>
                <w:szCs w:val="20"/>
              </w:rPr>
              <w:t xml:space="preserve"> (</w:t>
            </w:r>
            <w:proofErr w:type="spellStart"/>
            <w:r>
              <w:rPr>
                <w:sz w:val="20"/>
                <w:szCs w:val="20"/>
              </w:rPr>
              <w:t>Moneyness</w:t>
            </w:r>
            <w:proofErr w:type="spellEnd"/>
            <w:r>
              <w:rPr>
                <w:sz w:val="20"/>
                <w:szCs w:val="20"/>
              </w:rPr>
              <w:t>)</w:t>
            </w:r>
          </w:p>
        </w:tc>
        <w:tc>
          <w:tcPr>
            <w:tcW w:w="1701" w:type="dxa"/>
            <w:shd w:val="clear" w:color="auto" w:fill="C6D9F1" w:themeFill="text2" w:themeFillTint="33"/>
          </w:tcPr>
          <w:p w:rsidR="00946A42" w:rsidRDefault="00946A42" w:rsidP="008E70B7">
            <w:pPr>
              <w:rPr>
                <w:sz w:val="20"/>
                <w:szCs w:val="20"/>
              </w:rPr>
            </w:pPr>
            <w:r>
              <w:rPr>
                <w:sz w:val="20"/>
                <w:szCs w:val="20"/>
              </w:rPr>
              <w:t>-70.5575</w:t>
            </w:r>
          </w:p>
          <w:p w:rsidR="00946A42" w:rsidRPr="00A64F27" w:rsidRDefault="00946A42" w:rsidP="008E70B7">
            <w:pPr>
              <w:rPr>
                <w:sz w:val="20"/>
                <w:szCs w:val="20"/>
              </w:rPr>
            </w:pPr>
            <w:r>
              <w:rPr>
                <w:sz w:val="20"/>
                <w:szCs w:val="20"/>
              </w:rPr>
              <w:t>(-8.9392)***</w:t>
            </w:r>
          </w:p>
        </w:tc>
        <w:tc>
          <w:tcPr>
            <w:tcW w:w="1701" w:type="dxa"/>
            <w:shd w:val="clear" w:color="auto" w:fill="C6D9F1" w:themeFill="text2" w:themeFillTint="33"/>
          </w:tcPr>
          <w:p w:rsidR="00946A42" w:rsidRDefault="00946A42" w:rsidP="008E70B7">
            <w:pPr>
              <w:rPr>
                <w:sz w:val="20"/>
                <w:szCs w:val="20"/>
              </w:rPr>
            </w:pPr>
            <w:r>
              <w:rPr>
                <w:sz w:val="20"/>
                <w:szCs w:val="20"/>
              </w:rPr>
              <w:t>-53.9449</w:t>
            </w:r>
          </w:p>
          <w:p w:rsidR="00946A42" w:rsidRPr="00A64F27" w:rsidRDefault="00946A42" w:rsidP="008E70B7">
            <w:pPr>
              <w:rPr>
                <w:sz w:val="20"/>
                <w:szCs w:val="20"/>
              </w:rPr>
            </w:pPr>
            <w:r>
              <w:rPr>
                <w:sz w:val="20"/>
                <w:szCs w:val="20"/>
              </w:rPr>
              <w:t>(-6.1232)***</w:t>
            </w:r>
          </w:p>
        </w:tc>
        <w:tc>
          <w:tcPr>
            <w:tcW w:w="1560" w:type="dxa"/>
            <w:shd w:val="clear" w:color="auto" w:fill="C6D9F1" w:themeFill="text2" w:themeFillTint="33"/>
          </w:tcPr>
          <w:p w:rsidR="00946A42" w:rsidRDefault="00946A42" w:rsidP="008E70B7">
            <w:pPr>
              <w:rPr>
                <w:sz w:val="20"/>
                <w:szCs w:val="20"/>
              </w:rPr>
            </w:pPr>
            <w:r>
              <w:rPr>
                <w:sz w:val="20"/>
                <w:szCs w:val="20"/>
              </w:rPr>
              <w:t>-70.4541</w:t>
            </w:r>
          </w:p>
          <w:p w:rsidR="00946A42" w:rsidRPr="00A64F27" w:rsidRDefault="00946A42" w:rsidP="008E70B7">
            <w:pPr>
              <w:rPr>
                <w:sz w:val="20"/>
                <w:szCs w:val="20"/>
              </w:rPr>
            </w:pPr>
            <w:r>
              <w:rPr>
                <w:sz w:val="20"/>
                <w:szCs w:val="20"/>
              </w:rPr>
              <w:t>(-9.2096)***</w:t>
            </w:r>
          </w:p>
        </w:tc>
        <w:tc>
          <w:tcPr>
            <w:tcW w:w="1701" w:type="dxa"/>
            <w:shd w:val="clear" w:color="auto" w:fill="C6D9F1" w:themeFill="text2" w:themeFillTint="33"/>
          </w:tcPr>
          <w:p w:rsidR="00946A42" w:rsidRDefault="00946A42" w:rsidP="00E7561B">
            <w:pPr>
              <w:rPr>
                <w:sz w:val="20"/>
                <w:szCs w:val="20"/>
              </w:rPr>
            </w:pPr>
            <w:r>
              <w:rPr>
                <w:sz w:val="20"/>
                <w:szCs w:val="20"/>
              </w:rPr>
              <w:t>-53.9449</w:t>
            </w:r>
          </w:p>
          <w:p w:rsidR="00946A42" w:rsidRPr="00A64F27" w:rsidRDefault="00946A42" w:rsidP="00E7561B">
            <w:pPr>
              <w:rPr>
                <w:sz w:val="20"/>
                <w:szCs w:val="20"/>
              </w:rPr>
            </w:pPr>
            <w:r>
              <w:rPr>
                <w:sz w:val="20"/>
                <w:szCs w:val="20"/>
              </w:rPr>
              <w:t>(-24.7120)***</w:t>
            </w:r>
          </w:p>
        </w:tc>
      </w:tr>
      <w:tr w:rsidR="00946A42" w:rsidRPr="00A64F27" w:rsidTr="00F4605A">
        <w:tc>
          <w:tcPr>
            <w:tcW w:w="2376" w:type="dxa"/>
            <w:shd w:val="clear" w:color="auto" w:fill="C6D9F1" w:themeFill="text2" w:themeFillTint="33"/>
          </w:tcPr>
          <w:p w:rsidR="00946A42" w:rsidRPr="00A64F27" w:rsidRDefault="00946A42" w:rsidP="008E70B7">
            <w:pPr>
              <w:rPr>
                <w:sz w:val="20"/>
                <w:szCs w:val="20"/>
              </w:rPr>
            </w:pPr>
            <w:r w:rsidRPr="00A64F27">
              <w:rPr>
                <w:rFonts w:cstheme="minorHAnsi"/>
                <w:sz w:val="20"/>
                <w:szCs w:val="20"/>
              </w:rPr>
              <w:t>Β</w:t>
            </w:r>
            <w:r w:rsidRPr="00A64F27">
              <w:rPr>
                <w:sz w:val="20"/>
                <w:szCs w:val="20"/>
                <w:vertAlign w:val="subscript"/>
              </w:rPr>
              <w:t>4</w:t>
            </w:r>
            <w:r>
              <w:rPr>
                <w:sz w:val="20"/>
                <w:szCs w:val="20"/>
                <w:vertAlign w:val="subscript"/>
              </w:rPr>
              <w:t xml:space="preserve"> </w:t>
            </w:r>
            <w:r>
              <w:rPr>
                <w:sz w:val="20"/>
                <w:szCs w:val="20"/>
              </w:rPr>
              <w:t>(volatility)</w:t>
            </w:r>
          </w:p>
        </w:tc>
        <w:tc>
          <w:tcPr>
            <w:tcW w:w="1701" w:type="dxa"/>
            <w:shd w:val="clear" w:color="auto" w:fill="C6D9F1" w:themeFill="text2" w:themeFillTint="33"/>
          </w:tcPr>
          <w:p w:rsidR="00946A42" w:rsidRDefault="00946A42" w:rsidP="008E70B7">
            <w:pPr>
              <w:rPr>
                <w:sz w:val="20"/>
                <w:szCs w:val="20"/>
              </w:rPr>
            </w:pPr>
            <w:r>
              <w:rPr>
                <w:sz w:val="20"/>
                <w:szCs w:val="20"/>
              </w:rPr>
              <w:t>78.4940</w:t>
            </w:r>
          </w:p>
          <w:p w:rsidR="00946A42" w:rsidRPr="00A64F27" w:rsidRDefault="00946A42" w:rsidP="008E70B7">
            <w:pPr>
              <w:rPr>
                <w:sz w:val="20"/>
                <w:szCs w:val="20"/>
              </w:rPr>
            </w:pPr>
            <w:r>
              <w:rPr>
                <w:sz w:val="20"/>
                <w:szCs w:val="20"/>
              </w:rPr>
              <w:t>(13.9640)***</w:t>
            </w:r>
          </w:p>
        </w:tc>
        <w:tc>
          <w:tcPr>
            <w:tcW w:w="1701" w:type="dxa"/>
            <w:shd w:val="clear" w:color="auto" w:fill="C6D9F1" w:themeFill="text2" w:themeFillTint="33"/>
          </w:tcPr>
          <w:p w:rsidR="00946A42" w:rsidRDefault="00946A42" w:rsidP="008E70B7">
            <w:pPr>
              <w:rPr>
                <w:sz w:val="20"/>
                <w:szCs w:val="20"/>
              </w:rPr>
            </w:pPr>
            <w:r>
              <w:rPr>
                <w:sz w:val="20"/>
                <w:szCs w:val="20"/>
              </w:rPr>
              <w:t>71.2519</w:t>
            </w:r>
          </w:p>
          <w:p w:rsidR="00946A42" w:rsidRPr="00A64F27" w:rsidRDefault="00946A42" w:rsidP="008E70B7">
            <w:pPr>
              <w:rPr>
                <w:sz w:val="20"/>
                <w:szCs w:val="20"/>
              </w:rPr>
            </w:pPr>
            <w:r>
              <w:rPr>
                <w:sz w:val="20"/>
                <w:szCs w:val="20"/>
              </w:rPr>
              <w:t>(12.5990)***</w:t>
            </w:r>
          </w:p>
        </w:tc>
        <w:tc>
          <w:tcPr>
            <w:tcW w:w="1560" w:type="dxa"/>
            <w:shd w:val="clear" w:color="auto" w:fill="C6D9F1" w:themeFill="text2" w:themeFillTint="33"/>
          </w:tcPr>
          <w:p w:rsidR="00946A42" w:rsidRDefault="00946A42" w:rsidP="008E70B7">
            <w:pPr>
              <w:rPr>
                <w:sz w:val="20"/>
                <w:szCs w:val="20"/>
              </w:rPr>
            </w:pPr>
            <w:r>
              <w:rPr>
                <w:sz w:val="20"/>
                <w:szCs w:val="20"/>
              </w:rPr>
              <w:t>77.9817</w:t>
            </w:r>
          </w:p>
          <w:p w:rsidR="00946A42" w:rsidRPr="00A64F27" w:rsidRDefault="00946A42" w:rsidP="008E70B7">
            <w:pPr>
              <w:rPr>
                <w:sz w:val="20"/>
                <w:szCs w:val="20"/>
              </w:rPr>
            </w:pPr>
            <w:r>
              <w:rPr>
                <w:sz w:val="20"/>
                <w:szCs w:val="20"/>
              </w:rPr>
              <w:t>(14.4133)***</w:t>
            </w:r>
          </w:p>
        </w:tc>
        <w:tc>
          <w:tcPr>
            <w:tcW w:w="1701" w:type="dxa"/>
            <w:shd w:val="clear" w:color="auto" w:fill="C6D9F1" w:themeFill="text2" w:themeFillTint="33"/>
          </w:tcPr>
          <w:p w:rsidR="00946A42" w:rsidRDefault="00946A42" w:rsidP="00E7561B">
            <w:pPr>
              <w:rPr>
                <w:sz w:val="20"/>
                <w:szCs w:val="20"/>
              </w:rPr>
            </w:pPr>
            <w:r>
              <w:rPr>
                <w:sz w:val="20"/>
                <w:szCs w:val="20"/>
              </w:rPr>
              <w:t>71.2519</w:t>
            </w:r>
          </w:p>
          <w:p w:rsidR="00946A42" w:rsidRPr="00A64F27" w:rsidRDefault="00946A42" w:rsidP="00E7561B">
            <w:pPr>
              <w:rPr>
                <w:sz w:val="20"/>
                <w:szCs w:val="20"/>
              </w:rPr>
            </w:pPr>
            <w:r>
              <w:rPr>
                <w:sz w:val="20"/>
                <w:szCs w:val="20"/>
              </w:rPr>
              <w:t>(10.6026)***</w:t>
            </w:r>
          </w:p>
        </w:tc>
      </w:tr>
      <w:tr w:rsidR="00B55228" w:rsidRPr="00A64F27" w:rsidTr="00F4605A">
        <w:tc>
          <w:tcPr>
            <w:tcW w:w="2376" w:type="dxa"/>
            <w:shd w:val="clear" w:color="auto" w:fill="C6D9F1" w:themeFill="text2" w:themeFillTint="33"/>
          </w:tcPr>
          <w:p w:rsidR="00B55228" w:rsidRPr="00857DAB" w:rsidRDefault="00B55228" w:rsidP="008E70B7">
            <w:pPr>
              <w:rPr>
                <w:rFonts w:cstheme="minorHAnsi"/>
                <w:i/>
                <w:sz w:val="20"/>
                <w:szCs w:val="20"/>
              </w:rPr>
            </w:pPr>
            <w:r>
              <w:rPr>
                <w:rFonts w:cstheme="minorHAnsi"/>
                <w:i/>
                <w:sz w:val="20"/>
                <w:szCs w:val="20"/>
              </w:rPr>
              <w:t>R-Squared</w:t>
            </w:r>
          </w:p>
        </w:tc>
        <w:tc>
          <w:tcPr>
            <w:tcW w:w="1701" w:type="dxa"/>
            <w:shd w:val="clear" w:color="auto" w:fill="C6D9F1" w:themeFill="text2" w:themeFillTint="33"/>
          </w:tcPr>
          <w:p w:rsidR="00B55228" w:rsidRPr="005634D7" w:rsidRDefault="00B55228" w:rsidP="008E70B7">
            <w:pPr>
              <w:rPr>
                <w:rFonts w:cstheme="minorHAnsi"/>
                <w:sz w:val="20"/>
                <w:szCs w:val="20"/>
              </w:rPr>
            </w:pPr>
            <w:r w:rsidRPr="005634D7">
              <w:rPr>
                <w:rFonts w:cstheme="minorHAnsi"/>
                <w:color w:val="000000"/>
                <w:sz w:val="20"/>
                <w:szCs w:val="20"/>
              </w:rPr>
              <w:t>0.363653</w:t>
            </w:r>
          </w:p>
        </w:tc>
        <w:tc>
          <w:tcPr>
            <w:tcW w:w="1701" w:type="dxa"/>
            <w:shd w:val="clear" w:color="auto" w:fill="C6D9F1" w:themeFill="text2" w:themeFillTint="33"/>
          </w:tcPr>
          <w:p w:rsidR="00B55228" w:rsidRPr="005634D7" w:rsidRDefault="00B55228" w:rsidP="008E70B7">
            <w:pPr>
              <w:rPr>
                <w:rFonts w:cstheme="minorHAnsi"/>
                <w:sz w:val="20"/>
                <w:szCs w:val="20"/>
              </w:rPr>
            </w:pPr>
            <w:r w:rsidRPr="005634D7">
              <w:rPr>
                <w:rFonts w:cstheme="minorHAnsi"/>
                <w:color w:val="000000"/>
                <w:sz w:val="20"/>
                <w:szCs w:val="20"/>
              </w:rPr>
              <w:t>0.673509</w:t>
            </w:r>
          </w:p>
        </w:tc>
        <w:tc>
          <w:tcPr>
            <w:tcW w:w="1560" w:type="dxa"/>
            <w:shd w:val="clear" w:color="auto" w:fill="C6D9F1" w:themeFill="text2" w:themeFillTint="33"/>
          </w:tcPr>
          <w:p w:rsidR="00B55228" w:rsidRPr="005634D7" w:rsidRDefault="00B55228" w:rsidP="008E70B7">
            <w:pPr>
              <w:rPr>
                <w:rFonts w:cstheme="minorHAnsi"/>
                <w:sz w:val="20"/>
                <w:szCs w:val="20"/>
              </w:rPr>
            </w:pPr>
            <w:r w:rsidRPr="005634D7">
              <w:rPr>
                <w:rFonts w:cstheme="minorHAnsi"/>
                <w:color w:val="000000"/>
                <w:sz w:val="20"/>
                <w:szCs w:val="20"/>
              </w:rPr>
              <w:t>0.366221</w:t>
            </w:r>
          </w:p>
        </w:tc>
        <w:tc>
          <w:tcPr>
            <w:tcW w:w="1701" w:type="dxa"/>
            <w:shd w:val="clear" w:color="auto" w:fill="C6D9F1" w:themeFill="text2" w:themeFillTint="33"/>
          </w:tcPr>
          <w:p w:rsidR="00B55228" w:rsidRPr="00B55228" w:rsidRDefault="00B55228" w:rsidP="002B40CA">
            <w:pPr>
              <w:rPr>
                <w:rFonts w:cstheme="minorHAnsi"/>
                <w:sz w:val="20"/>
                <w:szCs w:val="20"/>
              </w:rPr>
            </w:pPr>
            <w:r w:rsidRPr="00B55228">
              <w:rPr>
                <w:rFonts w:cstheme="minorHAnsi"/>
                <w:color w:val="000000"/>
                <w:sz w:val="20"/>
                <w:szCs w:val="20"/>
              </w:rPr>
              <w:t>0.673509</w:t>
            </w:r>
          </w:p>
        </w:tc>
      </w:tr>
      <w:tr w:rsidR="00B55228" w:rsidRPr="00A64F27" w:rsidTr="00F4605A">
        <w:tc>
          <w:tcPr>
            <w:tcW w:w="2376" w:type="dxa"/>
            <w:shd w:val="clear" w:color="auto" w:fill="C6D9F1" w:themeFill="text2" w:themeFillTint="33"/>
          </w:tcPr>
          <w:p w:rsidR="00B55228" w:rsidRDefault="00B55228" w:rsidP="008E70B7">
            <w:pPr>
              <w:rPr>
                <w:rFonts w:cstheme="minorHAnsi"/>
                <w:i/>
                <w:sz w:val="20"/>
                <w:szCs w:val="20"/>
              </w:rPr>
            </w:pPr>
            <w:r>
              <w:rPr>
                <w:rFonts w:cstheme="minorHAnsi"/>
                <w:i/>
                <w:sz w:val="20"/>
                <w:szCs w:val="20"/>
              </w:rPr>
              <w:t>F-statistic</w:t>
            </w:r>
          </w:p>
        </w:tc>
        <w:tc>
          <w:tcPr>
            <w:tcW w:w="1701" w:type="dxa"/>
            <w:shd w:val="clear" w:color="auto" w:fill="C6D9F1" w:themeFill="text2" w:themeFillTint="33"/>
          </w:tcPr>
          <w:p w:rsidR="00B55228" w:rsidRPr="005634D7" w:rsidRDefault="00B55228" w:rsidP="008E70B7">
            <w:pPr>
              <w:rPr>
                <w:rFonts w:cstheme="minorHAnsi"/>
                <w:color w:val="000000"/>
                <w:sz w:val="20"/>
                <w:szCs w:val="20"/>
              </w:rPr>
            </w:pPr>
            <w:r w:rsidRPr="005634D7">
              <w:rPr>
                <w:rFonts w:cstheme="minorHAnsi"/>
                <w:color w:val="000000"/>
                <w:sz w:val="20"/>
                <w:szCs w:val="20"/>
              </w:rPr>
              <w:t>206.1578***</w:t>
            </w:r>
          </w:p>
        </w:tc>
        <w:tc>
          <w:tcPr>
            <w:tcW w:w="1701" w:type="dxa"/>
            <w:shd w:val="clear" w:color="auto" w:fill="C6D9F1" w:themeFill="text2" w:themeFillTint="33"/>
          </w:tcPr>
          <w:p w:rsidR="00B55228" w:rsidRPr="005634D7" w:rsidRDefault="00B55228" w:rsidP="008E70B7">
            <w:pPr>
              <w:rPr>
                <w:rFonts w:cstheme="minorHAnsi"/>
                <w:color w:val="000000"/>
                <w:sz w:val="20"/>
                <w:szCs w:val="20"/>
              </w:rPr>
            </w:pPr>
            <w:r w:rsidRPr="005634D7">
              <w:rPr>
                <w:rFonts w:cstheme="minorHAnsi"/>
                <w:color w:val="000000"/>
                <w:sz w:val="20"/>
                <w:szCs w:val="20"/>
              </w:rPr>
              <w:t>2.586617***</w:t>
            </w:r>
          </w:p>
        </w:tc>
        <w:tc>
          <w:tcPr>
            <w:tcW w:w="1560" w:type="dxa"/>
            <w:shd w:val="clear" w:color="auto" w:fill="C6D9F1" w:themeFill="text2" w:themeFillTint="33"/>
          </w:tcPr>
          <w:p w:rsidR="00B55228" w:rsidRPr="005634D7" w:rsidRDefault="00B55228" w:rsidP="008E70B7">
            <w:pPr>
              <w:rPr>
                <w:rFonts w:cstheme="minorHAnsi"/>
                <w:color w:val="000000"/>
                <w:sz w:val="20"/>
                <w:szCs w:val="20"/>
              </w:rPr>
            </w:pPr>
            <w:r w:rsidRPr="005634D7">
              <w:rPr>
                <w:rFonts w:cstheme="minorHAnsi"/>
                <w:color w:val="000000"/>
                <w:sz w:val="20"/>
                <w:szCs w:val="20"/>
              </w:rPr>
              <w:t>208.4547***</w:t>
            </w:r>
          </w:p>
        </w:tc>
        <w:tc>
          <w:tcPr>
            <w:tcW w:w="1701" w:type="dxa"/>
            <w:shd w:val="clear" w:color="auto" w:fill="C6D9F1" w:themeFill="text2" w:themeFillTint="33"/>
          </w:tcPr>
          <w:p w:rsidR="00B55228" w:rsidRPr="00B55228" w:rsidRDefault="00B55228" w:rsidP="002B40CA">
            <w:pPr>
              <w:rPr>
                <w:rFonts w:cstheme="minorHAnsi"/>
                <w:sz w:val="20"/>
                <w:szCs w:val="20"/>
              </w:rPr>
            </w:pPr>
            <w:r w:rsidRPr="00B55228">
              <w:rPr>
                <w:rFonts w:cstheme="minorHAnsi"/>
                <w:color w:val="000000"/>
                <w:sz w:val="20"/>
                <w:szCs w:val="20"/>
              </w:rPr>
              <w:t>2.586617</w:t>
            </w:r>
            <w:r>
              <w:rPr>
                <w:rFonts w:cstheme="minorHAnsi"/>
                <w:color w:val="000000"/>
                <w:sz w:val="20"/>
                <w:szCs w:val="20"/>
              </w:rPr>
              <w:t>***</w:t>
            </w:r>
          </w:p>
        </w:tc>
      </w:tr>
      <w:tr w:rsidR="00946A42" w:rsidRPr="00A64F27" w:rsidTr="00F4605A">
        <w:tc>
          <w:tcPr>
            <w:tcW w:w="2376" w:type="dxa"/>
            <w:shd w:val="clear" w:color="auto" w:fill="C6D9F1" w:themeFill="text2" w:themeFillTint="33"/>
          </w:tcPr>
          <w:p w:rsidR="00946A42" w:rsidRPr="00857DAB" w:rsidRDefault="00946A42" w:rsidP="008E70B7">
            <w:pPr>
              <w:rPr>
                <w:rFonts w:cstheme="minorHAnsi"/>
                <w:i/>
                <w:sz w:val="20"/>
                <w:szCs w:val="20"/>
              </w:rPr>
            </w:pPr>
            <w:r w:rsidRPr="00857DAB">
              <w:rPr>
                <w:rFonts w:cstheme="minorHAnsi"/>
                <w:i/>
                <w:sz w:val="20"/>
                <w:szCs w:val="20"/>
              </w:rPr>
              <w:t>F Test (</w:t>
            </w:r>
            <w:proofErr w:type="spellStart"/>
            <w:r w:rsidRPr="00857DAB">
              <w:rPr>
                <w:rFonts w:cstheme="minorHAnsi"/>
                <w:i/>
                <w:sz w:val="20"/>
                <w:szCs w:val="20"/>
              </w:rPr>
              <w:t>Poolability</w:t>
            </w:r>
            <w:proofErr w:type="spellEnd"/>
            <w:r w:rsidR="003238CB">
              <w:rPr>
                <w:rFonts w:cstheme="minorHAnsi"/>
                <w:i/>
                <w:sz w:val="20"/>
                <w:szCs w:val="20"/>
              </w:rPr>
              <w:t xml:space="preserve"> Test</w:t>
            </w:r>
            <w:r w:rsidRPr="00857DAB">
              <w:rPr>
                <w:rFonts w:cstheme="minorHAnsi"/>
                <w:i/>
                <w:sz w:val="20"/>
                <w:szCs w:val="20"/>
              </w:rPr>
              <w:t>)</w:t>
            </w:r>
          </w:p>
        </w:tc>
        <w:tc>
          <w:tcPr>
            <w:tcW w:w="1701" w:type="dxa"/>
            <w:shd w:val="clear" w:color="auto" w:fill="C6D9F1" w:themeFill="text2" w:themeFillTint="33"/>
          </w:tcPr>
          <w:p w:rsidR="00946A42" w:rsidRDefault="00946A42" w:rsidP="008E70B7">
            <w:pPr>
              <w:rPr>
                <w:sz w:val="20"/>
                <w:szCs w:val="20"/>
              </w:rPr>
            </w:pPr>
          </w:p>
        </w:tc>
        <w:tc>
          <w:tcPr>
            <w:tcW w:w="1701" w:type="dxa"/>
            <w:shd w:val="clear" w:color="auto" w:fill="C6D9F1" w:themeFill="text2" w:themeFillTint="33"/>
          </w:tcPr>
          <w:p w:rsidR="00946A42" w:rsidRDefault="00946A42" w:rsidP="008E70B7">
            <w:pPr>
              <w:rPr>
                <w:sz w:val="20"/>
                <w:szCs w:val="20"/>
              </w:rPr>
            </w:pPr>
            <w:r>
              <w:rPr>
                <w:sz w:val="20"/>
                <w:szCs w:val="20"/>
              </w:rPr>
              <w:t>1.1974***</w:t>
            </w:r>
          </w:p>
        </w:tc>
        <w:tc>
          <w:tcPr>
            <w:tcW w:w="1560" w:type="dxa"/>
            <w:shd w:val="clear" w:color="auto" w:fill="C6D9F1" w:themeFill="text2" w:themeFillTint="33"/>
          </w:tcPr>
          <w:p w:rsidR="00946A42" w:rsidRDefault="00946A42" w:rsidP="008E70B7">
            <w:pPr>
              <w:rPr>
                <w:sz w:val="20"/>
                <w:szCs w:val="20"/>
              </w:rPr>
            </w:pPr>
          </w:p>
        </w:tc>
        <w:tc>
          <w:tcPr>
            <w:tcW w:w="1701" w:type="dxa"/>
            <w:shd w:val="clear" w:color="auto" w:fill="C6D9F1" w:themeFill="text2" w:themeFillTint="33"/>
          </w:tcPr>
          <w:p w:rsidR="00946A42" w:rsidRDefault="00946A42" w:rsidP="008E70B7">
            <w:pPr>
              <w:rPr>
                <w:sz w:val="20"/>
                <w:szCs w:val="20"/>
              </w:rPr>
            </w:pPr>
          </w:p>
        </w:tc>
      </w:tr>
      <w:tr w:rsidR="00946A42" w:rsidRPr="00A64F27" w:rsidTr="00F4605A">
        <w:tc>
          <w:tcPr>
            <w:tcW w:w="2376" w:type="dxa"/>
            <w:shd w:val="clear" w:color="auto" w:fill="C6D9F1" w:themeFill="text2" w:themeFillTint="33"/>
          </w:tcPr>
          <w:p w:rsidR="00946A42" w:rsidRPr="00857DAB" w:rsidRDefault="00946A42" w:rsidP="008E70B7">
            <w:pPr>
              <w:rPr>
                <w:rFonts w:cstheme="minorHAnsi"/>
                <w:i/>
                <w:sz w:val="20"/>
                <w:szCs w:val="20"/>
              </w:rPr>
            </w:pPr>
            <w:proofErr w:type="spellStart"/>
            <w:r w:rsidRPr="00857DAB">
              <w:rPr>
                <w:rFonts w:cstheme="minorHAnsi"/>
                <w:i/>
                <w:sz w:val="20"/>
                <w:szCs w:val="20"/>
              </w:rPr>
              <w:t>Breusch</w:t>
            </w:r>
            <w:proofErr w:type="spellEnd"/>
            <w:r w:rsidRPr="00857DAB">
              <w:rPr>
                <w:rFonts w:cstheme="minorHAnsi"/>
                <w:i/>
                <w:sz w:val="20"/>
                <w:szCs w:val="20"/>
              </w:rPr>
              <w:t>-Pagan LM Test</w:t>
            </w:r>
          </w:p>
        </w:tc>
        <w:tc>
          <w:tcPr>
            <w:tcW w:w="1701" w:type="dxa"/>
            <w:shd w:val="clear" w:color="auto" w:fill="C6D9F1" w:themeFill="text2" w:themeFillTint="33"/>
          </w:tcPr>
          <w:p w:rsidR="00946A42" w:rsidRDefault="00946A42" w:rsidP="008E70B7">
            <w:pPr>
              <w:rPr>
                <w:sz w:val="20"/>
                <w:szCs w:val="20"/>
              </w:rPr>
            </w:pPr>
            <w:r>
              <w:rPr>
                <w:sz w:val="20"/>
                <w:szCs w:val="20"/>
              </w:rPr>
              <w:t>1.2376</w:t>
            </w:r>
          </w:p>
        </w:tc>
        <w:tc>
          <w:tcPr>
            <w:tcW w:w="1701" w:type="dxa"/>
            <w:shd w:val="clear" w:color="auto" w:fill="C6D9F1" w:themeFill="text2" w:themeFillTint="33"/>
          </w:tcPr>
          <w:p w:rsidR="00946A42" w:rsidRDefault="00946A42" w:rsidP="008E70B7">
            <w:pPr>
              <w:rPr>
                <w:sz w:val="20"/>
                <w:szCs w:val="20"/>
              </w:rPr>
            </w:pPr>
          </w:p>
        </w:tc>
        <w:tc>
          <w:tcPr>
            <w:tcW w:w="1560" w:type="dxa"/>
            <w:shd w:val="clear" w:color="auto" w:fill="C6D9F1" w:themeFill="text2" w:themeFillTint="33"/>
          </w:tcPr>
          <w:p w:rsidR="00946A42" w:rsidRDefault="00946A42" w:rsidP="008E70B7">
            <w:pPr>
              <w:rPr>
                <w:sz w:val="20"/>
                <w:szCs w:val="20"/>
              </w:rPr>
            </w:pPr>
          </w:p>
        </w:tc>
        <w:tc>
          <w:tcPr>
            <w:tcW w:w="1701" w:type="dxa"/>
            <w:shd w:val="clear" w:color="auto" w:fill="C6D9F1" w:themeFill="text2" w:themeFillTint="33"/>
          </w:tcPr>
          <w:p w:rsidR="00946A42" w:rsidRDefault="00946A42" w:rsidP="008E70B7">
            <w:pPr>
              <w:rPr>
                <w:sz w:val="20"/>
                <w:szCs w:val="20"/>
              </w:rPr>
            </w:pPr>
          </w:p>
        </w:tc>
      </w:tr>
      <w:tr w:rsidR="00946A42" w:rsidRPr="00A64F27" w:rsidTr="00F4605A">
        <w:tc>
          <w:tcPr>
            <w:tcW w:w="2376" w:type="dxa"/>
            <w:shd w:val="clear" w:color="auto" w:fill="C6D9F1" w:themeFill="text2" w:themeFillTint="33"/>
          </w:tcPr>
          <w:p w:rsidR="00946A42" w:rsidRPr="00857DAB" w:rsidRDefault="00946A42" w:rsidP="008E70B7">
            <w:pPr>
              <w:rPr>
                <w:rFonts w:cstheme="minorHAnsi"/>
                <w:i/>
                <w:sz w:val="20"/>
                <w:szCs w:val="20"/>
              </w:rPr>
            </w:pPr>
            <w:proofErr w:type="spellStart"/>
            <w:r w:rsidRPr="00857DAB">
              <w:rPr>
                <w:rFonts w:cstheme="minorHAnsi"/>
                <w:i/>
                <w:sz w:val="20"/>
                <w:szCs w:val="20"/>
              </w:rPr>
              <w:t>Hausman</w:t>
            </w:r>
            <w:proofErr w:type="spellEnd"/>
            <w:r w:rsidRPr="00857DAB">
              <w:rPr>
                <w:rFonts w:cstheme="minorHAnsi"/>
                <w:i/>
                <w:sz w:val="20"/>
                <w:szCs w:val="20"/>
              </w:rPr>
              <w:t xml:space="preserve"> Test</w:t>
            </w:r>
          </w:p>
        </w:tc>
        <w:tc>
          <w:tcPr>
            <w:tcW w:w="1701" w:type="dxa"/>
            <w:shd w:val="clear" w:color="auto" w:fill="C6D9F1" w:themeFill="text2" w:themeFillTint="33"/>
          </w:tcPr>
          <w:p w:rsidR="00946A42" w:rsidRDefault="00946A42" w:rsidP="008E70B7">
            <w:pPr>
              <w:rPr>
                <w:sz w:val="20"/>
                <w:szCs w:val="20"/>
              </w:rPr>
            </w:pPr>
          </w:p>
        </w:tc>
        <w:tc>
          <w:tcPr>
            <w:tcW w:w="1701" w:type="dxa"/>
            <w:shd w:val="clear" w:color="auto" w:fill="C6D9F1" w:themeFill="text2" w:themeFillTint="33"/>
          </w:tcPr>
          <w:p w:rsidR="00946A42" w:rsidRDefault="00946A42" w:rsidP="008E70B7">
            <w:pPr>
              <w:rPr>
                <w:sz w:val="20"/>
                <w:szCs w:val="20"/>
              </w:rPr>
            </w:pPr>
          </w:p>
        </w:tc>
        <w:tc>
          <w:tcPr>
            <w:tcW w:w="1560" w:type="dxa"/>
            <w:shd w:val="clear" w:color="auto" w:fill="C6D9F1" w:themeFill="text2" w:themeFillTint="33"/>
          </w:tcPr>
          <w:p w:rsidR="00946A42" w:rsidRDefault="00946A42" w:rsidP="008E70B7">
            <w:pPr>
              <w:rPr>
                <w:sz w:val="20"/>
                <w:szCs w:val="20"/>
              </w:rPr>
            </w:pPr>
            <w:r>
              <w:rPr>
                <w:sz w:val="20"/>
                <w:szCs w:val="20"/>
              </w:rPr>
              <w:t>66.8884***</w:t>
            </w:r>
          </w:p>
        </w:tc>
        <w:tc>
          <w:tcPr>
            <w:tcW w:w="1701" w:type="dxa"/>
            <w:shd w:val="clear" w:color="auto" w:fill="C6D9F1" w:themeFill="text2" w:themeFillTint="33"/>
          </w:tcPr>
          <w:p w:rsidR="00946A42" w:rsidRDefault="00946A42" w:rsidP="008E70B7">
            <w:pPr>
              <w:rPr>
                <w:sz w:val="20"/>
                <w:szCs w:val="20"/>
              </w:rPr>
            </w:pPr>
          </w:p>
        </w:tc>
      </w:tr>
    </w:tbl>
    <w:p w:rsidR="00CF4BC1" w:rsidRDefault="00CF4BC1" w:rsidP="00CF4BC1">
      <w:pPr>
        <w:pStyle w:val="ListParagraph"/>
        <w:autoSpaceDE w:val="0"/>
        <w:autoSpaceDN w:val="0"/>
        <w:adjustRightInd w:val="0"/>
        <w:spacing w:after="0" w:line="240" w:lineRule="auto"/>
        <w:ind w:left="0"/>
        <w:rPr>
          <w:rFonts w:cstheme="minorHAnsi"/>
          <w:i/>
          <w:iCs/>
        </w:rPr>
      </w:pPr>
      <w:r>
        <w:rPr>
          <w:rFonts w:cstheme="minorHAnsi"/>
          <w:i/>
          <w:iCs/>
        </w:rPr>
        <w:t>Note:*, **, *** den</w:t>
      </w:r>
      <w:r w:rsidR="00F7416F">
        <w:rPr>
          <w:rFonts w:cstheme="minorHAnsi"/>
          <w:i/>
          <w:iCs/>
        </w:rPr>
        <w:t>otes significant at 10%</w:t>
      </w:r>
      <w:r>
        <w:rPr>
          <w:rFonts w:cstheme="minorHAnsi"/>
          <w:i/>
          <w:iCs/>
        </w:rPr>
        <w:t>, 5</w:t>
      </w:r>
      <w:r w:rsidRPr="001E67BA">
        <w:rPr>
          <w:rFonts w:cstheme="minorHAnsi"/>
          <w:i/>
          <w:iCs/>
        </w:rPr>
        <w:t>%</w:t>
      </w:r>
      <w:r>
        <w:rPr>
          <w:rFonts w:cstheme="minorHAnsi"/>
          <w:i/>
          <w:iCs/>
        </w:rPr>
        <w:t>, 1%</w:t>
      </w:r>
      <w:r w:rsidRPr="001E67BA">
        <w:rPr>
          <w:rFonts w:cstheme="minorHAnsi"/>
          <w:i/>
          <w:iCs/>
        </w:rPr>
        <w:t xml:space="preserve"> alpha</w:t>
      </w:r>
      <w:r>
        <w:rPr>
          <w:rFonts w:cstheme="minorHAnsi"/>
          <w:i/>
          <w:iCs/>
        </w:rPr>
        <w:t xml:space="preserve"> respectively</w:t>
      </w:r>
      <w:r w:rsidRPr="001E67BA">
        <w:rPr>
          <w:rFonts w:cstheme="minorHAnsi"/>
          <w:i/>
          <w:iCs/>
        </w:rPr>
        <w:t>.</w:t>
      </w:r>
    </w:p>
    <w:p w:rsidR="00946A42" w:rsidRPr="00946A42" w:rsidRDefault="00946A42" w:rsidP="00CF4BC1">
      <w:pPr>
        <w:pStyle w:val="ListParagraph"/>
        <w:autoSpaceDE w:val="0"/>
        <w:autoSpaceDN w:val="0"/>
        <w:adjustRightInd w:val="0"/>
        <w:spacing w:after="0" w:line="240" w:lineRule="auto"/>
        <w:ind w:left="0"/>
        <w:rPr>
          <w:rFonts w:cstheme="minorHAnsi"/>
          <w:i/>
          <w:iCs/>
        </w:rPr>
      </w:pPr>
      <w:proofErr w:type="spellStart"/>
      <w:r>
        <w:rPr>
          <w:rFonts w:cstheme="minorHAnsi"/>
          <w:i/>
          <w:iCs/>
        </w:rPr>
        <w:t>FEM</w:t>
      </w:r>
      <w:r>
        <w:rPr>
          <w:rFonts w:cstheme="minorHAnsi"/>
          <w:i/>
          <w:iCs/>
          <w:vertAlign w:val="superscript"/>
        </w:rPr>
        <w:t>a</w:t>
      </w:r>
      <w:proofErr w:type="spellEnd"/>
      <w:r>
        <w:rPr>
          <w:rFonts w:cstheme="minorHAnsi"/>
          <w:i/>
          <w:iCs/>
        </w:rPr>
        <w:t xml:space="preserve"> = FEM with robust standard errors</w:t>
      </w:r>
    </w:p>
    <w:p w:rsidR="00CF4BC1" w:rsidRDefault="00CF4BC1" w:rsidP="004726F4">
      <w:pPr>
        <w:spacing w:after="0"/>
      </w:pPr>
    </w:p>
    <w:p w:rsidR="00857DAB" w:rsidRDefault="00F90D9E" w:rsidP="005634D7">
      <w:pPr>
        <w:spacing w:after="0"/>
        <w:jc w:val="both"/>
      </w:pPr>
      <w:r>
        <w:t xml:space="preserve">From </w:t>
      </w:r>
      <w:r w:rsidR="006D768A">
        <w:t>the p</w:t>
      </w:r>
      <w:r>
        <w:t>ooled-OLS regression, we can infer that the model in overall has significant im</w:t>
      </w:r>
      <w:r w:rsidR="006D768A">
        <w:t xml:space="preserve">pact on the warrant mispricing, since the F-statistic (206.1578) is significant at 1% alpha. The R-squared </w:t>
      </w:r>
      <w:r w:rsidR="00EF280C">
        <w:t xml:space="preserve">is </w:t>
      </w:r>
      <w:r w:rsidR="006D768A">
        <w:t>0.3636</w:t>
      </w:r>
      <w:r w:rsidR="00EF280C">
        <w:t xml:space="preserve">, </w:t>
      </w:r>
      <w:r w:rsidR="006D768A">
        <w:t xml:space="preserve">meaning that the model together can </w:t>
      </w:r>
      <w:r w:rsidR="00EF280C">
        <w:t>explain the mispricing of warrant by 36.36%</w:t>
      </w:r>
      <w:r w:rsidR="002D2306">
        <w:t xml:space="preserve">, while 63.64% change on the warrant mispricing explained by other variables </w:t>
      </w:r>
      <w:r w:rsidR="004B5325">
        <w:t xml:space="preserve">at which </w:t>
      </w:r>
      <w:r w:rsidR="002D2306">
        <w:t>not covered in this research</w:t>
      </w:r>
      <w:r w:rsidR="00EF280C">
        <w:t xml:space="preserve">. Subsequently, we notice that there is significant relationship between </w:t>
      </w:r>
      <w:r w:rsidR="004B5325">
        <w:t xml:space="preserve">warrant </w:t>
      </w:r>
      <w:r w:rsidR="00EF280C">
        <w:t xml:space="preserve">mispricing and maturity, </w:t>
      </w:r>
      <w:proofErr w:type="spellStart"/>
      <w:r w:rsidR="00EF280C">
        <w:t>moneyness</w:t>
      </w:r>
      <w:proofErr w:type="spellEnd"/>
      <w:r w:rsidR="00EF280C">
        <w:t xml:space="preserve">, and volatility, respectively. </w:t>
      </w:r>
      <w:r w:rsidR="004B5325">
        <w:t xml:space="preserve">Both maturity and </w:t>
      </w:r>
      <w:proofErr w:type="spellStart"/>
      <w:r w:rsidR="004B5325">
        <w:t>moneyness</w:t>
      </w:r>
      <w:proofErr w:type="spellEnd"/>
      <w:r w:rsidR="004B5325">
        <w:t xml:space="preserve"> have negative sign parameters. Thus, we can deduce that </w:t>
      </w:r>
      <w:r w:rsidR="00293450">
        <w:t xml:space="preserve">when the mispricing is high, the </w:t>
      </w:r>
      <w:r w:rsidR="004B5325">
        <w:t xml:space="preserve">shorter the </w:t>
      </w:r>
      <w:r w:rsidR="00293450">
        <w:t xml:space="preserve">maturity, the </w:t>
      </w:r>
      <w:r w:rsidR="004B5325">
        <w:t>decrease in the</w:t>
      </w:r>
      <w:r w:rsidR="00293450">
        <w:t xml:space="preserve"> </w:t>
      </w:r>
      <w:proofErr w:type="spellStart"/>
      <w:r w:rsidR="00293450">
        <w:t>moneyness</w:t>
      </w:r>
      <w:proofErr w:type="spellEnd"/>
      <w:r w:rsidR="00293450">
        <w:t xml:space="preserve">, and the more volatile. </w:t>
      </w:r>
      <w:r w:rsidR="00EF280C">
        <w:t xml:space="preserve">However, stock return does not have any significant impact on the warrant mispricing. </w:t>
      </w:r>
    </w:p>
    <w:p w:rsidR="00EF280C" w:rsidRDefault="00EF280C" w:rsidP="005634D7">
      <w:pPr>
        <w:spacing w:after="0"/>
        <w:jc w:val="both"/>
      </w:pPr>
    </w:p>
    <w:p w:rsidR="00857DAB" w:rsidRDefault="00EF280C" w:rsidP="00EF280C">
      <w:pPr>
        <w:spacing w:after="0"/>
        <w:jc w:val="both"/>
      </w:pPr>
      <w:r>
        <w:lastRenderedPageBreak/>
        <w:t>Similarly, in regards with FEM, we find enough evidence that the model together can explained the warrant mispricing. Interestingly, according to FEM estimation, this model can predict 67.35% of total determinants on the warrant mispricing, while 32.65% change of mis</w:t>
      </w:r>
      <w:r w:rsidR="002D2306">
        <w:t xml:space="preserve">pricing explained by other factors that are not covered in this study. </w:t>
      </w:r>
      <w:r w:rsidR="00B44664">
        <w:t xml:space="preserve">Likewise, maturity, </w:t>
      </w:r>
      <w:proofErr w:type="spellStart"/>
      <w:r w:rsidR="00B44664">
        <w:t>moneyness</w:t>
      </w:r>
      <w:proofErr w:type="spellEnd"/>
      <w:r w:rsidR="00B44664">
        <w:t xml:space="preserve">, and volatility have significant impact on the misprice of warrant, since the p-value for the variables is significant at </w:t>
      </w:r>
      <w:r w:rsidR="00B44664">
        <w:rPr>
          <w:rFonts w:cstheme="minorHAnsi"/>
        </w:rPr>
        <w:t>α</w:t>
      </w:r>
      <w:r w:rsidR="00B44664">
        <w:t xml:space="preserve"> 1%. </w:t>
      </w:r>
      <w:proofErr w:type="spellStart"/>
      <w:proofErr w:type="gramStart"/>
      <w:r w:rsidR="00B44664">
        <w:t>Its</w:t>
      </w:r>
      <w:proofErr w:type="spellEnd"/>
      <w:proofErr w:type="gramEnd"/>
      <w:r w:rsidR="00B44664">
        <w:t xml:space="preserve"> also true that stock return does not have any influence on the warrant misprice. </w:t>
      </w:r>
      <w:r w:rsidR="004B5325">
        <w:t>However, unlike the pooled-OLS, the FEM estimation gives a different parameters value for maturity</w:t>
      </w:r>
      <w:r w:rsidR="00B00289">
        <w:t xml:space="preserve"> which is positive sign coefficient</w:t>
      </w:r>
      <w:r w:rsidR="004B5325">
        <w:t>. Therefore, as the mispricing is high, the longer the maturity will be</w:t>
      </w:r>
      <w:r w:rsidR="00B00289">
        <w:t xml:space="preserve"> (see figure 3)</w:t>
      </w:r>
      <w:r w:rsidR="004B5325">
        <w:t xml:space="preserve">. </w:t>
      </w:r>
    </w:p>
    <w:p w:rsidR="00522064" w:rsidRDefault="00522064" w:rsidP="00EF280C">
      <w:pPr>
        <w:spacing w:after="0"/>
        <w:jc w:val="both"/>
      </w:pPr>
    </w:p>
    <w:p w:rsidR="00522064" w:rsidRDefault="00522064" w:rsidP="00EF280C">
      <w:pPr>
        <w:spacing w:after="0"/>
        <w:jc w:val="both"/>
      </w:pPr>
      <w:proofErr w:type="gramStart"/>
      <w:r w:rsidRPr="00522064">
        <w:rPr>
          <w:b/>
        </w:rPr>
        <w:t>Figure 3</w:t>
      </w:r>
      <w:r>
        <w:t>.</w:t>
      </w:r>
      <w:proofErr w:type="gramEnd"/>
      <w:r>
        <w:t xml:space="preserve"> Misprice and maturity</w:t>
      </w:r>
    </w:p>
    <w:p w:rsidR="00522064" w:rsidRDefault="00522064" w:rsidP="00EF280C">
      <w:pPr>
        <w:spacing w:after="0"/>
        <w:jc w:val="both"/>
      </w:pPr>
      <w:r w:rsidRPr="00522064">
        <w:rPr>
          <w:noProof/>
        </w:rPr>
        <w:drawing>
          <wp:inline distT="0" distB="0" distL="0" distR="0">
            <wp:extent cx="4155385" cy="2623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4154807" cy="2623565"/>
                    </a:xfrm>
                    <a:prstGeom prst="rect">
                      <a:avLst/>
                    </a:prstGeom>
                    <a:noFill/>
                    <a:ln w="9525">
                      <a:noFill/>
                      <a:miter lim="800000"/>
                      <a:headEnd/>
                      <a:tailEnd/>
                    </a:ln>
                  </pic:spPr>
                </pic:pic>
              </a:graphicData>
            </a:graphic>
          </wp:inline>
        </w:drawing>
      </w:r>
    </w:p>
    <w:p w:rsidR="00EF280C" w:rsidRDefault="00EF280C" w:rsidP="00EF280C">
      <w:pPr>
        <w:spacing w:after="0"/>
        <w:jc w:val="both"/>
      </w:pPr>
    </w:p>
    <w:p w:rsidR="00B00289" w:rsidRDefault="00B00289" w:rsidP="00B00289">
      <w:pPr>
        <w:spacing w:after="0"/>
        <w:jc w:val="both"/>
      </w:pPr>
      <w:r>
        <w:t>In regard</w:t>
      </w:r>
      <w:r w:rsidR="0019068F">
        <w:t>s</w:t>
      </w:r>
      <w:r>
        <w:t xml:space="preserve"> with random-effect (REM), we noticed that the model </w:t>
      </w:r>
      <w:r w:rsidR="00CA6061">
        <w:t xml:space="preserve">together have a significant contribution on </w:t>
      </w:r>
      <w:r>
        <w:t xml:space="preserve">the warrant mispricing, </w:t>
      </w:r>
      <w:r w:rsidR="00CA6061">
        <w:t>as the F-statistic (208</w:t>
      </w:r>
      <w:r>
        <w:t>.</w:t>
      </w:r>
      <w:r w:rsidR="00CA6061">
        <w:t>454</w:t>
      </w:r>
      <w:r>
        <w:t>) is significant at 1% alpha. The R-squared is 0.36</w:t>
      </w:r>
      <w:r w:rsidR="00CA6061">
        <w:t>62</w:t>
      </w:r>
      <w:r>
        <w:t>, meaning that 36.</w:t>
      </w:r>
      <w:r w:rsidR="00CA6061">
        <w:t>62</w:t>
      </w:r>
      <w:r>
        <w:t>%</w:t>
      </w:r>
      <w:r w:rsidR="00CA6061">
        <w:t xml:space="preserve"> of the selected variables together can explained the misprice of warrant</w:t>
      </w:r>
      <w:r>
        <w:t>, while 63.</w:t>
      </w:r>
      <w:r w:rsidR="00CA6061">
        <w:t>38</w:t>
      </w:r>
      <w:r>
        <w:t xml:space="preserve">% explained by other variables at which not covered in </w:t>
      </w:r>
      <w:r w:rsidR="00CA6061">
        <w:t>the study</w:t>
      </w:r>
      <w:r>
        <w:t xml:space="preserve">. </w:t>
      </w:r>
      <w:r w:rsidR="00CA6061">
        <w:t>Similarly, like the pooled-OLS result,</w:t>
      </w:r>
      <w:r>
        <w:t xml:space="preserve"> </w:t>
      </w:r>
      <w:r w:rsidR="0019068F">
        <w:t xml:space="preserve">REM confirmed </w:t>
      </w:r>
      <w:r>
        <w:t xml:space="preserve">that there is significant relationship between warrant mispricing and maturity, </w:t>
      </w:r>
      <w:proofErr w:type="spellStart"/>
      <w:r>
        <w:t>moneyness</w:t>
      </w:r>
      <w:proofErr w:type="spellEnd"/>
      <w:r>
        <w:t xml:space="preserve">, and volatility, respectively. Both maturity and </w:t>
      </w:r>
      <w:proofErr w:type="spellStart"/>
      <w:r>
        <w:t>moneyness</w:t>
      </w:r>
      <w:proofErr w:type="spellEnd"/>
      <w:r>
        <w:t xml:space="preserve"> have negative sign </w:t>
      </w:r>
      <w:r w:rsidR="00CA6061">
        <w:t>coefficient</w:t>
      </w:r>
      <w:r>
        <w:t xml:space="preserve">. </w:t>
      </w:r>
      <w:r w:rsidR="00CA6061">
        <w:t>In turn</w:t>
      </w:r>
      <w:r>
        <w:t xml:space="preserve">, we can </w:t>
      </w:r>
      <w:r w:rsidR="00CA6061">
        <w:t xml:space="preserve">infer </w:t>
      </w:r>
      <w:r>
        <w:t xml:space="preserve">that when the mispricing is high, the shorter the maturity, the decrease </w:t>
      </w:r>
      <w:r w:rsidR="00CA6061">
        <w:t>value o</w:t>
      </w:r>
      <w:r>
        <w:t xml:space="preserve">n the </w:t>
      </w:r>
      <w:proofErr w:type="spellStart"/>
      <w:r>
        <w:t>moneyness</w:t>
      </w:r>
      <w:proofErr w:type="spellEnd"/>
      <w:r>
        <w:t xml:space="preserve">, and the more volatile. However, stock return does not have any significant impact on the warrant mispricing. </w:t>
      </w:r>
    </w:p>
    <w:p w:rsidR="00B00289" w:rsidRDefault="00B00289" w:rsidP="004726F4">
      <w:pPr>
        <w:spacing w:after="0"/>
      </w:pPr>
    </w:p>
    <w:p w:rsidR="004C0527" w:rsidRDefault="0019068F" w:rsidP="00CF711A">
      <w:pPr>
        <w:spacing w:after="0"/>
        <w:jc w:val="both"/>
        <w:rPr>
          <w:rFonts w:cstheme="minorHAnsi"/>
          <w:szCs w:val="20"/>
        </w:rPr>
      </w:pPr>
      <w:r>
        <w:t>Aside from that, for the</w:t>
      </w:r>
      <w:r w:rsidR="00B57C7B">
        <w:t xml:space="preserve"> purpose of</w:t>
      </w:r>
      <w:r>
        <w:t xml:space="preserve"> comparison between pooled</w:t>
      </w:r>
      <w:r w:rsidR="00821503">
        <w:t>-</w:t>
      </w:r>
      <w:r>
        <w:t xml:space="preserve">OLS and FEM, </w:t>
      </w:r>
      <w:proofErr w:type="spellStart"/>
      <w:r>
        <w:t>poolabilty</w:t>
      </w:r>
      <w:proofErr w:type="spellEnd"/>
      <w:r>
        <w:t xml:space="preserve"> test (F-test) </w:t>
      </w:r>
      <w:r w:rsidR="00821503">
        <w:t xml:space="preserve">depicts </w:t>
      </w:r>
      <w:r>
        <w:t>that</w:t>
      </w:r>
      <w:r w:rsidR="00821503">
        <w:t xml:space="preserve"> period</w:t>
      </w:r>
      <w:r>
        <w:t xml:space="preserve"> </w:t>
      </w:r>
      <w:r w:rsidR="00821503">
        <w:t xml:space="preserve">f-statistic </w:t>
      </w:r>
      <w:r w:rsidR="00821503" w:rsidRPr="00821503">
        <w:rPr>
          <w:szCs w:val="20"/>
        </w:rPr>
        <w:t>1.1974</w:t>
      </w:r>
      <w:r w:rsidR="00821503">
        <w:rPr>
          <w:szCs w:val="20"/>
        </w:rPr>
        <w:t xml:space="preserve"> which is significant at 1% </w:t>
      </w:r>
      <w:r w:rsidR="00821503">
        <w:rPr>
          <w:rFonts w:cstheme="minorHAnsi"/>
          <w:szCs w:val="20"/>
        </w:rPr>
        <w:t>α</w:t>
      </w:r>
      <w:r w:rsidR="00821503">
        <w:rPr>
          <w:szCs w:val="20"/>
        </w:rPr>
        <w:t>, therefore we can reject the null (</w:t>
      </w:r>
      <w:r w:rsidR="00821503">
        <w:t>H</w:t>
      </w:r>
      <w:r w:rsidR="00821503" w:rsidRPr="00315281">
        <w:rPr>
          <w:vertAlign w:val="subscript"/>
        </w:rPr>
        <w:t>0</w:t>
      </w:r>
      <w:r w:rsidR="00821503">
        <w:t xml:space="preserve">: </w:t>
      </w:r>
      <w:r w:rsidR="00821503">
        <w:rPr>
          <w:rFonts w:cstheme="minorHAnsi"/>
        </w:rPr>
        <w:t>α</w:t>
      </w:r>
      <w:r w:rsidR="00821503" w:rsidRPr="00315281">
        <w:rPr>
          <w:vertAlign w:val="subscript"/>
        </w:rPr>
        <w:t>1</w:t>
      </w:r>
      <w:r w:rsidR="00821503">
        <w:t xml:space="preserve"> = </w:t>
      </w:r>
      <w:r w:rsidR="00821503">
        <w:rPr>
          <w:rFonts w:cstheme="minorHAnsi"/>
        </w:rPr>
        <w:t>α</w:t>
      </w:r>
      <w:r w:rsidR="00821503">
        <w:rPr>
          <w:vertAlign w:val="subscript"/>
        </w:rPr>
        <w:t xml:space="preserve">2 </w:t>
      </w:r>
      <w:r w:rsidR="00821503">
        <w:t>=</w:t>
      </w:r>
      <w:r w:rsidR="00821503" w:rsidRPr="00315281">
        <w:rPr>
          <w:rFonts w:cstheme="minorHAnsi"/>
        </w:rPr>
        <w:t xml:space="preserve"> </w:t>
      </w:r>
      <w:r w:rsidR="00821503">
        <w:rPr>
          <w:rFonts w:cstheme="minorHAnsi"/>
        </w:rPr>
        <w:t>α</w:t>
      </w:r>
      <w:r w:rsidR="00821503">
        <w:rPr>
          <w:vertAlign w:val="subscript"/>
        </w:rPr>
        <w:t xml:space="preserve">3 </w:t>
      </w:r>
      <w:r w:rsidR="00821503">
        <w:t xml:space="preserve">= </w:t>
      </w:r>
      <w:r w:rsidR="00821503">
        <w:rPr>
          <w:rFonts w:cstheme="minorHAnsi"/>
        </w:rPr>
        <w:t>α</w:t>
      </w:r>
      <w:r w:rsidR="00821503">
        <w:rPr>
          <w:vertAlign w:val="subscript"/>
        </w:rPr>
        <w:t>4</w:t>
      </w:r>
      <w:r w:rsidR="00821503">
        <w:t xml:space="preserve"> ; POLS is better), and accept the alternate hypothesis  (H</w:t>
      </w:r>
      <w:r w:rsidR="00821503" w:rsidRPr="00E15743">
        <w:rPr>
          <w:vertAlign w:val="subscript"/>
        </w:rPr>
        <w:t>a</w:t>
      </w:r>
      <w:r w:rsidR="00821503">
        <w:t xml:space="preserve">: at least one </w:t>
      </w:r>
      <w:r w:rsidR="00821503">
        <w:rPr>
          <w:rFonts w:cstheme="minorHAnsi"/>
        </w:rPr>
        <w:t>α</w:t>
      </w:r>
      <w:r w:rsidR="00821503">
        <w:rPr>
          <w:vertAlign w:val="subscript"/>
        </w:rPr>
        <w:t xml:space="preserve">i </w:t>
      </w:r>
      <w:r w:rsidR="00821503">
        <w:rPr>
          <w:rFonts w:cstheme="minorHAnsi"/>
        </w:rPr>
        <w:t>≠</w:t>
      </w:r>
      <w:r w:rsidR="00821503">
        <w:t xml:space="preserve"> 0 ;  FEM is better). Thus, in this regard, we conclude that FEM is the best model. Subsequently, we compare between pooled-OLS and REM. </w:t>
      </w:r>
      <w:proofErr w:type="spellStart"/>
      <w:r w:rsidR="00821503">
        <w:t>Breusch</w:t>
      </w:r>
      <w:proofErr w:type="spellEnd"/>
      <w:r w:rsidR="00821503">
        <w:t xml:space="preserve">-Pagan (BP)-LM test showed that the BP statistic </w:t>
      </w:r>
      <w:r w:rsidR="00821503" w:rsidRPr="00821503">
        <w:rPr>
          <w:szCs w:val="20"/>
        </w:rPr>
        <w:t>1.2376</w:t>
      </w:r>
      <w:r w:rsidR="00821503">
        <w:rPr>
          <w:szCs w:val="20"/>
        </w:rPr>
        <w:t xml:space="preserve"> which is not significant at 1% </w:t>
      </w:r>
      <w:r w:rsidR="00821503">
        <w:rPr>
          <w:rFonts w:cstheme="minorHAnsi"/>
          <w:szCs w:val="20"/>
        </w:rPr>
        <w:t xml:space="preserve">α. Thus, we </w:t>
      </w:r>
      <w:r w:rsidR="00B57C7B">
        <w:rPr>
          <w:rFonts w:cstheme="minorHAnsi"/>
          <w:szCs w:val="20"/>
        </w:rPr>
        <w:t>cannot</w:t>
      </w:r>
      <w:r w:rsidR="00821503">
        <w:rPr>
          <w:rFonts w:cstheme="minorHAnsi"/>
          <w:szCs w:val="20"/>
        </w:rPr>
        <w:t xml:space="preserve"> reject the null (</w:t>
      </w:r>
      <w:r w:rsidR="00821503" w:rsidRPr="00315281">
        <w:t>H</w:t>
      </w:r>
      <w:r w:rsidR="00821503" w:rsidRPr="00821503">
        <w:rPr>
          <w:vertAlign w:val="subscript"/>
        </w:rPr>
        <w:t>0</w:t>
      </w:r>
      <w:r w:rsidR="00821503" w:rsidRPr="00315281">
        <w:t xml:space="preserve">: </w:t>
      </w:r>
      <w:r w:rsidR="00821503">
        <w:rPr>
          <w:rFonts w:cstheme="minorHAnsi"/>
        </w:rPr>
        <w:t>σ</w:t>
      </w:r>
      <w:r w:rsidR="00821503" w:rsidRPr="00315281">
        <w:rPr>
          <w:vertAlign w:val="subscript"/>
        </w:rPr>
        <w:t>2</w:t>
      </w:r>
      <w:r w:rsidR="00821503" w:rsidRPr="00315281">
        <w:rPr>
          <w:vertAlign w:val="superscript"/>
        </w:rPr>
        <w:t>2</w:t>
      </w:r>
      <w:r w:rsidR="00821503">
        <w:t xml:space="preserve"> = 0; POLS is better), which means that the pooled-OLS is better </w:t>
      </w:r>
      <w:r w:rsidR="00E702D2">
        <w:t xml:space="preserve">model </w:t>
      </w:r>
      <w:r w:rsidR="00821503">
        <w:t>relative to REM</w:t>
      </w:r>
      <w:r w:rsidR="00E702D2">
        <w:t xml:space="preserve">. </w:t>
      </w:r>
      <w:r w:rsidR="00B57C7B">
        <w:t xml:space="preserve">Lastly, </w:t>
      </w:r>
      <w:proofErr w:type="spellStart"/>
      <w:r w:rsidR="00B57C7B">
        <w:t>hausman</w:t>
      </w:r>
      <w:proofErr w:type="spellEnd"/>
      <w:r w:rsidR="00B57C7B">
        <w:t xml:space="preserve"> test employed to determine which one is the best model between FEM and REM. </w:t>
      </w:r>
      <w:r w:rsidR="00023433">
        <w:t>Based on</w:t>
      </w:r>
      <w:r w:rsidR="00B57C7B">
        <w:t xml:space="preserve"> </w:t>
      </w:r>
      <w:proofErr w:type="spellStart"/>
      <w:r w:rsidR="00B57C7B">
        <w:t>hausman</w:t>
      </w:r>
      <w:proofErr w:type="spellEnd"/>
      <w:r w:rsidR="00B57C7B">
        <w:t xml:space="preserve"> test, the chi-squared statistic </w:t>
      </w:r>
      <w:r w:rsidR="00B57C7B" w:rsidRPr="00B57C7B">
        <w:rPr>
          <w:szCs w:val="20"/>
        </w:rPr>
        <w:t>66.8884</w:t>
      </w:r>
      <w:r w:rsidR="00B57C7B">
        <w:rPr>
          <w:szCs w:val="20"/>
        </w:rPr>
        <w:t xml:space="preserve"> is significant at 1% </w:t>
      </w:r>
      <w:r w:rsidR="00B57C7B">
        <w:rPr>
          <w:rFonts w:cstheme="minorHAnsi"/>
          <w:szCs w:val="20"/>
        </w:rPr>
        <w:t xml:space="preserve">α. Thus, we can reject the null and accept the alternate hypotheses (FEM is better). </w:t>
      </w:r>
    </w:p>
    <w:p w:rsidR="0059351A" w:rsidRPr="007808F8" w:rsidRDefault="0059351A" w:rsidP="00CF711A">
      <w:pPr>
        <w:spacing w:after="0"/>
        <w:jc w:val="both"/>
        <w:rPr>
          <w:rFonts w:cstheme="minorHAnsi"/>
          <w:szCs w:val="20"/>
        </w:rPr>
      </w:pPr>
    </w:p>
    <w:p w:rsidR="004C0527" w:rsidRPr="004C0527" w:rsidRDefault="004C0527" w:rsidP="00CF711A">
      <w:pPr>
        <w:spacing w:after="0"/>
        <w:jc w:val="both"/>
        <w:rPr>
          <w:rFonts w:cstheme="minorHAnsi"/>
          <w:b/>
          <w:i/>
        </w:rPr>
      </w:pPr>
      <w:r w:rsidRPr="004C0527">
        <w:rPr>
          <w:rFonts w:cstheme="minorHAnsi"/>
          <w:b/>
          <w:i/>
        </w:rPr>
        <w:t>Discussion</w:t>
      </w:r>
    </w:p>
    <w:p w:rsidR="00DA2B55" w:rsidRDefault="00DC5C66" w:rsidP="00DC5C66">
      <w:pPr>
        <w:spacing w:after="0"/>
        <w:jc w:val="both"/>
        <w:rPr>
          <w:rFonts w:cstheme="minorHAnsi"/>
          <w:szCs w:val="20"/>
        </w:rPr>
      </w:pPr>
      <w:r>
        <w:rPr>
          <w:rFonts w:cstheme="minorHAnsi"/>
          <w:szCs w:val="20"/>
        </w:rPr>
        <w:t xml:space="preserve">After performed model comparisons, we can infer that the fixed-effect (FEM) is the best model for warrant mispricing and its determinants. Therefore, we can postulate the model as follows: </w:t>
      </w:r>
    </w:p>
    <w:p w:rsidR="00DC5C66" w:rsidRPr="00BF4124" w:rsidRDefault="00A7745D" w:rsidP="00DC5C66">
      <w:pPr>
        <w:spacing w:after="0"/>
        <w:rPr>
          <w:rFonts w:cstheme="minorHAnsi"/>
          <w:b/>
          <w:i/>
          <w:sz w:val="20"/>
          <w:szCs w:val="20"/>
        </w:rPr>
      </w:pPr>
      <m:oMathPara>
        <m:oMath>
          <m:sSub>
            <m:sSubPr>
              <m:ctrlPr>
                <w:rPr>
                  <w:rFonts w:ascii="Cambria Math" w:hAnsi="Cambria Math" w:cstheme="minorHAnsi"/>
                  <w:i/>
                  <w:sz w:val="20"/>
                  <w:szCs w:val="20"/>
                </w:rPr>
              </m:ctrlPr>
            </m:sSubPr>
            <m:e>
              <m:r>
                <w:rPr>
                  <w:rFonts w:ascii="Cambria Math" w:cstheme="minorHAnsi"/>
                  <w:sz w:val="20"/>
                  <w:szCs w:val="20"/>
                </w:rPr>
                <m:t xml:space="preserve">% </m:t>
              </m:r>
              <m:r>
                <w:rPr>
                  <w:rFonts w:ascii="Cambria Math" w:hAnsi="Cambria Math" w:cstheme="minorHAnsi"/>
                  <w:sz w:val="20"/>
                  <w:szCs w:val="20"/>
                </w:rPr>
                <m:t>mispricing</m:t>
              </m:r>
            </m:e>
            <m:sub>
              <m:r>
                <w:rPr>
                  <w:rFonts w:ascii="Cambria Math" w:hAnsi="Cambria Math" w:cstheme="minorHAnsi"/>
                  <w:sz w:val="20"/>
                  <w:szCs w:val="20"/>
                </w:rPr>
                <m:t>it</m:t>
              </m:r>
            </m:sub>
          </m:sSub>
          <m:r>
            <w:rPr>
              <w:rFonts w:ascii="Cambria Math" w:cstheme="minorHAnsi"/>
              <w:sz w:val="20"/>
              <w:szCs w:val="20"/>
            </w:rPr>
            <m:t xml:space="preserve">= </m:t>
          </m:r>
          <m:r>
            <w:rPr>
              <w:rFonts w:ascii="Cambria Math" w:hAnsi="Cambria Math" w:cstheme="minorHAnsi"/>
              <w:sz w:val="20"/>
              <w:szCs w:val="20"/>
            </w:rPr>
            <m:t>-</m:t>
          </m:r>
          <m:r>
            <w:rPr>
              <w:rFonts w:ascii="Cambria Math" w:cstheme="minorHAnsi"/>
              <w:sz w:val="20"/>
              <w:szCs w:val="20"/>
            </w:rPr>
            <m:t>1893.82</m:t>
          </m:r>
          <m:r>
            <w:rPr>
              <w:rFonts w:ascii="Cambria Math" w:hAnsi="Cambria Math" w:cstheme="minorHAnsi"/>
              <w:sz w:val="20"/>
              <w:szCs w:val="20"/>
            </w:rPr>
            <m:t>-</m:t>
          </m:r>
          <m:r>
            <w:rPr>
              <w:rFonts w:ascii="Cambria Math" w:cstheme="minorHAnsi"/>
              <w:sz w:val="20"/>
              <w:szCs w:val="20"/>
            </w:rPr>
            <m:t xml:space="preserve">2.0114 </m:t>
          </m:r>
          <m:sSub>
            <m:sSubPr>
              <m:ctrlPr>
                <w:rPr>
                  <w:rFonts w:ascii="Cambria Math" w:hAnsi="Cambria Math" w:cstheme="minorHAnsi"/>
                  <w:i/>
                  <w:sz w:val="20"/>
                  <w:szCs w:val="20"/>
                </w:rPr>
              </m:ctrlPr>
            </m:sSubPr>
            <m:e>
              <m:r>
                <w:rPr>
                  <w:rFonts w:ascii="Cambria Math" w:hAnsi="Cambria Math" w:cstheme="minorHAnsi"/>
                  <w:sz w:val="20"/>
                  <w:szCs w:val="20"/>
                </w:rPr>
                <m:t>Stock</m:t>
              </m:r>
              <m:r>
                <w:rPr>
                  <w:rFonts w:ascii="Cambria Math" w:cstheme="minorHAnsi"/>
                  <w:sz w:val="20"/>
                  <w:szCs w:val="20"/>
                </w:rPr>
                <m:t xml:space="preserve"> </m:t>
              </m:r>
              <m:r>
                <w:rPr>
                  <w:rFonts w:ascii="Cambria Math" w:hAnsi="Cambria Math" w:cstheme="minorHAnsi"/>
                  <w:sz w:val="20"/>
                  <w:szCs w:val="20"/>
                </w:rPr>
                <m:t>Return</m:t>
              </m:r>
            </m:e>
            <m:sub>
              <m:r>
                <w:rPr>
                  <w:rFonts w:ascii="Cambria Math" w:hAnsi="Cambria Math" w:cstheme="minorHAnsi"/>
                  <w:sz w:val="20"/>
                  <w:szCs w:val="20"/>
                </w:rPr>
                <m:t>it</m:t>
              </m:r>
            </m:sub>
          </m:sSub>
          <m:r>
            <w:rPr>
              <w:rFonts w:ascii="Cambria Math" w:cstheme="minorHAnsi"/>
              <w:sz w:val="20"/>
              <w:szCs w:val="20"/>
            </w:rPr>
            <m:t xml:space="preserve">+ 1.2446 </m:t>
          </m:r>
          <m:sSub>
            <m:sSubPr>
              <m:ctrlPr>
                <w:rPr>
                  <w:rFonts w:ascii="Cambria Math" w:hAnsi="Cambria Math" w:cstheme="minorHAnsi"/>
                  <w:i/>
                  <w:sz w:val="20"/>
                  <w:szCs w:val="20"/>
                </w:rPr>
              </m:ctrlPr>
            </m:sSubPr>
            <m:e>
              <m:r>
                <w:rPr>
                  <w:rFonts w:ascii="Cambria Math" w:hAnsi="Cambria Math" w:cstheme="minorHAnsi"/>
                  <w:sz w:val="20"/>
                  <w:szCs w:val="20"/>
                </w:rPr>
                <m:t>Maturity</m:t>
              </m:r>
            </m:e>
            <m:sub>
              <m:r>
                <w:rPr>
                  <w:rFonts w:ascii="Cambria Math" w:hAnsi="Cambria Math" w:cstheme="minorHAnsi"/>
                  <w:sz w:val="20"/>
                  <w:szCs w:val="20"/>
                </w:rPr>
                <m:t>it</m:t>
              </m:r>
            </m:sub>
          </m:sSub>
          <m:r>
            <w:rPr>
              <w:rFonts w:ascii="Cambria Math" w:hAnsi="Cambria Math" w:cstheme="minorHAnsi"/>
              <w:sz w:val="20"/>
              <w:szCs w:val="20"/>
            </w:rPr>
            <m:t>-</m:t>
          </m:r>
          <m:r>
            <w:rPr>
              <w:rFonts w:ascii="Cambria Math" w:cstheme="minorHAnsi"/>
              <w:sz w:val="20"/>
              <w:szCs w:val="20"/>
            </w:rPr>
            <m:t xml:space="preserve"> 53.9449 </m:t>
          </m:r>
          <m:sSub>
            <m:sSubPr>
              <m:ctrlPr>
                <w:rPr>
                  <w:rFonts w:ascii="Cambria Math" w:hAnsi="Cambria Math" w:cstheme="minorHAnsi"/>
                  <w:i/>
                  <w:sz w:val="20"/>
                  <w:szCs w:val="20"/>
                </w:rPr>
              </m:ctrlPr>
            </m:sSubPr>
            <m:e>
              <m:r>
                <w:rPr>
                  <w:rFonts w:ascii="Cambria Math" w:hAnsi="Cambria Math" w:cstheme="minorHAnsi"/>
                  <w:sz w:val="20"/>
                  <w:szCs w:val="20"/>
                </w:rPr>
                <m:t>Moneyness</m:t>
              </m:r>
            </m:e>
            <m:sub>
              <m:r>
                <w:rPr>
                  <w:rFonts w:ascii="Cambria Math" w:hAnsi="Cambria Math" w:cstheme="minorHAnsi"/>
                  <w:sz w:val="20"/>
                  <w:szCs w:val="20"/>
                </w:rPr>
                <m:t>it</m:t>
              </m:r>
            </m:sub>
          </m:sSub>
          <m:r>
            <w:rPr>
              <w:rFonts w:ascii="Cambria Math" w:cstheme="minorHAnsi"/>
              <w:sz w:val="20"/>
              <w:szCs w:val="20"/>
            </w:rPr>
            <m:t>+ 71.2519</m:t>
          </m:r>
          <m:r>
            <m:rPr>
              <m:sty m:val="bi"/>
            </m:rPr>
            <w:rPr>
              <w:rFonts w:ascii="Cambria Math" w:cstheme="minorHAnsi"/>
              <w:sz w:val="20"/>
              <w:szCs w:val="20"/>
            </w:rPr>
            <m:t xml:space="preserve"> </m:t>
          </m:r>
          <m:sSub>
            <m:sSubPr>
              <m:ctrlPr>
                <w:rPr>
                  <w:rFonts w:ascii="Cambria Math" w:hAnsi="Cambria Math" w:cstheme="minorHAnsi"/>
                  <w:b/>
                  <w:i/>
                  <w:sz w:val="20"/>
                  <w:szCs w:val="20"/>
                </w:rPr>
              </m:ctrlPr>
            </m:sSubPr>
            <m:e>
              <m:r>
                <w:rPr>
                  <w:rFonts w:ascii="Cambria Math" w:hAnsi="Cambria Math" w:cstheme="minorHAnsi"/>
                  <w:sz w:val="20"/>
                  <w:szCs w:val="20"/>
                </w:rPr>
                <m:t>Volatility</m:t>
              </m:r>
            </m:e>
            <m:sub>
              <m:r>
                <w:rPr>
                  <w:rFonts w:ascii="Cambria Math" w:hAnsi="Cambria Math" w:cstheme="minorHAnsi"/>
                  <w:sz w:val="20"/>
                  <w:szCs w:val="20"/>
                </w:rPr>
                <m:t>it</m:t>
              </m:r>
            </m:sub>
          </m:sSub>
          <m:r>
            <m:rPr>
              <m:sty m:val="bi"/>
            </m:rPr>
            <w:rPr>
              <w:rFonts w:ascii="Cambria Math" w:cstheme="minorHAnsi"/>
              <w:sz w:val="20"/>
              <w:szCs w:val="20"/>
            </w:rPr>
            <m:t xml:space="preserve">+ </m:t>
          </m:r>
          <m:sSub>
            <m:sSubPr>
              <m:ctrlPr>
                <w:rPr>
                  <w:rFonts w:ascii="Cambria Math" w:hAnsi="Cambria Math" w:cstheme="minorHAnsi"/>
                  <w:i/>
                  <w:sz w:val="20"/>
                  <w:szCs w:val="20"/>
                </w:rPr>
              </m:ctrlPr>
            </m:sSubPr>
            <m:e>
              <m:r>
                <w:rPr>
                  <w:rFonts w:ascii="Cambria Math" w:hAnsi="Cambria Math" w:cstheme="minorHAnsi"/>
                  <w:sz w:val="20"/>
                  <w:szCs w:val="20"/>
                </w:rPr>
                <m:t>ε</m:t>
              </m:r>
            </m:e>
            <m:sub>
              <m:r>
                <w:rPr>
                  <w:rFonts w:ascii="Cambria Math" w:hAnsi="Cambria Math" w:cstheme="minorHAnsi"/>
                  <w:sz w:val="20"/>
                  <w:szCs w:val="20"/>
                </w:rPr>
                <m:t>it</m:t>
              </m:r>
            </m:sub>
          </m:sSub>
        </m:oMath>
      </m:oMathPara>
    </w:p>
    <w:p w:rsidR="00DC5C66" w:rsidRDefault="00DC5C66" w:rsidP="00DC5C66">
      <w:pPr>
        <w:spacing w:after="0"/>
        <w:rPr>
          <w:rFonts w:cstheme="minorHAnsi"/>
          <w:sz w:val="20"/>
          <w:szCs w:val="20"/>
        </w:rPr>
      </w:pPr>
    </w:p>
    <w:p w:rsidR="00E15743" w:rsidRDefault="00100704" w:rsidP="00DC5C66">
      <w:pPr>
        <w:spacing w:after="0"/>
        <w:jc w:val="both"/>
        <w:rPr>
          <w:rFonts w:cstheme="minorHAnsi"/>
        </w:rPr>
      </w:pPr>
      <w:r>
        <w:rPr>
          <w:rFonts w:cstheme="minorHAnsi"/>
        </w:rPr>
        <w:t xml:space="preserve">As mentioned earlier, </w:t>
      </w:r>
      <w:r w:rsidR="00DC5C66">
        <w:rPr>
          <w:rFonts w:cstheme="minorHAnsi"/>
        </w:rPr>
        <w:t xml:space="preserve">maturity, </w:t>
      </w:r>
      <w:proofErr w:type="spellStart"/>
      <w:r w:rsidR="00DC5C66">
        <w:rPr>
          <w:rFonts w:cstheme="minorHAnsi"/>
        </w:rPr>
        <w:t>moneyness</w:t>
      </w:r>
      <w:proofErr w:type="spellEnd"/>
      <w:r w:rsidR="00DC5C66">
        <w:rPr>
          <w:rFonts w:cstheme="minorHAnsi"/>
        </w:rPr>
        <w:t xml:space="preserve">, and volatility that have significant relationship with warrant misprice, while stock return indicates un-significant relationship on the misprice. </w:t>
      </w:r>
      <w:r w:rsidR="00CC497F">
        <w:rPr>
          <w:rFonts w:cstheme="minorHAnsi"/>
        </w:rPr>
        <w:t>A</w:t>
      </w:r>
      <w:r w:rsidR="00CC497F" w:rsidRPr="00023433">
        <w:rPr>
          <w:rFonts w:cstheme="minorHAnsi"/>
        </w:rPr>
        <w:t xml:space="preserve">ccording </w:t>
      </w:r>
      <w:r w:rsidR="00DC5C66" w:rsidRPr="00023433">
        <w:rPr>
          <w:rFonts w:cstheme="minorHAnsi"/>
        </w:rPr>
        <w:t xml:space="preserve">to the fixed-effect (FEM) estimation, the intercept value is negative, which basically means that if the value of stock return, maturity, </w:t>
      </w:r>
      <w:proofErr w:type="spellStart"/>
      <w:r w:rsidR="00DC5C66" w:rsidRPr="00023433">
        <w:rPr>
          <w:rFonts w:cstheme="minorHAnsi"/>
        </w:rPr>
        <w:t>moneyness</w:t>
      </w:r>
      <w:proofErr w:type="spellEnd"/>
      <w:r w:rsidR="00DC5C66" w:rsidRPr="00023433">
        <w:rPr>
          <w:rFonts w:cstheme="minorHAnsi"/>
        </w:rPr>
        <w:t xml:space="preserve">, and volatility were zero, then the average warrant mispricing would be negative. </w:t>
      </w:r>
      <w:r w:rsidR="00DA2B55">
        <w:rPr>
          <w:rFonts w:cstheme="minorHAnsi"/>
        </w:rPr>
        <w:t>In the light of maturity</w:t>
      </w:r>
      <w:r w:rsidR="00DC5C66" w:rsidRPr="00023433">
        <w:rPr>
          <w:rFonts w:cstheme="minorHAnsi"/>
        </w:rPr>
        <w:t xml:space="preserve">, the longer maturity gives a positive impact on the warrant mispricing </w:t>
      </w:r>
      <w:r w:rsidR="003B5D54">
        <w:rPr>
          <w:rFonts w:cstheme="minorHAnsi"/>
        </w:rPr>
        <w:t xml:space="preserve">to </w:t>
      </w:r>
      <w:r w:rsidR="00F32075">
        <w:rPr>
          <w:rFonts w:cstheme="minorHAnsi"/>
        </w:rPr>
        <w:t>increase</w:t>
      </w:r>
      <w:r w:rsidR="00DC5C66" w:rsidRPr="00023433">
        <w:rPr>
          <w:rFonts w:cstheme="minorHAnsi"/>
        </w:rPr>
        <w:t xml:space="preserve"> by 1.2446%. </w:t>
      </w:r>
      <w:r w:rsidR="009C5FD4">
        <w:rPr>
          <w:rFonts w:cstheme="minorHAnsi"/>
        </w:rPr>
        <w:t>Lim and Terry (2002) argued that t</w:t>
      </w:r>
      <w:r w:rsidR="003B5D54">
        <w:rPr>
          <w:rFonts w:cstheme="minorHAnsi"/>
        </w:rPr>
        <w:t>he mispricing of the BSOPM appears to increase as the time to expiration increases.</w:t>
      </w:r>
      <w:r w:rsidR="009C5FD4">
        <w:rPr>
          <w:rFonts w:cstheme="minorHAnsi"/>
        </w:rPr>
        <w:t xml:space="preserve"> </w:t>
      </w:r>
      <w:r w:rsidR="00CC497F">
        <w:rPr>
          <w:rFonts w:cstheme="minorHAnsi"/>
        </w:rPr>
        <w:t>Moreover</w:t>
      </w:r>
      <w:r w:rsidR="00DC5C66" w:rsidRPr="00023433">
        <w:rPr>
          <w:rFonts w:cstheme="minorHAnsi"/>
        </w:rPr>
        <w:t xml:space="preserve">, the negative sign parameter for </w:t>
      </w:r>
      <w:proofErr w:type="spellStart"/>
      <w:r w:rsidR="00DC5C66" w:rsidRPr="00023433">
        <w:rPr>
          <w:rFonts w:cstheme="minorHAnsi"/>
        </w:rPr>
        <w:t>moneyness</w:t>
      </w:r>
      <w:proofErr w:type="spellEnd"/>
      <w:r w:rsidR="00DC5C66" w:rsidRPr="00023433">
        <w:rPr>
          <w:rFonts w:cstheme="minorHAnsi"/>
        </w:rPr>
        <w:t xml:space="preserve"> indicates that the more discount on the warrant, the mispricing will be slump by 53.94%. </w:t>
      </w:r>
      <w:r w:rsidR="00DA2B55">
        <w:rPr>
          <w:rFonts w:cstheme="minorHAnsi"/>
        </w:rPr>
        <w:t xml:space="preserve">There is an inverse relationship between </w:t>
      </w:r>
      <w:proofErr w:type="spellStart"/>
      <w:r w:rsidR="00DA2B55">
        <w:rPr>
          <w:rFonts w:cstheme="minorHAnsi"/>
        </w:rPr>
        <w:t>moneyness</w:t>
      </w:r>
      <w:proofErr w:type="spellEnd"/>
      <w:r w:rsidR="00DA2B55">
        <w:rPr>
          <w:rFonts w:cstheme="minorHAnsi"/>
        </w:rPr>
        <w:t xml:space="preserve"> and mispricing of warrant. Lim and Terry (2002) found that the mispricing for the BSOPM model tends to decrease when the </w:t>
      </w:r>
      <w:proofErr w:type="spellStart"/>
      <w:r w:rsidR="00DA2B55">
        <w:rPr>
          <w:rFonts w:cstheme="minorHAnsi"/>
        </w:rPr>
        <w:t>moneyness</w:t>
      </w:r>
      <w:proofErr w:type="spellEnd"/>
      <w:r w:rsidR="00DA2B55">
        <w:rPr>
          <w:rFonts w:cstheme="minorHAnsi"/>
        </w:rPr>
        <w:t xml:space="preserve"> of the warrants increased, or put in another way, the pricing error for the BSOPM tends to increase as the </w:t>
      </w:r>
      <w:proofErr w:type="spellStart"/>
      <w:r w:rsidR="00DA2B55">
        <w:rPr>
          <w:rFonts w:cstheme="minorHAnsi"/>
        </w:rPr>
        <w:t>moneyness</w:t>
      </w:r>
      <w:proofErr w:type="spellEnd"/>
      <w:r w:rsidR="00DA2B55">
        <w:rPr>
          <w:rFonts w:cstheme="minorHAnsi"/>
        </w:rPr>
        <w:t xml:space="preserve"> of the warrants decreased. </w:t>
      </w:r>
      <w:proofErr w:type="spellStart"/>
      <w:r w:rsidR="00197344" w:rsidRPr="00023433">
        <w:rPr>
          <w:rFonts w:cstheme="minorHAnsi"/>
        </w:rPr>
        <w:t>Sukhor</w:t>
      </w:r>
      <w:proofErr w:type="spellEnd"/>
      <w:r w:rsidR="00197344" w:rsidRPr="00023433">
        <w:rPr>
          <w:rFonts w:cstheme="minorHAnsi"/>
        </w:rPr>
        <w:t xml:space="preserve"> and </w:t>
      </w:r>
      <w:proofErr w:type="spellStart"/>
      <w:r w:rsidR="00197344" w:rsidRPr="00023433">
        <w:rPr>
          <w:rFonts w:cstheme="minorHAnsi"/>
        </w:rPr>
        <w:t>Bacha</w:t>
      </w:r>
      <w:proofErr w:type="spellEnd"/>
      <w:r w:rsidR="00197344" w:rsidRPr="00023433">
        <w:rPr>
          <w:rFonts w:cstheme="minorHAnsi"/>
        </w:rPr>
        <w:t xml:space="preserve"> (2010) stated that the greater discount of warrant</w:t>
      </w:r>
      <w:r w:rsidR="00197344">
        <w:rPr>
          <w:rFonts w:cstheme="minorHAnsi"/>
        </w:rPr>
        <w:t>,</w:t>
      </w:r>
      <w:r w:rsidR="00197344" w:rsidRPr="00023433">
        <w:rPr>
          <w:rFonts w:cstheme="minorHAnsi"/>
        </w:rPr>
        <w:t xml:space="preserve"> the lower the mispricing</w:t>
      </w:r>
      <w:r w:rsidR="00197344">
        <w:rPr>
          <w:rFonts w:cstheme="minorHAnsi"/>
        </w:rPr>
        <w:t xml:space="preserve"> will be</w:t>
      </w:r>
      <w:r w:rsidR="00197344" w:rsidRPr="00023433">
        <w:rPr>
          <w:rFonts w:cstheme="minorHAnsi"/>
        </w:rPr>
        <w:t>.</w:t>
      </w:r>
    </w:p>
    <w:p w:rsidR="00E15743" w:rsidRDefault="00E15743" w:rsidP="00DC5C66">
      <w:pPr>
        <w:spacing w:after="0"/>
        <w:jc w:val="both"/>
        <w:rPr>
          <w:rFonts w:cstheme="minorHAnsi"/>
        </w:rPr>
      </w:pPr>
    </w:p>
    <w:p w:rsidR="00DC5C66" w:rsidRDefault="00DC5C66" w:rsidP="00DC5C66">
      <w:pPr>
        <w:spacing w:after="0"/>
        <w:jc w:val="both"/>
        <w:rPr>
          <w:rFonts w:cstheme="minorHAnsi"/>
        </w:rPr>
      </w:pPr>
      <w:r>
        <w:rPr>
          <w:rFonts w:cstheme="minorHAnsi"/>
        </w:rPr>
        <w:t xml:space="preserve">Furthermore, volatility has a positive sign with mispricing, indicates that when the volatility is high, the value of warrant mispricing will be also high. </w:t>
      </w:r>
      <w:r w:rsidR="00197344">
        <w:rPr>
          <w:rFonts w:cstheme="minorHAnsi"/>
        </w:rPr>
        <w:t xml:space="preserve">The </w:t>
      </w:r>
      <w:r w:rsidR="00E15743">
        <w:rPr>
          <w:rFonts w:cstheme="minorHAnsi"/>
        </w:rPr>
        <w:t xml:space="preserve">BSOPM assumed that the volatility of the underlying security was constant over the life of derivative, and do not influenced by the changes in the price level of the underlying security. However, there is a critique on this particular assumption. To some extent, the constant volatility for the underlying stocks as the assumption under BSOPM causes the largest empirical biases in the pricing of options (Huang and Chen, 2002). In turn, by assuming the volatility of the underlying stocks is a stochastic volatility, the model of derivatives become more accurate. </w:t>
      </w:r>
    </w:p>
    <w:p w:rsidR="00DC5C66" w:rsidRDefault="00DC5C66" w:rsidP="00DC5C66">
      <w:pPr>
        <w:spacing w:after="0"/>
        <w:jc w:val="both"/>
        <w:rPr>
          <w:rFonts w:cstheme="minorHAnsi"/>
        </w:rPr>
      </w:pPr>
    </w:p>
    <w:p w:rsidR="00DC5C66" w:rsidRDefault="00B03AF5" w:rsidP="00DC5C66">
      <w:pPr>
        <w:spacing w:after="0"/>
        <w:jc w:val="both"/>
      </w:pPr>
      <w:r>
        <w:t xml:space="preserve">Subsequently, the appealing finding in our study is that </w:t>
      </w:r>
      <w:r w:rsidR="001F4EF0">
        <w:t>the stock return does not indicate</w:t>
      </w:r>
      <w:r w:rsidR="00FC7967">
        <w:t xml:space="preserve"> any</w:t>
      </w:r>
      <w:r w:rsidR="001F4EF0">
        <w:t xml:space="preserve"> significant impact on the warrant</w:t>
      </w:r>
      <w:r w:rsidR="00FC7967">
        <w:t xml:space="preserve"> </w:t>
      </w:r>
      <w:r w:rsidR="001F4EF0">
        <w:t xml:space="preserve">mispricing. </w:t>
      </w:r>
      <w:r w:rsidR="00FC7967">
        <w:t xml:space="preserve">Perhaps, there is a positive auto-correlation among individual stock returns, which is consistent with slow adjustment to the firm specific </w:t>
      </w:r>
      <w:r w:rsidR="00F11A75">
        <w:t>news (</w:t>
      </w:r>
      <w:proofErr w:type="spellStart"/>
      <w:r w:rsidR="00F11A75">
        <w:t>Jegadeesh</w:t>
      </w:r>
      <w:proofErr w:type="spellEnd"/>
      <w:r w:rsidR="00F11A75">
        <w:t xml:space="preserve"> and Titman, 1993</w:t>
      </w:r>
      <w:r w:rsidR="00FC7967">
        <w:t xml:space="preserve">); further make the mispricing does not existed. The opportunity for investors to get more benefits shrinks since the slow adjustment of firm-specific news. Moreover, </w:t>
      </w:r>
      <w:proofErr w:type="spellStart"/>
      <w:r w:rsidR="00FC7967">
        <w:t>Asparouhova</w:t>
      </w:r>
      <w:proofErr w:type="spellEnd"/>
      <w:r w:rsidR="00FC7967">
        <w:t xml:space="preserve">, </w:t>
      </w:r>
      <w:proofErr w:type="spellStart"/>
      <w:r w:rsidR="00FC7967">
        <w:t>Bessembinder</w:t>
      </w:r>
      <w:proofErr w:type="spellEnd"/>
      <w:r w:rsidR="00FC7967">
        <w:t xml:space="preserve">, and </w:t>
      </w:r>
      <w:proofErr w:type="spellStart"/>
      <w:r w:rsidR="00FC7967">
        <w:t>Kalcheva</w:t>
      </w:r>
      <w:proofErr w:type="spellEnd"/>
      <w:r w:rsidR="00FC7967">
        <w:t xml:space="preserve"> (2009) argued that the return bias induced by the bid-ask spread cause the pricing errors. </w:t>
      </w:r>
    </w:p>
    <w:p w:rsidR="00DC5C66" w:rsidRDefault="00DC5C66" w:rsidP="00DC5C66">
      <w:pPr>
        <w:spacing w:after="0"/>
        <w:jc w:val="both"/>
      </w:pPr>
    </w:p>
    <w:p w:rsidR="001805CA" w:rsidRDefault="001805CA" w:rsidP="00DC5C66">
      <w:pPr>
        <w:spacing w:after="0"/>
        <w:jc w:val="both"/>
      </w:pPr>
    </w:p>
    <w:p w:rsidR="001805CA" w:rsidRDefault="001805CA" w:rsidP="00DC5C66">
      <w:pPr>
        <w:spacing w:after="0"/>
        <w:jc w:val="both"/>
      </w:pPr>
    </w:p>
    <w:p w:rsidR="00A30CF0" w:rsidRDefault="00A30CF0" w:rsidP="00DC5C66">
      <w:pPr>
        <w:spacing w:after="0"/>
        <w:jc w:val="both"/>
      </w:pPr>
    </w:p>
    <w:p w:rsidR="002226FC" w:rsidRDefault="00AE4785" w:rsidP="00DC5C66">
      <w:pPr>
        <w:pStyle w:val="ListParagraph"/>
        <w:numPr>
          <w:ilvl w:val="0"/>
          <w:numId w:val="3"/>
        </w:numPr>
        <w:spacing w:after="0"/>
        <w:jc w:val="center"/>
        <w:rPr>
          <w:b/>
        </w:rPr>
      </w:pPr>
      <w:r w:rsidRPr="00DC5C66">
        <w:rPr>
          <w:b/>
        </w:rPr>
        <w:t>CONCLUSION</w:t>
      </w:r>
    </w:p>
    <w:p w:rsidR="00217294" w:rsidRDefault="00217294" w:rsidP="00217294">
      <w:pPr>
        <w:pStyle w:val="ListParagraph"/>
        <w:spacing w:after="0"/>
        <w:rPr>
          <w:b/>
        </w:rPr>
      </w:pPr>
    </w:p>
    <w:p w:rsidR="00217294" w:rsidRDefault="00217294" w:rsidP="00217294">
      <w:pPr>
        <w:spacing w:after="0"/>
        <w:jc w:val="both"/>
      </w:pPr>
      <w:r>
        <w:rPr>
          <w:rFonts w:cstheme="minorHAnsi"/>
        </w:rPr>
        <w:t xml:space="preserve">At present, warrants become a </w:t>
      </w:r>
      <w:proofErr w:type="spellStart"/>
      <w:r>
        <w:rPr>
          <w:rFonts w:cstheme="minorHAnsi"/>
        </w:rPr>
        <w:t>well known</w:t>
      </w:r>
      <w:proofErr w:type="spellEnd"/>
      <w:r>
        <w:rPr>
          <w:rFonts w:cstheme="minorHAnsi"/>
        </w:rPr>
        <w:t xml:space="preserve"> alternative investment and highly demanded by the market, particularly in Asia-Pacific region, including Malaysia. </w:t>
      </w:r>
      <w:r w:rsidR="001E736F">
        <w:t xml:space="preserve">The warrant listed in Bursa Malaysia </w:t>
      </w:r>
      <w:r w:rsidR="001E736F">
        <w:lastRenderedPageBreak/>
        <w:t xml:space="preserve">give a significant impact on the performance of Bursa Malaysia itself. </w:t>
      </w:r>
      <w:r w:rsidR="00AF6E39">
        <w:t xml:space="preserve">Moreover, many researchers and investors </w:t>
      </w:r>
      <w:r w:rsidR="00BE345F">
        <w:t>rely</w:t>
      </w:r>
      <w:r w:rsidR="00AF6E39">
        <w:t xml:space="preserve"> on </w:t>
      </w:r>
      <w:r w:rsidR="00BE345F">
        <w:t>Black-Scholes model</w:t>
      </w:r>
      <w:r w:rsidR="00CC497F">
        <w:t xml:space="preserve"> (BSOPM)</w:t>
      </w:r>
      <w:r w:rsidR="00AF6E39">
        <w:t xml:space="preserve"> to find the theoretical price of warrants. </w:t>
      </w:r>
    </w:p>
    <w:p w:rsidR="00197344" w:rsidRDefault="00197344" w:rsidP="00217294">
      <w:pPr>
        <w:spacing w:after="0"/>
        <w:jc w:val="both"/>
      </w:pPr>
    </w:p>
    <w:p w:rsidR="00197344" w:rsidRDefault="00F06FAD" w:rsidP="00217294">
      <w:pPr>
        <w:spacing w:after="0"/>
        <w:jc w:val="both"/>
      </w:pPr>
      <w:r>
        <w:rPr>
          <w:rFonts w:cstheme="minorHAnsi"/>
          <w:szCs w:val="20"/>
        </w:rPr>
        <w:t xml:space="preserve">Based on </w:t>
      </w:r>
      <w:r w:rsidR="00CC497F">
        <w:rPr>
          <w:rFonts w:cstheme="minorHAnsi"/>
          <w:szCs w:val="20"/>
        </w:rPr>
        <w:t>models comparison</w:t>
      </w:r>
      <w:r>
        <w:rPr>
          <w:rFonts w:cstheme="minorHAnsi"/>
          <w:szCs w:val="20"/>
        </w:rPr>
        <w:t xml:space="preserve">, the study revealed that the fixed-effect (FEM) is the best model for warrant mispricing and its determinants. </w:t>
      </w:r>
      <w:r>
        <w:rPr>
          <w:rFonts w:cstheme="minorHAnsi"/>
        </w:rPr>
        <w:t xml:space="preserve"> </w:t>
      </w:r>
      <w:r w:rsidR="00197344">
        <w:rPr>
          <w:rFonts w:cstheme="minorHAnsi"/>
        </w:rPr>
        <w:t xml:space="preserve">We </w:t>
      </w:r>
      <w:r>
        <w:rPr>
          <w:rFonts w:cstheme="minorHAnsi"/>
        </w:rPr>
        <w:t xml:space="preserve">further </w:t>
      </w:r>
      <w:r w:rsidR="00197344">
        <w:rPr>
          <w:rFonts w:cstheme="minorHAnsi"/>
        </w:rPr>
        <w:t xml:space="preserve">found that maturity, </w:t>
      </w:r>
      <w:proofErr w:type="spellStart"/>
      <w:r w:rsidR="00197344">
        <w:rPr>
          <w:rFonts w:cstheme="minorHAnsi"/>
        </w:rPr>
        <w:t>moneyness</w:t>
      </w:r>
      <w:proofErr w:type="spellEnd"/>
      <w:r w:rsidR="00197344">
        <w:rPr>
          <w:rFonts w:cstheme="minorHAnsi"/>
        </w:rPr>
        <w:t>, and volatility have significant relationship with</w:t>
      </w:r>
      <w:r w:rsidR="00DE43CE">
        <w:rPr>
          <w:rFonts w:cstheme="minorHAnsi"/>
        </w:rPr>
        <w:t xml:space="preserve"> the</w:t>
      </w:r>
      <w:r w:rsidR="00197344">
        <w:rPr>
          <w:rFonts w:cstheme="minorHAnsi"/>
        </w:rPr>
        <w:t xml:space="preserve"> warrant misprice, while stock return indicates un-significant relationship on the misprice. </w:t>
      </w:r>
      <w:r w:rsidR="00197344" w:rsidRPr="00023433">
        <w:rPr>
          <w:rFonts w:cstheme="minorHAnsi"/>
        </w:rPr>
        <w:t xml:space="preserve">The longer maturity gives a positive impact on the warrant mispricing </w:t>
      </w:r>
      <w:r w:rsidR="00197344">
        <w:rPr>
          <w:rFonts w:cstheme="minorHAnsi"/>
        </w:rPr>
        <w:t>to increase</w:t>
      </w:r>
      <w:r w:rsidR="00197344" w:rsidRPr="00023433">
        <w:rPr>
          <w:rFonts w:cstheme="minorHAnsi"/>
        </w:rPr>
        <w:t xml:space="preserve">. </w:t>
      </w:r>
      <w:r w:rsidR="00197344">
        <w:rPr>
          <w:rFonts w:cstheme="minorHAnsi"/>
        </w:rPr>
        <w:t xml:space="preserve">Moreover, the mispricing of the BSOPM appears to increase as the time to expiration increase. Subsequently, there is an inverse relationship between </w:t>
      </w:r>
      <w:proofErr w:type="spellStart"/>
      <w:r w:rsidR="00197344">
        <w:rPr>
          <w:rFonts w:cstheme="minorHAnsi"/>
        </w:rPr>
        <w:t>moneyness</w:t>
      </w:r>
      <w:proofErr w:type="spellEnd"/>
      <w:r w:rsidR="00197344">
        <w:rPr>
          <w:rFonts w:cstheme="minorHAnsi"/>
        </w:rPr>
        <w:t xml:space="preserve"> and mispricing of warrant. The mispricing for the BSOPM model tends to decrease when the </w:t>
      </w:r>
      <w:proofErr w:type="spellStart"/>
      <w:r w:rsidR="00197344">
        <w:rPr>
          <w:rFonts w:cstheme="minorHAnsi"/>
        </w:rPr>
        <w:t>moneyness</w:t>
      </w:r>
      <w:proofErr w:type="spellEnd"/>
      <w:r w:rsidR="00197344">
        <w:rPr>
          <w:rFonts w:cstheme="minorHAnsi"/>
        </w:rPr>
        <w:t xml:space="preserve"> of the warrants increased, as otherwise. Furthermore, volatility has a positive sign with mispricing, indicates that when the volatility is high, the value of warrant mispricing will be also high. The BSOPM assumed that the volatility of the underlying security was constant over the life of derivative. </w:t>
      </w:r>
      <w:r w:rsidR="004A3017">
        <w:rPr>
          <w:rFonts w:cstheme="minorHAnsi"/>
        </w:rPr>
        <w:t xml:space="preserve">On the other hand, </w:t>
      </w:r>
      <w:r w:rsidR="00197344">
        <w:t xml:space="preserve">stock return does not indicate any significant impact on the warrant </w:t>
      </w:r>
      <w:r w:rsidR="004A3017">
        <w:t>misprice</w:t>
      </w:r>
      <w:r w:rsidR="00197344">
        <w:t xml:space="preserve">. </w:t>
      </w:r>
      <w:r w:rsidR="004A3017">
        <w:t xml:space="preserve">A </w:t>
      </w:r>
      <w:r w:rsidR="00197344">
        <w:t xml:space="preserve">positive auto-correlation among individual stock returns, which is consistent with slow adjustment to the firm specific news; further make the mispricing does not </w:t>
      </w:r>
      <w:r w:rsidR="004A3017">
        <w:t>occurred.</w:t>
      </w:r>
    </w:p>
    <w:p w:rsidR="00AF6E39" w:rsidRDefault="00AF6E39" w:rsidP="00217294">
      <w:pPr>
        <w:spacing w:after="0"/>
        <w:jc w:val="both"/>
      </w:pPr>
    </w:p>
    <w:p w:rsidR="00BE345F" w:rsidRDefault="00AF6E39" w:rsidP="00BE345F">
      <w:pPr>
        <w:spacing w:after="0"/>
        <w:jc w:val="both"/>
      </w:pPr>
      <w:r>
        <w:t>Finally,</w:t>
      </w:r>
      <w:r w:rsidR="00BE345F">
        <w:t xml:space="preserve"> in this study, the BSOPM is consistently mispricing the warrant either in-the-money (ITM) or out-the money (OTM) warrants. The market is un-efficient on the warrants traded </w:t>
      </w:r>
      <w:r w:rsidR="00C14A2A">
        <w:t>for</w:t>
      </w:r>
      <w:r w:rsidR="00BE345F">
        <w:t xml:space="preserve"> four companies observed. Evidence of BSOPM model in this study means that most of warrants are underpriced; the actual price of warrants is lower than their theoretical price. In this regards, the investors can take some profits since the probability of actual value of warrant to drop is very low, particularly on the four</w:t>
      </w:r>
      <w:r w:rsidR="00C14A2A">
        <w:t xml:space="preserve"> selected</w:t>
      </w:r>
      <w:r w:rsidR="00BE345F">
        <w:t xml:space="preserve"> companies. </w:t>
      </w:r>
    </w:p>
    <w:p w:rsidR="00AF6E39" w:rsidRDefault="00AF6E39" w:rsidP="00217294">
      <w:pPr>
        <w:spacing w:after="0"/>
        <w:jc w:val="both"/>
        <w:rPr>
          <w:rFonts w:cstheme="minorHAnsi"/>
        </w:rPr>
      </w:pPr>
    </w:p>
    <w:p w:rsidR="00217294" w:rsidRPr="00217294" w:rsidRDefault="00217294" w:rsidP="00217294">
      <w:pPr>
        <w:spacing w:after="0"/>
        <w:jc w:val="both"/>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F06FAD">
      <w:pPr>
        <w:spacing w:after="0"/>
        <w:jc w:val="center"/>
        <w:rPr>
          <w:b/>
        </w:rPr>
      </w:pPr>
    </w:p>
    <w:p w:rsidR="00F06FAD" w:rsidRDefault="00F06FAD" w:rsidP="00AF6E39">
      <w:pPr>
        <w:spacing w:after="0"/>
        <w:rPr>
          <w:b/>
        </w:rPr>
      </w:pPr>
    </w:p>
    <w:p w:rsidR="00A80C12" w:rsidRDefault="00A80C12" w:rsidP="00AF6E39">
      <w:pPr>
        <w:spacing w:after="0"/>
        <w:rPr>
          <w:b/>
        </w:rPr>
      </w:pPr>
    </w:p>
    <w:p w:rsidR="00501EFC" w:rsidRDefault="00501EFC" w:rsidP="00AF6E39">
      <w:pPr>
        <w:spacing w:after="0"/>
        <w:rPr>
          <w:b/>
        </w:rPr>
      </w:pPr>
    </w:p>
    <w:p w:rsidR="00501EFC" w:rsidRDefault="00501EFC" w:rsidP="00AF6E39">
      <w:pPr>
        <w:spacing w:after="0"/>
        <w:rPr>
          <w:b/>
        </w:rPr>
      </w:pPr>
    </w:p>
    <w:p w:rsidR="00501EFC" w:rsidRDefault="00501EFC" w:rsidP="00AF6E39">
      <w:pPr>
        <w:spacing w:after="0"/>
        <w:rPr>
          <w:b/>
        </w:rPr>
      </w:pPr>
    </w:p>
    <w:p w:rsidR="00501EFC" w:rsidRDefault="00501EFC" w:rsidP="00AF6E39">
      <w:pPr>
        <w:spacing w:after="0"/>
        <w:rPr>
          <w:b/>
        </w:rPr>
      </w:pPr>
    </w:p>
    <w:p w:rsidR="00501EFC" w:rsidRDefault="00501EFC" w:rsidP="00AF6E39">
      <w:pPr>
        <w:spacing w:after="0"/>
        <w:rPr>
          <w:b/>
        </w:rPr>
      </w:pPr>
    </w:p>
    <w:p w:rsidR="00AF6E39" w:rsidRDefault="00AF6E39" w:rsidP="00AF6E39">
      <w:pPr>
        <w:spacing w:after="0"/>
        <w:rPr>
          <w:b/>
        </w:rPr>
      </w:pPr>
    </w:p>
    <w:p w:rsidR="0018729C" w:rsidRPr="00C21DC4" w:rsidRDefault="00AE4785" w:rsidP="0018729C">
      <w:pPr>
        <w:pStyle w:val="NormalWeb"/>
        <w:spacing w:before="0" w:beforeAutospacing="0" w:after="0" w:afterAutospacing="0"/>
        <w:jc w:val="center"/>
        <w:rPr>
          <w:rFonts w:asciiTheme="minorHAnsi" w:hAnsiTheme="minorHAnsi" w:cstheme="minorHAnsi"/>
          <w:b/>
          <w:sz w:val="22"/>
          <w:szCs w:val="22"/>
        </w:rPr>
      </w:pPr>
      <w:r w:rsidRPr="00C21DC4">
        <w:rPr>
          <w:rFonts w:asciiTheme="minorHAnsi" w:hAnsiTheme="minorHAnsi" w:cstheme="minorHAnsi"/>
          <w:b/>
          <w:sz w:val="22"/>
          <w:szCs w:val="22"/>
        </w:rPr>
        <w:t>REFERENCES</w:t>
      </w:r>
    </w:p>
    <w:p w:rsidR="00ED7082" w:rsidRDefault="00ED7082" w:rsidP="0018729C">
      <w:pPr>
        <w:pStyle w:val="NormalWeb"/>
        <w:spacing w:before="0" w:beforeAutospacing="0" w:after="0" w:afterAutospacing="0"/>
        <w:jc w:val="center"/>
        <w:rPr>
          <w:b/>
        </w:rPr>
      </w:pPr>
    </w:p>
    <w:sdt>
      <w:sdtPr>
        <w:rPr>
          <w:rFonts w:asciiTheme="minorHAnsi" w:eastAsiaTheme="minorHAnsi" w:hAnsiTheme="minorHAnsi" w:cstheme="minorBidi"/>
          <w:sz w:val="22"/>
          <w:szCs w:val="22"/>
          <w:lang w:val="en-US" w:eastAsia="en-US"/>
        </w:rPr>
        <w:id w:val="4765879"/>
        <w:docPartObj>
          <w:docPartGallery w:val="Bibliographies"/>
          <w:docPartUnique/>
        </w:docPartObj>
      </w:sdtPr>
      <w:sdtEndPr>
        <w:rPr>
          <w:rFonts w:eastAsiaTheme="minorEastAsia"/>
          <w:lang w:val="id-ID" w:eastAsia="id-ID"/>
        </w:rPr>
      </w:sdtEndPr>
      <w:sdtContent>
        <w:sdt>
          <w:sdtPr>
            <w:rPr>
              <w:rFonts w:asciiTheme="minorHAnsi" w:eastAsiaTheme="minorHAnsi" w:hAnsiTheme="minorHAnsi" w:cstheme="minorBidi"/>
              <w:sz w:val="22"/>
              <w:szCs w:val="22"/>
              <w:lang w:val="en-US" w:eastAsia="en-US"/>
            </w:rPr>
            <w:id w:val="4765878"/>
            <w:bibliography/>
          </w:sdtPr>
          <w:sdtEndPr>
            <w:rPr>
              <w:rFonts w:eastAsiaTheme="minorEastAsia"/>
              <w:lang w:val="id-ID" w:eastAsia="id-ID"/>
            </w:rPr>
          </w:sdtEndPr>
          <w:sdtContent>
            <w:p w:rsidR="0018729C" w:rsidRPr="00ED7082" w:rsidRDefault="000620EC" w:rsidP="00ED7082">
              <w:pPr>
                <w:pStyle w:val="NormalWeb"/>
                <w:ind w:left="709" w:hanging="709"/>
                <w:jc w:val="both"/>
                <w:rPr>
                  <w:rFonts w:asciiTheme="minorHAnsi" w:hAnsiTheme="minorHAnsi" w:cstheme="minorHAnsi"/>
                  <w:noProof/>
                  <w:sz w:val="22"/>
                  <w:szCs w:val="22"/>
                  <w:lang w:val="en-US"/>
                </w:rPr>
              </w:pPr>
              <w:r w:rsidRPr="00ED7082">
                <w:rPr>
                  <w:rFonts w:asciiTheme="minorHAnsi" w:hAnsiTheme="minorHAnsi" w:cstheme="minorHAnsi"/>
                  <w:sz w:val="22"/>
                  <w:szCs w:val="22"/>
                </w:rPr>
                <w:fldChar w:fldCharType="begin"/>
              </w:r>
              <w:r w:rsidR="0018729C" w:rsidRPr="00C21DC4">
                <w:rPr>
                  <w:rFonts w:asciiTheme="minorHAnsi" w:hAnsiTheme="minorHAnsi" w:cstheme="minorHAnsi"/>
                  <w:sz w:val="22"/>
                  <w:szCs w:val="22"/>
                </w:rPr>
                <w:instrText xml:space="preserve"> BIBLIOGRAPHY </w:instrText>
              </w:r>
              <w:r w:rsidRPr="00ED7082">
                <w:rPr>
                  <w:rFonts w:asciiTheme="minorHAnsi" w:hAnsiTheme="minorHAnsi" w:cstheme="minorHAnsi"/>
                  <w:sz w:val="22"/>
                  <w:szCs w:val="22"/>
                </w:rPr>
                <w:fldChar w:fldCharType="separate"/>
              </w:r>
              <w:r w:rsidR="0018729C" w:rsidRPr="00ED7082">
                <w:rPr>
                  <w:rFonts w:asciiTheme="minorHAnsi" w:hAnsiTheme="minorHAnsi" w:cstheme="minorHAnsi"/>
                  <w:noProof/>
                  <w:sz w:val="22"/>
                  <w:szCs w:val="22"/>
                  <w:lang w:val="en-US"/>
                </w:rPr>
                <w:t xml:space="preserve">Asparouhova, E., Bessembinder, &amp; Kalcheva. (2009). Liquidity Biases in Asset Pricing Tests. </w:t>
              </w:r>
              <w:r w:rsidR="0018729C" w:rsidRPr="00ED7082">
                <w:rPr>
                  <w:rFonts w:asciiTheme="minorHAnsi" w:hAnsiTheme="minorHAnsi" w:cstheme="minorHAnsi"/>
                  <w:i/>
                  <w:iCs/>
                  <w:noProof/>
                  <w:sz w:val="22"/>
                  <w:szCs w:val="22"/>
                  <w:lang w:val="en-US"/>
                </w:rPr>
                <w:t>Journal of Financial Economics</w:t>
              </w:r>
              <w:r w:rsidR="0018729C" w:rsidRPr="00ED7082">
                <w:rPr>
                  <w:rFonts w:asciiTheme="minorHAnsi" w:hAnsiTheme="minorHAnsi" w:cstheme="minorHAnsi"/>
                  <w:noProof/>
                  <w:sz w:val="22"/>
                  <w:szCs w:val="22"/>
                  <w:lang w:val="en-US"/>
                </w:rPr>
                <w:t xml:space="preserve"> .</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Bacha, O. (2012). </w:t>
              </w:r>
              <w:r w:rsidRPr="00ED7082">
                <w:rPr>
                  <w:rFonts w:cstheme="minorHAnsi"/>
                  <w:i/>
                  <w:iCs/>
                  <w:noProof/>
                </w:rPr>
                <w:t>Financial Derivatives: Markets and Applications in Malaysia.</w:t>
              </w:r>
              <w:r w:rsidRPr="00ED7082">
                <w:rPr>
                  <w:rFonts w:cstheme="minorHAnsi"/>
                  <w:noProof/>
                </w:rPr>
                <w:t xml:space="preserve"> Kuala Lumpur: McGraw Hill Education.</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Duan, &amp; Yan. (1999). Semi-parametric pricing of Derivative Warrants. </w:t>
              </w:r>
              <w:r w:rsidRPr="00ED7082">
                <w:rPr>
                  <w:rFonts w:cstheme="minorHAnsi"/>
                  <w:i/>
                  <w:iCs/>
                  <w:noProof/>
                </w:rPr>
                <w:t>Working Paper, Hong Kong University Science and Technology</w:t>
              </w:r>
              <w:r w:rsidRPr="00ED7082">
                <w:rPr>
                  <w:rFonts w:cstheme="minorHAnsi"/>
                  <w:noProof/>
                </w:rPr>
                <w:t xml:space="preserve"> .</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Geske, Roll, &amp; Shastri. (1983). Over-the-counter Option Market Dividend Protection and Biases in the Black-Scholes Model: A Note. </w:t>
              </w:r>
              <w:r w:rsidRPr="00ED7082">
                <w:rPr>
                  <w:rFonts w:cstheme="minorHAnsi"/>
                  <w:i/>
                  <w:iCs/>
                  <w:noProof/>
                </w:rPr>
                <w:t>Journal of Finance, Vol.38</w:t>
              </w:r>
              <w:r w:rsidRPr="00ED7082">
                <w:rPr>
                  <w:rFonts w:cstheme="minorHAnsi"/>
                  <w:noProof/>
                </w:rPr>
                <w:t xml:space="preserve"> , 1271-1277.</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Huang, &amp; Chen. (2002). Warrant Pricing: Stochastic Volatility vs. Black-Scholes. </w:t>
              </w:r>
              <w:r w:rsidRPr="00ED7082">
                <w:rPr>
                  <w:rFonts w:cstheme="minorHAnsi"/>
                  <w:i/>
                  <w:iCs/>
                  <w:noProof/>
                </w:rPr>
                <w:t>Pacific-Basin Finance Journal</w:t>
              </w:r>
              <w:r w:rsidRPr="00ED7082">
                <w:rPr>
                  <w:rFonts w:cstheme="minorHAnsi"/>
                  <w:noProof/>
                </w:rPr>
                <w:t xml:space="preserve"> , 393-409.</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Jegadeesh, N., &amp; Titman, S. (1993). Returns to Buying Winners and Selling Losers: Implication for Stock Market Efficiency. </w:t>
              </w:r>
              <w:r w:rsidRPr="00ED7082">
                <w:rPr>
                  <w:rFonts w:cstheme="minorHAnsi"/>
                  <w:i/>
                  <w:iCs/>
                  <w:noProof/>
                </w:rPr>
                <w:t>Journal of Finance 48</w:t>
              </w:r>
              <w:r w:rsidRPr="00ED7082">
                <w:rPr>
                  <w:rFonts w:cstheme="minorHAnsi"/>
                  <w:noProof/>
                </w:rPr>
                <w:t xml:space="preserve"> , 65-91.</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Kyun. (2004). Empirical Study of Black-Scholes Warrant Pricing Model on the Stock Exchange of Malaysia. </w:t>
              </w:r>
              <w:r w:rsidR="009C32F7" w:rsidRPr="00ED7082">
                <w:rPr>
                  <w:rFonts w:cstheme="minorHAnsi"/>
                  <w:i/>
                  <w:iCs/>
                  <w:noProof/>
                </w:rPr>
                <w:t>Working Paper, Univeristi Sains Malaysia</w:t>
              </w:r>
              <w:r w:rsidRPr="00ED7082">
                <w:rPr>
                  <w:rFonts w:cstheme="minorHAnsi"/>
                  <w:noProof/>
                </w:rPr>
                <w:t xml:space="preserve"> .</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Lauterbach, B., &amp; Schultz, P. (1990). On Using the Black-Scholes model to value warrants. </w:t>
              </w:r>
              <w:r w:rsidRPr="00ED7082">
                <w:rPr>
                  <w:rFonts w:cstheme="minorHAnsi"/>
                  <w:i/>
                  <w:iCs/>
                  <w:noProof/>
                </w:rPr>
                <w:t>Journal of Finance, 45</w:t>
              </w:r>
              <w:r w:rsidRPr="00ED7082">
                <w:rPr>
                  <w:rFonts w:cstheme="minorHAnsi"/>
                  <w:noProof/>
                </w:rPr>
                <w:t xml:space="preserve"> , 1181-1209.</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Lim, &amp; Terry. (2002). The Valuation of Multiple Stocks Warrants. </w:t>
              </w:r>
              <w:r w:rsidRPr="00ED7082">
                <w:rPr>
                  <w:rFonts w:cstheme="minorHAnsi"/>
                  <w:i/>
                  <w:iCs/>
                  <w:noProof/>
                </w:rPr>
                <w:t>Working Paper, Singapore Management University</w:t>
              </w:r>
              <w:r w:rsidRPr="00ED7082">
                <w:rPr>
                  <w:rFonts w:cstheme="minorHAnsi"/>
                  <w:noProof/>
                </w:rPr>
                <w:t xml:space="preserve"> .</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Macbeth, &amp; Merville. (1980). Tests of the Black-Scholes and Cox Call Option Valuation Models. </w:t>
              </w:r>
              <w:r w:rsidRPr="00ED7082">
                <w:rPr>
                  <w:rFonts w:cstheme="minorHAnsi"/>
                  <w:i/>
                  <w:iCs/>
                  <w:noProof/>
                </w:rPr>
                <w:t>Journal of Finance, Vol.35</w:t>
              </w:r>
              <w:r w:rsidRPr="00ED7082">
                <w:rPr>
                  <w:rFonts w:cstheme="minorHAnsi"/>
                  <w:noProof/>
                </w:rPr>
                <w:t xml:space="preserve"> , 285-301.</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Qizam, Ardiansyah, &amp; Haron. (2013). Sharia Issue of Warrant Contract: Empirical Evidence of Warrant Mispricing in Malaysia. </w:t>
              </w:r>
              <w:r w:rsidRPr="00ED7082">
                <w:rPr>
                  <w:rFonts w:cstheme="minorHAnsi"/>
                  <w:i/>
                  <w:iCs/>
                  <w:noProof/>
                </w:rPr>
                <w:t>Global Review of Islamic Economics and Business, Vol.1, No.1</w:t>
              </w:r>
              <w:r w:rsidRPr="00ED7082">
                <w:rPr>
                  <w:rFonts w:cstheme="minorHAnsi"/>
                  <w:noProof/>
                </w:rPr>
                <w:t xml:space="preserve"> , 50-68.</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Rubinstein. (1987). Derivative Asset Analysis. </w:t>
              </w:r>
              <w:r w:rsidRPr="00ED7082">
                <w:rPr>
                  <w:rFonts w:cstheme="minorHAnsi"/>
                  <w:i/>
                  <w:iCs/>
                  <w:noProof/>
                </w:rPr>
                <w:t>The Journal of Economic Perspective,Vol.1,No.2</w:t>
              </w:r>
              <w:r w:rsidRPr="00ED7082">
                <w:rPr>
                  <w:rFonts w:cstheme="minorHAnsi"/>
                  <w:noProof/>
                </w:rPr>
                <w:t xml:space="preserve"> , 73-93.</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Santoso, L. (2000). Warrant Pricing: An Empirical Investigation on the Valuation Models for Warrants Traded at the Jakarta Stock Exchange. </w:t>
              </w:r>
              <w:r w:rsidRPr="00ED7082">
                <w:rPr>
                  <w:rFonts w:cstheme="minorHAnsi"/>
                  <w:i/>
                  <w:iCs/>
                  <w:noProof/>
                </w:rPr>
                <w:t>Working Paper, Universitas Gadjah Mada</w:t>
              </w:r>
              <w:r w:rsidRPr="00ED7082">
                <w:rPr>
                  <w:rFonts w:cstheme="minorHAnsi"/>
                  <w:noProof/>
                </w:rPr>
                <w:t xml:space="preserve"> .</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Shastri, &amp; Sirodom. (1995). An Empirical test of the BS and CSR valuation models for warrants listed in Thailand. </w:t>
              </w:r>
              <w:r w:rsidRPr="00ED7082">
                <w:rPr>
                  <w:rFonts w:cstheme="minorHAnsi"/>
                  <w:i/>
                  <w:iCs/>
                  <w:noProof/>
                </w:rPr>
                <w:t>Pacific-Basin Finance Journal</w:t>
              </w:r>
              <w:r w:rsidRPr="00ED7082">
                <w:rPr>
                  <w:rFonts w:cstheme="minorHAnsi"/>
                  <w:noProof/>
                </w:rPr>
                <w:t xml:space="preserve"> , 465-483.</w:t>
              </w:r>
            </w:p>
            <w:p w:rsidR="0018729C" w:rsidRPr="00ED7082" w:rsidRDefault="0018729C" w:rsidP="0018729C">
              <w:pPr>
                <w:pStyle w:val="Bibliography"/>
                <w:ind w:left="709" w:hanging="709"/>
                <w:jc w:val="both"/>
                <w:rPr>
                  <w:rFonts w:cstheme="minorHAnsi"/>
                  <w:noProof/>
                </w:rPr>
              </w:pPr>
              <w:r w:rsidRPr="00ED7082">
                <w:rPr>
                  <w:rFonts w:cstheme="minorHAnsi"/>
                  <w:noProof/>
                </w:rPr>
                <w:t xml:space="preserve">Yip, &amp; Hooy. (2012). Call Warrant Listing and Its Behavior of Its Underlying Spot Market: Some Evidence from Bursa Malaysia. </w:t>
              </w:r>
              <w:r w:rsidRPr="00ED7082">
                <w:rPr>
                  <w:rFonts w:cstheme="minorHAnsi"/>
                  <w:i/>
                  <w:iCs/>
                  <w:noProof/>
                </w:rPr>
                <w:t>Journal of Asia Pacific Business</w:t>
              </w:r>
              <w:r w:rsidRPr="00ED7082">
                <w:rPr>
                  <w:rFonts w:cstheme="minorHAnsi"/>
                  <w:noProof/>
                </w:rPr>
                <w:t xml:space="preserve"> , 287-298.</w:t>
              </w:r>
            </w:p>
            <w:p w:rsidR="00ED7082" w:rsidRDefault="000620EC" w:rsidP="00ED7082">
              <w:pPr>
                <w:ind w:left="709" w:hanging="709"/>
                <w:jc w:val="both"/>
              </w:pPr>
              <w:r w:rsidRPr="00ED7082">
                <w:rPr>
                  <w:rFonts w:cstheme="minorHAnsi"/>
                </w:rPr>
                <w:fldChar w:fldCharType="end"/>
              </w:r>
            </w:p>
            <w:p w:rsidR="002226FC" w:rsidRPr="00FA22F1" w:rsidRDefault="00A7745D" w:rsidP="00FA22F1">
              <w:pPr>
                <w:ind w:left="709" w:hanging="709"/>
                <w:jc w:val="both"/>
              </w:pPr>
            </w:p>
          </w:sdtContent>
        </w:sdt>
      </w:sdtContent>
    </w:sdt>
    <w:sectPr w:rsidR="002226FC" w:rsidRPr="00FA22F1" w:rsidSect="008D3F56">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45D" w:rsidRDefault="00A7745D" w:rsidP="00E5249F">
      <w:pPr>
        <w:spacing w:after="0" w:line="240" w:lineRule="auto"/>
      </w:pPr>
      <w:r>
        <w:separator/>
      </w:r>
    </w:p>
  </w:endnote>
  <w:endnote w:type="continuationSeparator" w:id="0">
    <w:p w:rsidR="00A7745D" w:rsidRDefault="00A7745D" w:rsidP="00E5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755"/>
      <w:docPartObj>
        <w:docPartGallery w:val="Page Numbers (Bottom of Page)"/>
        <w:docPartUnique/>
      </w:docPartObj>
    </w:sdtPr>
    <w:sdtEndPr/>
    <w:sdtContent>
      <w:p w:rsidR="00F25332" w:rsidRDefault="00A7745D">
        <w:pPr>
          <w:pStyle w:val="Footer"/>
          <w:jc w:val="center"/>
        </w:pPr>
        <w:r>
          <w:fldChar w:fldCharType="begin"/>
        </w:r>
        <w:r>
          <w:instrText xml:space="preserve"> PAGE   \* MERGEFORMAT </w:instrText>
        </w:r>
        <w:r>
          <w:fldChar w:fldCharType="separate"/>
        </w:r>
        <w:r w:rsidR="005E34F4">
          <w:rPr>
            <w:noProof/>
          </w:rPr>
          <w:t>13</w:t>
        </w:r>
        <w:r>
          <w:rPr>
            <w:noProof/>
          </w:rPr>
          <w:fldChar w:fldCharType="end"/>
        </w:r>
      </w:p>
    </w:sdtContent>
  </w:sdt>
  <w:p w:rsidR="00F25332" w:rsidRDefault="00F253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45D" w:rsidRDefault="00A7745D" w:rsidP="00E5249F">
      <w:pPr>
        <w:spacing w:after="0" w:line="240" w:lineRule="auto"/>
      </w:pPr>
      <w:r>
        <w:separator/>
      </w:r>
    </w:p>
  </w:footnote>
  <w:footnote w:type="continuationSeparator" w:id="0">
    <w:p w:rsidR="00A7745D" w:rsidRDefault="00A7745D" w:rsidP="00E52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B87E3B"/>
    <w:multiLevelType w:val="hybridMultilevel"/>
    <w:tmpl w:val="89D8B492"/>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
    <w:nsid w:val="4A863605"/>
    <w:multiLevelType w:val="hybridMultilevel"/>
    <w:tmpl w:val="C5AE28CC"/>
    <w:lvl w:ilvl="0" w:tplc="939C4A50">
      <w:start w:val="1"/>
      <w:numFmt w:val="decimal"/>
      <w:lvlText w:val="%1."/>
      <w:lvlJc w:val="left"/>
      <w:pPr>
        <w:ind w:left="720" w:hanging="360"/>
      </w:pPr>
      <w:rPr>
        <w:rFonts w:hint="default"/>
        <w:b/>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6FDD30C6"/>
    <w:multiLevelType w:val="hybridMultilevel"/>
    <w:tmpl w:val="AB2ADBFC"/>
    <w:lvl w:ilvl="0" w:tplc="043E0011">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0B7"/>
    <w:rsid w:val="00014D69"/>
    <w:rsid w:val="00023433"/>
    <w:rsid w:val="00026FFD"/>
    <w:rsid w:val="00041385"/>
    <w:rsid w:val="000620EC"/>
    <w:rsid w:val="00076B55"/>
    <w:rsid w:val="00092132"/>
    <w:rsid w:val="000B28B8"/>
    <w:rsid w:val="000C1254"/>
    <w:rsid w:val="000C4860"/>
    <w:rsid w:val="000F5563"/>
    <w:rsid w:val="00100704"/>
    <w:rsid w:val="00121A40"/>
    <w:rsid w:val="00131956"/>
    <w:rsid w:val="00176185"/>
    <w:rsid w:val="00177256"/>
    <w:rsid w:val="001805CA"/>
    <w:rsid w:val="0018729C"/>
    <w:rsid w:val="0019068F"/>
    <w:rsid w:val="00193C54"/>
    <w:rsid w:val="00197344"/>
    <w:rsid w:val="001A4F5F"/>
    <w:rsid w:val="001B15AA"/>
    <w:rsid w:val="001B3D2F"/>
    <w:rsid w:val="001E4A9D"/>
    <w:rsid w:val="001E4FF0"/>
    <w:rsid w:val="001E736F"/>
    <w:rsid w:val="001F4EF0"/>
    <w:rsid w:val="0021403C"/>
    <w:rsid w:val="00217294"/>
    <w:rsid w:val="002226FC"/>
    <w:rsid w:val="00236E47"/>
    <w:rsid w:val="002432EE"/>
    <w:rsid w:val="00262E3C"/>
    <w:rsid w:val="002657CF"/>
    <w:rsid w:val="00287890"/>
    <w:rsid w:val="00290F0A"/>
    <w:rsid w:val="00293450"/>
    <w:rsid w:val="002B40CA"/>
    <w:rsid w:val="002C45BA"/>
    <w:rsid w:val="002D2286"/>
    <w:rsid w:val="002D2306"/>
    <w:rsid w:val="00305837"/>
    <w:rsid w:val="00315281"/>
    <w:rsid w:val="003175F3"/>
    <w:rsid w:val="003238CB"/>
    <w:rsid w:val="00331643"/>
    <w:rsid w:val="00334B95"/>
    <w:rsid w:val="0035120D"/>
    <w:rsid w:val="00355B04"/>
    <w:rsid w:val="00377AE6"/>
    <w:rsid w:val="003810FA"/>
    <w:rsid w:val="00383075"/>
    <w:rsid w:val="0038766C"/>
    <w:rsid w:val="003955A8"/>
    <w:rsid w:val="003A1C5E"/>
    <w:rsid w:val="003B5D54"/>
    <w:rsid w:val="003E0C63"/>
    <w:rsid w:val="003F1F94"/>
    <w:rsid w:val="0040106C"/>
    <w:rsid w:val="004015C5"/>
    <w:rsid w:val="00401953"/>
    <w:rsid w:val="00417A65"/>
    <w:rsid w:val="004308B6"/>
    <w:rsid w:val="00434BD8"/>
    <w:rsid w:val="004444B3"/>
    <w:rsid w:val="00472397"/>
    <w:rsid w:val="004726F4"/>
    <w:rsid w:val="0049381D"/>
    <w:rsid w:val="0049542C"/>
    <w:rsid w:val="004A3017"/>
    <w:rsid w:val="004A574C"/>
    <w:rsid w:val="004B5325"/>
    <w:rsid w:val="004C0527"/>
    <w:rsid w:val="004D1F30"/>
    <w:rsid w:val="004E3524"/>
    <w:rsid w:val="004F5637"/>
    <w:rsid w:val="005002B8"/>
    <w:rsid w:val="00501EFC"/>
    <w:rsid w:val="005055EE"/>
    <w:rsid w:val="00506659"/>
    <w:rsid w:val="00522064"/>
    <w:rsid w:val="00522E7D"/>
    <w:rsid w:val="005443F4"/>
    <w:rsid w:val="005476A8"/>
    <w:rsid w:val="00551ED3"/>
    <w:rsid w:val="005634D7"/>
    <w:rsid w:val="00590CD6"/>
    <w:rsid w:val="0059351A"/>
    <w:rsid w:val="005A0E27"/>
    <w:rsid w:val="005A63A7"/>
    <w:rsid w:val="005B44C5"/>
    <w:rsid w:val="005C4487"/>
    <w:rsid w:val="005E2BE8"/>
    <w:rsid w:val="005E34F4"/>
    <w:rsid w:val="006149A3"/>
    <w:rsid w:val="00621E50"/>
    <w:rsid w:val="0062297C"/>
    <w:rsid w:val="006A799E"/>
    <w:rsid w:val="006D5CF3"/>
    <w:rsid w:val="006D768A"/>
    <w:rsid w:val="006E35D0"/>
    <w:rsid w:val="00700D36"/>
    <w:rsid w:val="00701ED5"/>
    <w:rsid w:val="00704A2A"/>
    <w:rsid w:val="007053AE"/>
    <w:rsid w:val="007313D3"/>
    <w:rsid w:val="00740FD8"/>
    <w:rsid w:val="00754DF5"/>
    <w:rsid w:val="00760737"/>
    <w:rsid w:val="00766E9F"/>
    <w:rsid w:val="007808F8"/>
    <w:rsid w:val="007A1866"/>
    <w:rsid w:val="007A1968"/>
    <w:rsid w:val="007B6072"/>
    <w:rsid w:val="007D3B1E"/>
    <w:rsid w:val="007D5D62"/>
    <w:rsid w:val="007D6C1E"/>
    <w:rsid w:val="007E6F85"/>
    <w:rsid w:val="007F73B8"/>
    <w:rsid w:val="00821503"/>
    <w:rsid w:val="00852843"/>
    <w:rsid w:val="00857DAB"/>
    <w:rsid w:val="00871AD7"/>
    <w:rsid w:val="008B3C4C"/>
    <w:rsid w:val="008D3F56"/>
    <w:rsid w:val="008E048A"/>
    <w:rsid w:val="008E70B7"/>
    <w:rsid w:val="009024CC"/>
    <w:rsid w:val="00910121"/>
    <w:rsid w:val="0092558E"/>
    <w:rsid w:val="009329A2"/>
    <w:rsid w:val="009453DA"/>
    <w:rsid w:val="00946A42"/>
    <w:rsid w:val="009559C7"/>
    <w:rsid w:val="009604D6"/>
    <w:rsid w:val="00982B69"/>
    <w:rsid w:val="009C32F7"/>
    <w:rsid w:val="009C5FD4"/>
    <w:rsid w:val="009D5A4A"/>
    <w:rsid w:val="009E3DBB"/>
    <w:rsid w:val="009E7519"/>
    <w:rsid w:val="00A20746"/>
    <w:rsid w:val="00A30CF0"/>
    <w:rsid w:val="00A3333A"/>
    <w:rsid w:val="00A41D06"/>
    <w:rsid w:val="00A64F27"/>
    <w:rsid w:val="00A70F2A"/>
    <w:rsid w:val="00A7745D"/>
    <w:rsid w:val="00A80C12"/>
    <w:rsid w:val="00A841E2"/>
    <w:rsid w:val="00AB1300"/>
    <w:rsid w:val="00AE0368"/>
    <w:rsid w:val="00AE4785"/>
    <w:rsid w:val="00AF4C2F"/>
    <w:rsid w:val="00AF6E39"/>
    <w:rsid w:val="00B00289"/>
    <w:rsid w:val="00B03AF5"/>
    <w:rsid w:val="00B04C5D"/>
    <w:rsid w:val="00B24CF1"/>
    <w:rsid w:val="00B42087"/>
    <w:rsid w:val="00B44664"/>
    <w:rsid w:val="00B53D65"/>
    <w:rsid w:val="00B55228"/>
    <w:rsid w:val="00B57C7B"/>
    <w:rsid w:val="00B703F6"/>
    <w:rsid w:val="00B905DA"/>
    <w:rsid w:val="00B93794"/>
    <w:rsid w:val="00BB7608"/>
    <w:rsid w:val="00BC41FB"/>
    <w:rsid w:val="00BD4A0E"/>
    <w:rsid w:val="00BE345F"/>
    <w:rsid w:val="00BE4842"/>
    <w:rsid w:val="00BF37AF"/>
    <w:rsid w:val="00BF4124"/>
    <w:rsid w:val="00BF69C9"/>
    <w:rsid w:val="00C065D6"/>
    <w:rsid w:val="00C14A2A"/>
    <w:rsid w:val="00C20B09"/>
    <w:rsid w:val="00C21DC4"/>
    <w:rsid w:val="00C3442E"/>
    <w:rsid w:val="00C42646"/>
    <w:rsid w:val="00C7586E"/>
    <w:rsid w:val="00C870A6"/>
    <w:rsid w:val="00C87836"/>
    <w:rsid w:val="00CA6061"/>
    <w:rsid w:val="00CA6981"/>
    <w:rsid w:val="00CA7E29"/>
    <w:rsid w:val="00CB366A"/>
    <w:rsid w:val="00CC30F5"/>
    <w:rsid w:val="00CC497F"/>
    <w:rsid w:val="00CC4E27"/>
    <w:rsid w:val="00CE1C68"/>
    <w:rsid w:val="00CE5750"/>
    <w:rsid w:val="00CF4BC1"/>
    <w:rsid w:val="00CF711A"/>
    <w:rsid w:val="00D21F72"/>
    <w:rsid w:val="00D34833"/>
    <w:rsid w:val="00D44E02"/>
    <w:rsid w:val="00D56C76"/>
    <w:rsid w:val="00D71D7E"/>
    <w:rsid w:val="00D95126"/>
    <w:rsid w:val="00DA2632"/>
    <w:rsid w:val="00DA2B55"/>
    <w:rsid w:val="00DA74B0"/>
    <w:rsid w:val="00DA7644"/>
    <w:rsid w:val="00DB2E86"/>
    <w:rsid w:val="00DB5A98"/>
    <w:rsid w:val="00DB7929"/>
    <w:rsid w:val="00DC5C66"/>
    <w:rsid w:val="00DD66BF"/>
    <w:rsid w:val="00DE43CE"/>
    <w:rsid w:val="00DF06DD"/>
    <w:rsid w:val="00E018A1"/>
    <w:rsid w:val="00E10B2E"/>
    <w:rsid w:val="00E15743"/>
    <w:rsid w:val="00E32107"/>
    <w:rsid w:val="00E3520D"/>
    <w:rsid w:val="00E50A65"/>
    <w:rsid w:val="00E5249F"/>
    <w:rsid w:val="00E702D2"/>
    <w:rsid w:val="00E713B5"/>
    <w:rsid w:val="00E74FEF"/>
    <w:rsid w:val="00E7561B"/>
    <w:rsid w:val="00E772F4"/>
    <w:rsid w:val="00EC5699"/>
    <w:rsid w:val="00ED7082"/>
    <w:rsid w:val="00EF280C"/>
    <w:rsid w:val="00F06FAD"/>
    <w:rsid w:val="00F11A75"/>
    <w:rsid w:val="00F21E37"/>
    <w:rsid w:val="00F25332"/>
    <w:rsid w:val="00F32075"/>
    <w:rsid w:val="00F42D7B"/>
    <w:rsid w:val="00F45FC0"/>
    <w:rsid w:val="00F4605A"/>
    <w:rsid w:val="00F513DB"/>
    <w:rsid w:val="00F55968"/>
    <w:rsid w:val="00F639D3"/>
    <w:rsid w:val="00F643B8"/>
    <w:rsid w:val="00F70D17"/>
    <w:rsid w:val="00F7416F"/>
    <w:rsid w:val="00F8168C"/>
    <w:rsid w:val="00F90D9E"/>
    <w:rsid w:val="00FA22F1"/>
    <w:rsid w:val="00FA2F3F"/>
    <w:rsid w:val="00FB040E"/>
    <w:rsid w:val="00FC5103"/>
    <w:rsid w:val="00FC7967"/>
    <w:rsid w:val="00FD0029"/>
    <w:rsid w:val="00FF7C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52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2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49F"/>
    <w:rPr>
      <w:sz w:val="20"/>
      <w:szCs w:val="20"/>
      <w:lang w:val="en-US"/>
    </w:rPr>
  </w:style>
  <w:style w:type="character" w:styleId="FootnoteReference">
    <w:name w:val="footnote reference"/>
    <w:basedOn w:val="DefaultParagraphFont"/>
    <w:uiPriority w:val="99"/>
    <w:semiHidden/>
    <w:unhideWhenUsed/>
    <w:rsid w:val="00E5249F"/>
    <w:rPr>
      <w:vertAlign w:val="superscript"/>
    </w:rPr>
  </w:style>
  <w:style w:type="character" w:styleId="Hyperlink">
    <w:name w:val="Hyperlink"/>
    <w:basedOn w:val="DefaultParagraphFont"/>
    <w:uiPriority w:val="99"/>
    <w:unhideWhenUsed/>
    <w:rsid w:val="00E5249F"/>
    <w:rPr>
      <w:color w:val="0000FF" w:themeColor="hyperlink"/>
      <w:u w:val="single"/>
    </w:rPr>
  </w:style>
  <w:style w:type="table" w:styleId="TableGrid">
    <w:name w:val="Table Grid"/>
    <w:basedOn w:val="TableNormal"/>
    <w:uiPriority w:val="59"/>
    <w:rsid w:val="00A64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64F27"/>
    <w:pPr>
      <w:ind w:left="720"/>
      <w:contextualSpacing/>
    </w:pPr>
  </w:style>
  <w:style w:type="paragraph" w:styleId="BalloonText">
    <w:name w:val="Balloon Text"/>
    <w:basedOn w:val="Normal"/>
    <w:link w:val="BalloonTextChar"/>
    <w:uiPriority w:val="99"/>
    <w:semiHidden/>
    <w:unhideWhenUsed/>
    <w:rsid w:val="007D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1E"/>
    <w:rPr>
      <w:rFonts w:ascii="Tahoma" w:hAnsi="Tahoma" w:cs="Tahoma"/>
      <w:sz w:val="16"/>
      <w:szCs w:val="16"/>
    </w:rPr>
  </w:style>
  <w:style w:type="paragraph" w:styleId="Header">
    <w:name w:val="header"/>
    <w:basedOn w:val="Normal"/>
    <w:link w:val="HeaderChar"/>
    <w:uiPriority w:val="99"/>
    <w:semiHidden/>
    <w:unhideWhenUsed/>
    <w:rsid w:val="002226F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226FC"/>
  </w:style>
  <w:style w:type="paragraph" w:styleId="Footer">
    <w:name w:val="footer"/>
    <w:basedOn w:val="Normal"/>
    <w:link w:val="FooterChar"/>
    <w:uiPriority w:val="99"/>
    <w:unhideWhenUsed/>
    <w:rsid w:val="00222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26FC"/>
  </w:style>
  <w:style w:type="character" w:styleId="PlaceholderText">
    <w:name w:val="Placeholder Text"/>
    <w:basedOn w:val="DefaultParagraphFont"/>
    <w:uiPriority w:val="99"/>
    <w:semiHidden/>
    <w:rsid w:val="004D1F30"/>
    <w:rPr>
      <w:color w:val="808080"/>
    </w:rPr>
  </w:style>
  <w:style w:type="paragraph" w:styleId="NormalWeb">
    <w:name w:val="Normal (Web)"/>
    <w:basedOn w:val="Normal"/>
    <w:uiPriority w:val="99"/>
    <w:unhideWhenUsed/>
    <w:rsid w:val="00551ED3"/>
    <w:pPr>
      <w:spacing w:before="100" w:beforeAutospacing="1" w:after="100" w:afterAutospacing="1" w:line="240" w:lineRule="auto"/>
    </w:pPr>
    <w:rPr>
      <w:rFonts w:ascii="Times New Roman" w:hAnsi="Times New Roman" w:cs="Times New Roman"/>
      <w:sz w:val="24"/>
      <w:szCs w:val="24"/>
      <w:lang w:val="ms-MY" w:eastAsia="ms-MY"/>
    </w:rPr>
  </w:style>
  <w:style w:type="character" w:customStyle="1" w:styleId="Heading1Char">
    <w:name w:val="Heading 1 Char"/>
    <w:basedOn w:val="DefaultParagraphFont"/>
    <w:link w:val="Heading1"/>
    <w:uiPriority w:val="9"/>
    <w:rsid w:val="004E3524"/>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4E3524"/>
  </w:style>
  <w:style w:type="paragraph" w:styleId="NoSpacing">
    <w:name w:val="No Spacing"/>
    <w:link w:val="NoSpacingChar"/>
    <w:uiPriority w:val="1"/>
    <w:qFormat/>
    <w:rsid w:val="008D3F56"/>
    <w:pPr>
      <w:spacing w:after="0" w:line="240" w:lineRule="auto"/>
    </w:pPr>
    <w:rPr>
      <w:lang w:val="en-US"/>
    </w:rPr>
  </w:style>
  <w:style w:type="character" w:customStyle="1" w:styleId="NoSpacingChar">
    <w:name w:val="No Spacing Char"/>
    <w:basedOn w:val="DefaultParagraphFont"/>
    <w:link w:val="NoSpacing"/>
    <w:uiPriority w:val="1"/>
    <w:rsid w:val="008D3F56"/>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E3524"/>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52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49F"/>
    <w:rPr>
      <w:sz w:val="20"/>
      <w:szCs w:val="20"/>
      <w:lang w:val="en-US"/>
    </w:rPr>
  </w:style>
  <w:style w:type="character" w:styleId="FootnoteReference">
    <w:name w:val="footnote reference"/>
    <w:basedOn w:val="DefaultParagraphFont"/>
    <w:uiPriority w:val="99"/>
    <w:semiHidden/>
    <w:unhideWhenUsed/>
    <w:rsid w:val="00E5249F"/>
    <w:rPr>
      <w:vertAlign w:val="superscript"/>
    </w:rPr>
  </w:style>
  <w:style w:type="character" w:styleId="Hyperlink">
    <w:name w:val="Hyperlink"/>
    <w:basedOn w:val="DefaultParagraphFont"/>
    <w:uiPriority w:val="99"/>
    <w:unhideWhenUsed/>
    <w:rsid w:val="00E5249F"/>
    <w:rPr>
      <w:color w:val="0000FF" w:themeColor="hyperlink"/>
      <w:u w:val="single"/>
    </w:rPr>
  </w:style>
  <w:style w:type="table" w:styleId="TableGrid">
    <w:name w:val="Table Grid"/>
    <w:basedOn w:val="TableNormal"/>
    <w:uiPriority w:val="59"/>
    <w:rsid w:val="00A64F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64F27"/>
    <w:pPr>
      <w:ind w:left="720"/>
      <w:contextualSpacing/>
    </w:pPr>
  </w:style>
  <w:style w:type="paragraph" w:styleId="BalloonText">
    <w:name w:val="Balloon Text"/>
    <w:basedOn w:val="Normal"/>
    <w:link w:val="BalloonTextChar"/>
    <w:uiPriority w:val="99"/>
    <w:semiHidden/>
    <w:unhideWhenUsed/>
    <w:rsid w:val="007D6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C1E"/>
    <w:rPr>
      <w:rFonts w:ascii="Tahoma" w:hAnsi="Tahoma" w:cs="Tahoma"/>
      <w:sz w:val="16"/>
      <w:szCs w:val="16"/>
    </w:rPr>
  </w:style>
  <w:style w:type="paragraph" w:styleId="Header">
    <w:name w:val="header"/>
    <w:basedOn w:val="Normal"/>
    <w:link w:val="HeaderChar"/>
    <w:uiPriority w:val="99"/>
    <w:semiHidden/>
    <w:unhideWhenUsed/>
    <w:rsid w:val="002226F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2226FC"/>
  </w:style>
  <w:style w:type="paragraph" w:styleId="Footer">
    <w:name w:val="footer"/>
    <w:basedOn w:val="Normal"/>
    <w:link w:val="FooterChar"/>
    <w:uiPriority w:val="99"/>
    <w:unhideWhenUsed/>
    <w:rsid w:val="002226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26FC"/>
  </w:style>
  <w:style w:type="character" w:styleId="PlaceholderText">
    <w:name w:val="Placeholder Text"/>
    <w:basedOn w:val="DefaultParagraphFont"/>
    <w:uiPriority w:val="99"/>
    <w:semiHidden/>
    <w:rsid w:val="004D1F30"/>
    <w:rPr>
      <w:color w:val="808080"/>
    </w:rPr>
  </w:style>
  <w:style w:type="paragraph" w:styleId="NormalWeb">
    <w:name w:val="Normal (Web)"/>
    <w:basedOn w:val="Normal"/>
    <w:uiPriority w:val="99"/>
    <w:unhideWhenUsed/>
    <w:rsid w:val="00551ED3"/>
    <w:pPr>
      <w:spacing w:before="100" w:beforeAutospacing="1" w:after="100" w:afterAutospacing="1" w:line="240" w:lineRule="auto"/>
    </w:pPr>
    <w:rPr>
      <w:rFonts w:ascii="Times New Roman" w:hAnsi="Times New Roman" w:cs="Times New Roman"/>
      <w:sz w:val="24"/>
      <w:szCs w:val="24"/>
      <w:lang w:val="ms-MY" w:eastAsia="ms-MY"/>
    </w:rPr>
  </w:style>
  <w:style w:type="character" w:customStyle="1" w:styleId="Heading1Char">
    <w:name w:val="Heading 1 Char"/>
    <w:basedOn w:val="DefaultParagraphFont"/>
    <w:link w:val="Heading1"/>
    <w:uiPriority w:val="9"/>
    <w:rsid w:val="004E3524"/>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4E3524"/>
  </w:style>
  <w:style w:type="paragraph" w:styleId="NoSpacing">
    <w:name w:val="No Spacing"/>
    <w:link w:val="NoSpacingChar"/>
    <w:uiPriority w:val="1"/>
    <w:qFormat/>
    <w:rsid w:val="008D3F56"/>
    <w:pPr>
      <w:spacing w:after="0" w:line="240" w:lineRule="auto"/>
    </w:pPr>
    <w:rPr>
      <w:lang w:val="en-US"/>
    </w:rPr>
  </w:style>
  <w:style w:type="character" w:customStyle="1" w:styleId="NoSpacingChar">
    <w:name w:val="No Spacing Char"/>
    <w:basedOn w:val="DefaultParagraphFont"/>
    <w:link w:val="NoSpacing"/>
    <w:uiPriority w:val="1"/>
    <w:rsid w:val="008D3F56"/>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582754">
      <w:bodyDiv w:val="1"/>
      <w:marLeft w:val="0"/>
      <w:marRight w:val="0"/>
      <w:marTop w:val="0"/>
      <w:marBottom w:val="0"/>
      <w:divBdr>
        <w:top w:val="none" w:sz="0" w:space="0" w:color="auto"/>
        <w:left w:val="none" w:sz="0" w:space="0" w:color="auto"/>
        <w:bottom w:val="none" w:sz="0" w:space="0" w:color="auto"/>
        <w:right w:val="none" w:sz="0" w:space="0" w:color="auto"/>
      </w:divBdr>
    </w:div>
    <w:div w:id="465661345">
      <w:bodyDiv w:val="1"/>
      <w:marLeft w:val="0"/>
      <w:marRight w:val="0"/>
      <w:marTop w:val="0"/>
      <w:marBottom w:val="0"/>
      <w:divBdr>
        <w:top w:val="none" w:sz="0" w:space="0" w:color="auto"/>
        <w:left w:val="none" w:sz="0" w:space="0" w:color="auto"/>
        <w:bottom w:val="none" w:sz="0" w:space="0" w:color="auto"/>
        <w:right w:val="none" w:sz="0" w:space="0" w:color="auto"/>
      </w:divBdr>
    </w:div>
    <w:div w:id="583225417">
      <w:bodyDiv w:val="1"/>
      <w:marLeft w:val="0"/>
      <w:marRight w:val="0"/>
      <w:marTop w:val="0"/>
      <w:marBottom w:val="0"/>
      <w:divBdr>
        <w:top w:val="none" w:sz="0" w:space="0" w:color="auto"/>
        <w:left w:val="none" w:sz="0" w:space="0" w:color="auto"/>
        <w:bottom w:val="none" w:sz="0" w:space="0" w:color="auto"/>
        <w:right w:val="none" w:sz="0" w:space="0" w:color="auto"/>
      </w:divBdr>
    </w:div>
    <w:div w:id="727847374">
      <w:bodyDiv w:val="1"/>
      <w:marLeft w:val="0"/>
      <w:marRight w:val="0"/>
      <w:marTop w:val="0"/>
      <w:marBottom w:val="0"/>
      <w:divBdr>
        <w:top w:val="none" w:sz="0" w:space="0" w:color="auto"/>
        <w:left w:val="none" w:sz="0" w:space="0" w:color="auto"/>
        <w:bottom w:val="none" w:sz="0" w:space="0" w:color="auto"/>
        <w:right w:val="none" w:sz="0" w:space="0" w:color="auto"/>
      </w:divBdr>
    </w:div>
    <w:div w:id="1081683122">
      <w:bodyDiv w:val="1"/>
      <w:marLeft w:val="0"/>
      <w:marRight w:val="0"/>
      <w:marTop w:val="0"/>
      <w:marBottom w:val="0"/>
      <w:divBdr>
        <w:top w:val="none" w:sz="0" w:space="0" w:color="auto"/>
        <w:left w:val="none" w:sz="0" w:space="0" w:color="auto"/>
        <w:bottom w:val="none" w:sz="0" w:space="0" w:color="auto"/>
        <w:right w:val="none" w:sz="0" w:space="0" w:color="auto"/>
      </w:divBdr>
    </w:div>
    <w:div w:id="1150904044">
      <w:bodyDiv w:val="1"/>
      <w:marLeft w:val="0"/>
      <w:marRight w:val="0"/>
      <w:marTop w:val="0"/>
      <w:marBottom w:val="0"/>
      <w:divBdr>
        <w:top w:val="none" w:sz="0" w:space="0" w:color="auto"/>
        <w:left w:val="none" w:sz="0" w:space="0" w:color="auto"/>
        <w:bottom w:val="none" w:sz="0" w:space="0" w:color="auto"/>
        <w:right w:val="none" w:sz="0" w:space="0" w:color="auto"/>
      </w:divBdr>
    </w:div>
    <w:div w:id="1203402127">
      <w:bodyDiv w:val="1"/>
      <w:marLeft w:val="0"/>
      <w:marRight w:val="0"/>
      <w:marTop w:val="0"/>
      <w:marBottom w:val="0"/>
      <w:divBdr>
        <w:top w:val="none" w:sz="0" w:space="0" w:color="auto"/>
        <w:left w:val="none" w:sz="0" w:space="0" w:color="auto"/>
        <w:bottom w:val="none" w:sz="0" w:space="0" w:color="auto"/>
        <w:right w:val="none" w:sz="0" w:space="0" w:color="auto"/>
      </w:divBdr>
    </w:div>
    <w:div w:id="1261379193">
      <w:bodyDiv w:val="1"/>
      <w:marLeft w:val="0"/>
      <w:marRight w:val="0"/>
      <w:marTop w:val="0"/>
      <w:marBottom w:val="0"/>
      <w:divBdr>
        <w:top w:val="none" w:sz="0" w:space="0" w:color="auto"/>
        <w:left w:val="none" w:sz="0" w:space="0" w:color="auto"/>
        <w:bottom w:val="none" w:sz="0" w:space="0" w:color="auto"/>
        <w:right w:val="none" w:sz="0" w:space="0" w:color="auto"/>
      </w:divBdr>
    </w:div>
    <w:div w:id="1512331044">
      <w:bodyDiv w:val="1"/>
      <w:marLeft w:val="0"/>
      <w:marRight w:val="0"/>
      <w:marTop w:val="0"/>
      <w:marBottom w:val="0"/>
      <w:divBdr>
        <w:top w:val="none" w:sz="0" w:space="0" w:color="auto"/>
        <w:left w:val="none" w:sz="0" w:space="0" w:color="auto"/>
        <w:bottom w:val="none" w:sz="0" w:space="0" w:color="auto"/>
        <w:right w:val="none" w:sz="0" w:space="0" w:color="auto"/>
      </w:divBdr>
    </w:div>
    <w:div w:id="1520967259">
      <w:bodyDiv w:val="1"/>
      <w:marLeft w:val="0"/>
      <w:marRight w:val="0"/>
      <w:marTop w:val="0"/>
      <w:marBottom w:val="0"/>
      <w:divBdr>
        <w:top w:val="none" w:sz="0" w:space="0" w:color="auto"/>
        <w:left w:val="none" w:sz="0" w:space="0" w:color="auto"/>
        <w:bottom w:val="none" w:sz="0" w:space="0" w:color="auto"/>
        <w:right w:val="none" w:sz="0" w:space="0" w:color="auto"/>
      </w:divBdr>
    </w:div>
    <w:div w:id="1567691257">
      <w:bodyDiv w:val="1"/>
      <w:marLeft w:val="0"/>
      <w:marRight w:val="0"/>
      <w:marTop w:val="0"/>
      <w:marBottom w:val="0"/>
      <w:divBdr>
        <w:top w:val="none" w:sz="0" w:space="0" w:color="auto"/>
        <w:left w:val="none" w:sz="0" w:space="0" w:color="auto"/>
        <w:bottom w:val="none" w:sz="0" w:space="0" w:color="auto"/>
        <w:right w:val="none" w:sz="0" w:space="0" w:color="auto"/>
      </w:divBdr>
    </w:div>
    <w:div w:id="18326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yperlink" Target="http://www.world-exchanges.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Qiz13</b:Tag>
    <b:SourceType>JournalArticle</b:SourceType>
    <b:Guid>{63DC4B1D-701E-4D9F-AF5B-4FF4F8677CD2}</b:Guid>
    <b:Author>
      <b:Author>
        <b:NameList>
          <b:Person>
            <b:Last>Qizam</b:Last>
          </b:Person>
          <b:Person>
            <b:Last>Ardiansyah</b:Last>
          </b:Person>
          <b:Person>
            <b:Last>Haron</b:Last>
          </b:Person>
        </b:NameList>
      </b:Author>
    </b:Author>
    <b:Title>Sharia Issue of Warrant Contract: Empirical Evidence of Warrant Mispricing in Malaysia</b:Title>
    <b:JournalName>Global Review of Islamic Economics and Business, Vol.1, No.1</b:JournalName>
    <b:Year>2013</b:Year>
    <b:Pages>50-68</b:Pages>
    <b:RefOrder>6</b:RefOrder>
  </b:Source>
  <b:Source>
    <b:Tag>Yip12</b:Tag>
    <b:SourceType>JournalArticle</b:SourceType>
    <b:Guid>{F2136352-84B2-4914-BF0C-27E22B5466B7}</b:Guid>
    <b:Author>
      <b:Author>
        <b:NameList>
          <b:Person>
            <b:Last>Yip</b:Last>
          </b:Person>
          <b:Person>
            <b:Last>Hooy</b:Last>
          </b:Person>
        </b:NameList>
      </b:Author>
    </b:Author>
    <b:Title>Call Warrant Listing and Its Behavior of Its Underlying Spot Market: Some Evidence from Bursa Malaysia</b:Title>
    <b:JournalName>Journal of Asia Pacific Business</b:JournalName>
    <b:Year>2012</b:Year>
    <b:Pages>287-298</b:Pages>
    <b:RefOrder>7</b:RefOrder>
  </b:Source>
  <b:Source>
    <b:Tag>Asp09</b:Tag>
    <b:SourceType>JournalArticle</b:SourceType>
    <b:Guid>{A7EA060C-4253-4C1E-A2EA-B54F6140AD06}</b:Guid>
    <b:Author>
      <b:Author>
        <b:NameList>
          <b:Person>
            <b:Last>Asparouhova</b:Last>
            <b:First>E.</b:First>
          </b:Person>
          <b:Person>
            <b:Last>Bessembinder</b:Last>
          </b:Person>
          <b:Person>
            <b:Last>Kalcheva</b:Last>
          </b:Person>
        </b:NameList>
      </b:Author>
    </b:Author>
    <b:Title>Liquidity Biases in Asset Pricing Tests</b:Title>
    <b:JournalName>Journal of Financial Economics</b:JournalName>
    <b:Year>2009</b:Year>
    <b:RefOrder>8</b:RefOrder>
  </b:Source>
  <b:Source>
    <b:Tag>Jeg93</b:Tag>
    <b:SourceType>JournalArticle</b:SourceType>
    <b:Guid>{EF6E72D3-EF60-4C4A-B298-E65D84835B3C}</b:Guid>
    <b:Author>
      <b:Author>
        <b:NameList>
          <b:Person>
            <b:Last>Jegadeesh</b:Last>
            <b:First>N</b:First>
          </b:Person>
          <b:Person>
            <b:Last>Titman</b:Last>
            <b:First>S</b:First>
          </b:Person>
        </b:NameList>
      </b:Author>
    </b:Author>
    <b:Title>Returns to Buying Winners and Selling Losers: Implication for Stock Market Efficiency</b:Title>
    <b:JournalName>Journal of Finance 48</b:JournalName>
    <b:Year>1993</b:Year>
    <b:Pages>65-91</b:Pages>
    <b:RefOrder>9</b:RefOrder>
  </b:Source>
  <b:Source>
    <b:Tag>Hua02</b:Tag>
    <b:SourceType>JournalArticle</b:SourceType>
    <b:Guid>{1B4CDAA1-1A4F-44D6-820F-EA124CDB8783}</b:Guid>
    <b:Author>
      <b:Author>
        <b:NameList>
          <b:Person>
            <b:Last>Huang</b:Last>
          </b:Person>
          <b:Person>
            <b:Last>Chen</b:Last>
          </b:Person>
        </b:NameList>
      </b:Author>
    </b:Author>
    <b:Title>Warrant Pricing: Stochastic Volatility vs. Black-Scholes</b:Title>
    <b:JournalName>Pacific-Basin Finance Journal</b:JournalName>
    <b:Year>2002</b:Year>
    <b:Pages>393-409</b:Pages>
    <b:RefOrder>10</b:RefOrder>
  </b:Source>
  <b:Source>
    <b:Tag>Bac12</b:Tag>
    <b:SourceType>Book</b:SourceType>
    <b:Guid>{0AB5D16E-8D83-4F39-9192-E60A4BED1DF5}</b:Guid>
    <b:Author>
      <b:Author>
        <b:NameList>
          <b:Person>
            <b:Last>Bacha</b:Last>
            <b:First>O.</b:First>
          </b:Person>
        </b:NameList>
      </b:Author>
    </b:Author>
    <b:Title>Financial Derivatives: Markets and Applications in Malaysia</b:Title>
    <b:Year>2012</b:Year>
    <b:City>Kuala Lumpur</b:City>
    <b:Publisher>McGraw Hill Education</b:Publisher>
    <b:RefOrder>11</b:RefOrder>
  </b:Source>
  <b:Source>
    <b:Tag>Kyu04</b:Tag>
    <b:SourceType>JournalArticle</b:SourceType>
    <b:Guid>{3A325236-AAE5-4711-B18E-33849E38111C}</b:Guid>
    <b:Author>
      <b:Author>
        <b:NameList>
          <b:Person>
            <b:Last>Kyun</b:Last>
          </b:Person>
        </b:NameList>
      </b:Author>
    </b:Author>
    <b:Title>Empirical Study of Black-Scholes Warrant Pricing Model on the Stock Exchange of Malaysia</b:Title>
    <b:Year>2004</b:Year>
    <b:JournalName>Unpublished Paper</b:JournalName>
    <b:RefOrder>12</b:RefOrder>
  </b:Source>
  <b:Source>
    <b:Tag>Rub87</b:Tag>
    <b:SourceType>JournalArticle</b:SourceType>
    <b:Guid>{DBAF320F-2CDB-4F8B-B9EF-B8B71E7E0971}</b:Guid>
    <b:Author>
      <b:Author>
        <b:NameList>
          <b:Person>
            <b:Last>Rubinstein</b:Last>
          </b:Person>
        </b:NameList>
      </b:Author>
    </b:Author>
    <b:Title>Derivative Asset Analysis</b:Title>
    <b:JournalName>The Journal of Economic Perspective,Vol.1,No.2</b:JournalName>
    <b:Year>1987</b:Year>
    <b:Pages>73-93</b:Pages>
    <b:RefOrder>13</b:RefOrder>
  </b:Source>
  <b:Source>
    <b:Tag>Lau90</b:Tag>
    <b:SourceType>JournalArticle</b:SourceType>
    <b:Guid>{C4766139-DCAE-4DB7-95CA-0133956C936C}</b:Guid>
    <b:Author>
      <b:Author>
        <b:NameList>
          <b:Person>
            <b:Last>Lauterbach</b:Last>
            <b:First>B</b:First>
          </b:Person>
          <b:Person>
            <b:Last>Schultz</b:Last>
            <b:First>P</b:First>
          </b:Person>
        </b:NameList>
      </b:Author>
    </b:Author>
    <b:Title>On Using the Black-Scholes model to value warrants</b:Title>
    <b:JournalName>Journal of Finance, 45</b:JournalName>
    <b:Year>1990</b:Year>
    <b:Pages>1181-1209</b:Pages>
    <b:RefOrder>14</b:RefOrder>
  </b:Source>
  <b:Source>
    <b:Tag>Ges83</b:Tag>
    <b:SourceType>JournalArticle</b:SourceType>
    <b:Guid>{88C6EDA0-71D7-4E15-A646-97D7A3D33305}</b:Guid>
    <b:Author>
      <b:Author>
        <b:NameList>
          <b:Person>
            <b:Last>Geske</b:Last>
          </b:Person>
          <b:Person>
            <b:Last>Roll</b:Last>
          </b:Person>
          <b:Person>
            <b:Last>Shastri</b:Last>
          </b:Person>
        </b:NameList>
      </b:Author>
    </b:Author>
    <b:Title>Over-the-counter Option Market Dividend Protection and Biases in the Black-Scholes Model: A Note</b:Title>
    <b:JournalName>Journal of Finance, Vol.38</b:JournalName>
    <b:Year>1983</b:Year>
    <b:Pages>1271-1277</b:Pages>
    <b:RefOrder>15</b:RefOrder>
  </b:Source>
  <b:Source>
    <b:Tag>Mac80</b:Tag>
    <b:SourceType>JournalArticle</b:SourceType>
    <b:Guid>{BDC5E0A4-E958-4B95-A207-0B83AC056A7C}</b:Guid>
    <b:Author>
      <b:Author>
        <b:NameList>
          <b:Person>
            <b:Last>Macbeth</b:Last>
          </b:Person>
          <b:Person>
            <b:Last>Merville</b:Last>
          </b:Person>
        </b:NameList>
      </b:Author>
    </b:Author>
    <b:Title>Tests of the Black-Scholes and Cox Call Option Valuation Models</b:Title>
    <b:JournalName>Journal of Finance, Vol.35</b:JournalName>
    <b:Year>1980</b:Year>
    <b:Pages>285-301</b:Pages>
    <b:RefOrder>1</b:RefOrder>
  </b:Source>
  <b:Source>
    <b:Tag>Sha95</b:Tag>
    <b:SourceType>JournalArticle</b:SourceType>
    <b:Guid>{8709BE91-F322-49CF-A07F-9CAA4F838149}</b:Guid>
    <b:Author>
      <b:Author>
        <b:NameList>
          <b:Person>
            <b:Last>Shastri</b:Last>
          </b:Person>
          <b:Person>
            <b:Last>Sirodom</b:Last>
          </b:Person>
        </b:NameList>
      </b:Author>
    </b:Author>
    <b:Title>An Empirical test of the BS and CSR valuation models for warrants listed in Thailand</b:Title>
    <b:JournalName>Pacific-Basin Finance Journal</b:JournalName>
    <b:Year>1995</b:Year>
    <b:Pages>465-483</b:Pages>
    <b:RefOrder>4</b:RefOrder>
  </b:Source>
  <b:Source>
    <b:Tag>Dua99</b:Tag>
    <b:SourceType>JournalArticle</b:SourceType>
    <b:Guid>{92DBA5BA-4B91-4D11-BABB-44499195EAD9}</b:Guid>
    <b:Author>
      <b:Author>
        <b:NameList>
          <b:Person>
            <b:Last>Duan</b:Last>
          </b:Person>
          <b:Person>
            <b:Last>Yan</b:Last>
          </b:Person>
        </b:NameList>
      </b:Author>
    </b:Author>
    <b:Title>Semi-parametric pricing of Derivative Warrants</b:Title>
    <b:JournalName>Working Paper, Hong Kong University Science and Technology</b:JournalName>
    <b:Year>1999</b:Year>
    <b:RefOrder>5</b:RefOrder>
  </b:Source>
  <b:Source>
    <b:Tag>San00</b:Tag>
    <b:SourceType>JournalArticle</b:SourceType>
    <b:Guid>{354AB8AF-2818-4AC4-9D06-18D22C7D0271}</b:Guid>
    <b:Author>
      <b:Author>
        <b:NameList>
          <b:Person>
            <b:Last>Santoso</b:Last>
            <b:First>L.P</b:First>
          </b:Person>
        </b:NameList>
      </b:Author>
    </b:Author>
    <b:Title>Warrant Pricing: An Empirical Investigation on the Valuation Models for Warrants Traded at the Jakarta Stock Exchange</b:Title>
    <b:JournalName>Working Paper, Universitas Gadjah Mada</b:JournalName>
    <b:Year>2000</b:Year>
    <b:RefOrder>2</b:RefOrder>
  </b:Source>
  <b:Source>
    <b:Tag>Lim02</b:Tag>
    <b:SourceType>JournalArticle</b:SourceType>
    <b:Guid>{EC5FEBBE-812C-4C3B-A9E3-B32AC8CD5026}</b:Guid>
    <b:Author>
      <b:Author>
        <b:NameList>
          <b:Person>
            <b:Last>Lim</b:Last>
          </b:Person>
          <b:Person>
            <b:Last>Terry</b:Last>
          </b:Person>
        </b:NameList>
      </b:Author>
    </b:Author>
    <b:Title>The Valuation of Multiple Stocks Warrants</b:Title>
    <b:JournalName>Working Paper, Singapore Management University</b:JournalName>
    <b:Year>2002</b:Year>
    <b:RefOrder>3</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B98B60-690B-4F91-8FEE-A7935BDA7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reky</dc:creator>
  <cp:lastModifiedBy>HAFIZH</cp:lastModifiedBy>
  <cp:revision>3</cp:revision>
  <dcterms:created xsi:type="dcterms:W3CDTF">2017-12-06T15:10:00Z</dcterms:created>
  <dcterms:modified xsi:type="dcterms:W3CDTF">2017-12-06T15:10:00Z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iki.sakti@gmail.com@www.mendeley.com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(AMA)</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