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99B5A" w14:textId="112C69B1" w:rsidR="00AD3FB3" w:rsidRPr="00B04D40" w:rsidRDefault="00AD3FB3" w:rsidP="00B04D40">
      <w:pPr>
        <w:spacing w:after="0" w:line="240" w:lineRule="auto"/>
        <w:rPr>
          <w:rFonts w:ascii="Book Antiqua" w:hAnsi="Book Antiqua" w:cs="Times New Roman"/>
          <w:i/>
          <w:iCs/>
        </w:rPr>
      </w:pPr>
    </w:p>
    <w:tbl>
      <w:tblPr>
        <w:tblStyle w:val="TableGrid"/>
        <w:tblW w:w="93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96"/>
      </w:tblGrid>
      <w:tr w:rsidR="00CE4C92" w:rsidRPr="00E54420" w14:paraId="2D36A73B" w14:textId="77777777" w:rsidTr="00AF097F">
        <w:trPr>
          <w:trHeight w:val="2190"/>
        </w:trPr>
        <w:tc>
          <w:tcPr>
            <w:tcW w:w="9396" w:type="dxa"/>
          </w:tcPr>
          <w:p w14:paraId="7951E1D6" w14:textId="3BED7E47" w:rsidR="006D1557" w:rsidRPr="00E54420" w:rsidRDefault="007E4FA0" w:rsidP="00B04D40">
            <w:pPr>
              <w:spacing w:after="0" w:line="240" w:lineRule="auto"/>
              <w:ind w:left="-142" w:right="459"/>
              <w:contextualSpacing/>
              <w:jc w:val="center"/>
              <w:rPr>
                <w:rFonts w:ascii="Book Antiqua" w:eastAsia="Calibri" w:hAnsi="Book Antiqua" w:cs="Times New Roman"/>
                <w:b/>
                <w:sz w:val="32"/>
                <w:szCs w:val="32"/>
              </w:rPr>
            </w:pPr>
            <w:r w:rsidRPr="00E54420">
              <w:rPr>
                <w:rFonts w:ascii="Book Antiqua" w:eastAsia="Calibri" w:hAnsi="Book Antiqua" w:cs="Times New Roman"/>
                <w:b/>
                <w:sz w:val="32"/>
                <w:szCs w:val="32"/>
              </w:rPr>
              <w:t xml:space="preserve">Gold Investment </w:t>
            </w:r>
            <w:r w:rsidR="005E4D15" w:rsidRPr="00E54420">
              <w:rPr>
                <w:rFonts w:ascii="Book Antiqua" w:eastAsia="Calibri" w:hAnsi="Book Antiqua" w:cs="Times New Roman"/>
                <w:b/>
                <w:sz w:val="32"/>
                <w:szCs w:val="32"/>
              </w:rPr>
              <w:t>at</w:t>
            </w:r>
            <w:r w:rsidRPr="00E54420">
              <w:rPr>
                <w:rFonts w:ascii="Book Antiqua" w:eastAsia="Calibri" w:hAnsi="Book Antiqua" w:cs="Times New Roman"/>
                <w:b/>
                <w:sz w:val="32"/>
                <w:szCs w:val="32"/>
              </w:rPr>
              <w:t xml:space="preserve"> Hajj Financial Management Agency (BPKH)</w:t>
            </w:r>
          </w:p>
          <w:p w14:paraId="2161CC42" w14:textId="77777777" w:rsidR="007E4FA0" w:rsidRPr="00E54420" w:rsidRDefault="007E4FA0" w:rsidP="00B04D40">
            <w:pPr>
              <w:spacing w:after="0" w:line="240" w:lineRule="auto"/>
              <w:ind w:left="-142" w:right="459"/>
              <w:contextualSpacing/>
              <w:jc w:val="center"/>
              <w:rPr>
                <w:rFonts w:ascii="Book Antiqua" w:hAnsi="Book Antiqua" w:cs="Times New Roman"/>
                <w:b/>
                <w:bCs/>
              </w:rPr>
            </w:pPr>
          </w:p>
          <w:p w14:paraId="45108A29" w14:textId="11E36A62" w:rsidR="00A70D6C" w:rsidRPr="00E54420" w:rsidRDefault="000E04E8" w:rsidP="00B04D40">
            <w:pPr>
              <w:spacing w:after="0" w:line="240" w:lineRule="auto"/>
              <w:jc w:val="center"/>
              <w:rPr>
                <w:rFonts w:ascii="Book Antiqua" w:hAnsi="Book Antiqua"/>
                <w:bCs/>
              </w:rPr>
            </w:pPr>
            <w:r w:rsidRPr="00E54420">
              <w:rPr>
                <w:rFonts w:ascii="Book Antiqua" w:hAnsi="Book Antiqua"/>
                <w:bCs/>
              </w:rPr>
              <w:t>Mutia Melina Damayanti</w:t>
            </w:r>
            <w:r w:rsidR="00A70D6C" w:rsidRPr="00E54420">
              <w:rPr>
                <w:rFonts w:ascii="Book Antiqua" w:hAnsi="Book Antiqua"/>
                <w:bCs/>
                <w:vertAlign w:val="superscript"/>
              </w:rPr>
              <w:t>1</w:t>
            </w:r>
            <w:r w:rsidR="00A70D6C" w:rsidRPr="00E54420">
              <w:rPr>
                <w:rFonts w:ascii="Book Antiqua" w:hAnsi="Book Antiqua"/>
                <w:bCs/>
              </w:rPr>
              <w:t>,</w:t>
            </w:r>
            <w:r w:rsidRPr="00E54420">
              <w:rPr>
                <w:rFonts w:ascii="Book Antiqua" w:hAnsi="Book Antiqua"/>
                <w:bCs/>
              </w:rPr>
              <w:t xml:space="preserve"> Ida Busnetty</w:t>
            </w:r>
            <w:r w:rsidR="00A70D6C" w:rsidRPr="00E54420">
              <w:rPr>
                <w:rFonts w:ascii="Book Antiqua" w:hAnsi="Book Antiqua"/>
                <w:bCs/>
                <w:vertAlign w:val="superscript"/>
              </w:rPr>
              <w:t>2</w:t>
            </w:r>
            <w:r w:rsidR="00A70D6C" w:rsidRPr="00E54420">
              <w:rPr>
                <w:rFonts w:ascii="Book Antiqua" w:hAnsi="Book Antiqua"/>
                <w:bCs/>
              </w:rPr>
              <w:t>, Ellyana Amran</w:t>
            </w:r>
            <w:r w:rsidR="00E66514" w:rsidRPr="00E54420">
              <w:rPr>
                <w:rFonts w:ascii="Book Antiqua" w:hAnsi="Book Antiqua"/>
                <w:bCs/>
                <w:vertAlign w:val="superscript"/>
              </w:rPr>
              <w:t>3</w:t>
            </w:r>
            <w:r w:rsidR="00E66514" w:rsidRPr="00E54420">
              <w:rPr>
                <w:rFonts w:ascii="Book Antiqua" w:hAnsi="Book Antiqua"/>
                <w:bCs/>
              </w:rPr>
              <w:t xml:space="preserve">, </w:t>
            </w:r>
            <w:proofErr w:type="spellStart"/>
            <w:r w:rsidR="00E66514" w:rsidRPr="00E54420">
              <w:rPr>
                <w:rFonts w:ascii="Book Antiqua" w:hAnsi="Book Antiqua"/>
                <w:bCs/>
              </w:rPr>
              <w:t>Nirdukita</w:t>
            </w:r>
            <w:proofErr w:type="spellEnd"/>
            <w:r w:rsidR="00E66514" w:rsidRPr="00E54420">
              <w:rPr>
                <w:rFonts w:ascii="Book Antiqua" w:hAnsi="Book Antiqua"/>
                <w:bCs/>
              </w:rPr>
              <w:t xml:space="preserve"> Ratnawati</w:t>
            </w:r>
            <w:r w:rsidR="00E66514" w:rsidRPr="00E54420">
              <w:rPr>
                <w:rFonts w:ascii="Book Antiqua" w:hAnsi="Book Antiqua"/>
                <w:bCs/>
                <w:vertAlign w:val="superscript"/>
              </w:rPr>
              <w:t>4</w:t>
            </w:r>
            <w:r w:rsidR="00E66514" w:rsidRPr="00E54420">
              <w:rPr>
                <w:rFonts w:ascii="Book Antiqua" w:hAnsi="Book Antiqua"/>
                <w:bCs/>
              </w:rPr>
              <w:t xml:space="preserve">, </w:t>
            </w:r>
            <w:r w:rsidR="00950179">
              <w:rPr>
                <w:rFonts w:ascii="Book Antiqua" w:hAnsi="Book Antiqua"/>
                <w:bCs/>
              </w:rPr>
              <w:t xml:space="preserve">and </w:t>
            </w:r>
            <w:r w:rsidR="00E66514" w:rsidRPr="00E54420">
              <w:rPr>
                <w:rFonts w:ascii="Book Antiqua" w:hAnsi="Book Antiqua"/>
                <w:bCs/>
              </w:rPr>
              <w:t>Soeharjoto</w:t>
            </w:r>
            <w:r w:rsidR="00E66514" w:rsidRPr="00E54420">
              <w:rPr>
                <w:rFonts w:ascii="Book Antiqua" w:hAnsi="Book Antiqua"/>
                <w:bCs/>
                <w:vertAlign w:val="superscript"/>
              </w:rPr>
              <w:t>5</w:t>
            </w:r>
          </w:p>
          <w:p w14:paraId="61FA9F38" w14:textId="77777777" w:rsidR="00F56663" w:rsidRPr="00E54420" w:rsidRDefault="00F56663" w:rsidP="00B04D40">
            <w:pPr>
              <w:spacing w:after="0" w:line="240" w:lineRule="auto"/>
              <w:jc w:val="center"/>
              <w:rPr>
                <w:rFonts w:ascii="Book Antiqua" w:eastAsiaTheme="minorEastAsia" w:hAnsi="Book Antiqua"/>
              </w:rPr>
            </w:pPr>
          </w:p>
          <w:p w14:paraId="1C9FC614" w14:textId="1F1CA29B" w:rsidR="000E04E8" w:rsidRPr="00E54420" w:rsidRDefault="000E04E8" w:rsidP="00B04D40">
            <w:pPr>
              <w:spacing w:after="0" w:line="240" w:lineRule="auto"/>
              <w:jc w:val="center"/>
              <w:rPr>
                <w:rFonts w:ascii="Book Antiqua" w:eastAsiaTheme="minorEastAsia" w:hAnsi="Book Antiqua"/>
              </w:rPr>
            </w:pPr>
            <w:r w:rsidRPr="00E54420">
              <w:rPr>
                <w:rFonts w:ascii="Book Antiqua" w:eastAsiaTheme="minorEastAsia" w:hAnsi="Book Antiqua"/>
                <w:vertAlign w:val="superscript"/>
              </w:rPr>
              <w:t>1</w:t>
            </w:r>
            <w:r w:rsidRPr="00E54420">
              <w:rPr>
                <w:rFonts w:ascii="Book Antiqua" w:eastAsiaTheme="minorEastAsia" w:hAnsi="Book Antiqua"/>
              </w:rPr>
              <w:t xml:space="preserve">1Islamic Economics &amp; Finance of </w:t>
            </w:r>
            <w:proofErr w:type="spellStart"/>
            <w:r w:rsidRPr="00E54420">
              <w:rPr>
                <w:rFonts w:ascii="Book Antiqua" w:eastAsiaTheme="minorEastAsia" w:hAnsi="Book Antiqua"/>
              </w:rPr>
              <w:t>Trisakti</w:t>
            </w:r>
            <w:proofErr w:type="spellEnd"/>
            <w:r w:rsidRPr="00E54420">
              <w:rPr>
                <w:rFonts w:ascii="Book Antiqua" w:eastAsiaTheme="minorEastAsia" w:hAnsi="Book Antiqua"/>
              </w:rPr>
              <w:t xml:space="preserve"> University, email: mutiamelinadamayanti@gmail.com</w:t>
            </w:r>
          </w:p>
          <w:p w14:paraId="711117D7" w14:textId="5835B2E3" w:rsidR="00E16457" w:rsidRPr="00E54420" w:rsidRDefault="00EC16F0" w:rsidP="00B04D40">
            <w:pPr>
              <w:spacing w:after="0" w:line="240" w:lineRule="auto"/>
              <w:ind w:left="-142" w:right="459"/>
              <w:contextualSpacing/>
              <w:jc w:val="center"/>
              <w:rPr>
                <w:rFonts w:ascii="Book Antiqua" w:eastAsiaTheme="minorEastAsia" w:hAnsi="Book Antiqua"/>
              </w:rPr>
            </w:pPr>
            <w:r w:rsidRPr="00E54420">
              <w:rPr>
                <w:rFonts w:ascii="Book Antiqua" w:eastAsiaTheme="minorEastAsia" w:hAnsi="Book Antiqua"/>
                <w:vertAlign w:val="superscript"/>
              </w:rPr>
              <w:t>2</w:t>
            </w:r>
            <w:r w:rsidR="00A70D6C" w:rsidRPr="00E54420">
              <w:rPr>
                <w:rFonts w:ascii="Book Antiqua" w:eastAsiaTheme="minorEastAsia" w:hAnsi="Book Antiqua"/>
              </w:rPr>
              <w:t xml:space="preserve">1Islamic Economics &amp; Finance of </w:t>
            </w:r>
            <w:proofErr w:type="spellStart"/>
            <w:r w:rsidR="00A70D6C" w:rsidRPr="00E54420">
              <w:rPr>
                <w:rFonts w:ascii="Book Antiqua" w:eastAsiaTheme="minorEastAsia" w:hAnsi="Book Antiqua"/>
              </w:rPr>
              <w:t>Trisakti</w:t>
            </w:r>
            <w:proofErr w:type="spellEnd"/>
            <w:r w:rsidR="00A70D6C" w:rsidRPr="00E54420">
              <w:rPr>
                <w:rFonts w:ascii="Book Antiqua" w:eastAsiaTheme="minorEastAsia" w:hAnsi="Book Antiqua"/>
              </w:rPr>
              <w:t xml:space="preserve"> University</w:t>
            </w:r>
            <w:r w:rsidRPr="00E54420">
              <w:rPr>
                <w:rFonts w:ascii="Book Antiqua" w:eastAsiaTheme="minorEastAsia" w:hAnsi="Book Antiqua"/>
              </w:rPr>
              <w:t xml:space="preserve">, email: </w:t>
            </w:r>
            <w:proofErr w:type="spellStart"/>
            <w:proofErr w:type="gramStart"/>
            <w:r w:rsidR="000E04E8" w:rsidRPr="00E54420">
              <w:rPr>
                <w:rFonts w:ascii="Book Antiqua" w:eastAsiaTheme="minorEastAsia" w:hAnsi="Book Antiqua"/>
              </w:rPr>
              <w:t>ida.busneti</w:t>
            </w:r>
            <w:proofErr w:type="spellEnd"/>
            <w:proofErr w:type="gramEnd"/>
            <w:r w:rsidR="000E04E8" w:rsidRPr="00E54420">
              <w:rPr>
                <w:rFonts w:ascii="Book Antiqua" w:eastAsiaTheme="minorEastAsia" w:hAnsi="Book Antiqua"/>
              </w:rPr>
              <w:t>@</w:t>
            </w:r>
            <w:r w:rsidR="000E04E8" w:rsidRPr="00E54420">
              <w:rPr>
                <w:rFonts w:ascii="Book Antiqua" w:hAnsi="Book Antiqua"/>
              </w:rPr>
              <w:t xml:space="preserve"> trisakti.ac.id</w:t>
            </w:r>
            <w:r w:rsidR="000E04E8" w:rsidRPr="00E54420">
              <w:rPr>
                <w:rFonts w:ascii="Book Antiqua" w:eastAsiaTheme="minorEastAsia" w:hAnsi="Book Antiqua"/>
              </w:rPr>
              <w:t xml:space="preserve"> </w:t>
            </w:r>
          </w:p>
          <w:p w14:paraId="774F0318" w14:textId="7BAF7BFA" w:rsidR="00EC16F0" w:rsidRPr="00E54420" w:rsidRDefault="00A70D6C" w:rsidP="00B04D40">
            <w:pPr>
              <w:spacing w:after="0" w:line="240" w:lineRule="auto"/>
              <w:ind w:left="-142" w:right="459"/>
              <w:contextualSpacing/>
              <w:jc w:val="center"/>
              <w:rPr>
                <w:rFonts w:ascii="Book Antiqua" w:hAnsi="Book Antiqua" w:cs="Times New Roman"/>
              </w:rPr>
            </w:pPr>
            <w:r w:rsidRPr="00E54420">
              <w:rPr>
                <w:rFonts w:ascii="Book Antiqua" w:eastAsiaTheme="minorEastAsia" w:hAnsi="Book Antiqua"/>
                <w:vertAlign w:val="superscript"/>
              </w:rPr>
              <w:t>3</w:t>
            </w:r>
            <w:r w:rsidRPr="00E54420">
              <w:rPr>
                <w:rFonts w:ascii="Book Antiqua" w:eastAsiaTheme="minorEastAsia" w:hAnsi="Book Antiqua"/>
              </w:rPr>
              <w:t xml:space="preserve">Islamic Economics &amp; Finance of </w:t>
            </w:r>
            <w:proofErr w:type="spellStart"/>
            <w:r w:rsidRPr="00E54420">
              <w:rPr>
                <w:rFonts w:ascii="Book Antiqua" w:eastAsiaTheme="minorEastAsia" w:hAnsi="Book Antiqua"/>
              </w:rPr>
              <w:t>Trisakti</w:t>
            </w:r>
            <w:proofErr w:type="spellEnd"/>
            <w:r w:rsidRPr="00E54420">
              <w:rPr>
                <w:rFonts w:ascii="Book Antiqua" w:eastAsiaTheme="minorEastAsia" w:hAnsi="Book Antiqua"/>
              </w:rPr>
              <w:t xml:space="preserve"> University, email: </w:t>
            </w:r>
            <w:r w:rsidR="005D0458" w:rsidRPr="00E54420">
              <w:rPr>
                <w:rFonts w:ascii="Book Antiqua" w:hAnsi="Book Antiqua"/>
              </w:rPr>
              <w:t>ellyana_amran@trisakti.ac.id</w:t>
            </w:r>
          </w:p>
        </w:tc>
      </w:tr>
      <w:tr w:rsidR="00E16457" w:rsidRPr="00E54420" w14:paraId="4CFE12B1" w14:textId="77777777" w:rsidTr="00AF097F">
        <w:trPr>
          <w:trHeight w:val="338"/>
        </w:trPr>
        <w:tc>
          <w:tcPr>
            <w:tcW w:w="9396" w:type="dxa"/>
          </w:tcPr>
          <w:p w14:paraId="69646EDD" w14:textId="77777777" w:rsidR="00E16457" w:rsidRPr="00E54420" w:rsidRDefault="00E16457" w:rsidP="00B04D40">
            <w:pPr>
              <w:spacing w:after="0" w:line="240" w:lineRule="auto"/>
              <w:ind w:left="-142" w:right="459"/>
              <w:contextualSpacing/>
              <w:rPr>
                <w:rFonts w:ascii="Book Antiqua" w:eastAsia="Calibri" w:hAnsi="Book Antiqua" w:cs="Times New Roman"/>
                <w:b/>
              </w:rPr>
            </w:pPr>
          </w:p>
        </w:tc>
      </w:tr>
      <w:tr w:rsidR="00CE4C92" w:rsidRPr="00E54420" w14:paraId="1CA3D4DE" w14:textId="77777777" w:rsidTr="00AF097F">
        <w:trPr>
          <w:trHeight w:val="4176"/>
        </w:trPr>
        <w:tc>
          <w:tcPr>
            <w:tcW w:w="9396" w:type="dxa"/>
          </w:tcPr>
          <w:p w14:paraId="1AD4CDBA" w14:textId="629D8A1C" w:rsidR="00CE4C92" w:rsidRPr="00E54420" w:rsidRDefault="00CE4C92" w:rsidP="00157A08">
            <w:pPr>
              <w:spacing w:after="120" w:line="240" w:lineRule="auto"/>
              <w:ind w:right="-118"/>
              <w:contextualSpacing/>
              <w:rPr>
                <w:rFonts w:ascii="Book Antiqua" w:hAnsi="Book Antiqua" w:cs="Times New Roman"/>
              </w:rPr>
            </w:pPr>
          </w:p>
          <w:p w14:paraId="19F90CB2" w14:textId="77777777" w:rsidR="00535686" w:rsidRPr="00E54420" w:rsidRDefault="00535686" w:rsidP="00157A08">
            <w:pPr>
              <w:spacing w:after="120" w:line="240" w:lineRule="auto"/>
              <w:ind w:left="-142" w:right="-118"/>
              <w:contextualSpacing/>
              <w:rPr>
                <w:rFonts w:ascii="Book Antiqua" w:hAnsi="Book Antiqua"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76"/>
              <w:gridCol w:w="2194"/>
            </w:tblGrid>
            <w:tr w:rsidR="00535686" w:rsidRPr="00E54420" w14:paraId="206D593B" w14:textId="77777777" w:rsidTr="00BB2402">
              <w:trPr>
                <w:trHeight w:val="313"/>
              </w:trPr>
              <w:tc>
                <w:tcPr>
                  <w:tcW w:w="6976" w:type="dxa"/>
                </w:tcPr>
                <w:p w14:paraId="023E8A8C" w14:textId="54E4566A" w:rsidR="00111ABB" w:rsidRPr="00E54420" w:rsidRDefault="00327654" w:rsidP="00157A08">
                  <w:pPr>
                    <w:spacing w:after="120" w:line="240" w:lineRule="auto"/>
                    <w:ind w:left="-142" w:right="-119"/>
                    <w:jc w:val="center"/>
                    <w:rPr>
                      <w:rFonts w:ascii="Book Antiqua" w:hAnsi="Book Antiqua" w:cs="Times New Roman"/>
                      <w:b/>
                      <w:bCs/>
                    </w:rPr>
                  </w:pPr>
                  <w:bookmarkStart w:id="0" w:name="_Hlk153466688"/>
                  <w:bookmarkStart w:id="1" w:name="_Hlk158571259"/>
                  <w:r w:rsidRPr="00E54420">
                    <w:rPr>
                      <w:rFonts w:ascii="Book Antiqua" w:hAnsi="Book Antiqua" w:cs="Times New Roman"/>
                      <w:b/>
                      <w:bCs/>
                    </w:rPr>
                    <w:t>Abstract</w:t>
                  </w:r>
                </w:p>
                <w:p w14:paraId="19C5B479" w14:textId="77777777" w:rsidR="002A7EDF" w:rsidRPr="00E54420" w:rsidRDefault="002A7EDF" w:rsidP="00157A08">
                  <w:pPr>
                    <w:spacing w:after="120" w:line="240" w:lineRule="auto"/>
                    <w:ind w:right="-115"/>
                    <w:contextualSpacing/>
                    <w:rPr>
                      <w:rFonts w:ascii="Book Antiqua" w:hAnsi="Book Antiqua" w:cs="Times New Roman"/>
                      <w:sz w:val="20"/>
                      <w:szCs w:val="20"/>
                    </w:rPr>
                  </w:pPr>
                  <w:r w:rsidRPr="00E54420">
                    <w:rPr>
                      <w:rFonts w:ascii="Book Antiqua" w:hAnsi="Book Antiqua" w:cs="Times New Roman"/>
                      <w:b/>
                      <w:bCs/>
                      <w:sz w:val="20"/>
                      <w:szCs w:val="20"/>
                    </w:rPr>
                    <w:t>Background:</w:t>
                  </w:r>
                  <w:r w:rsidRPr="00E54420">
                    <w:rPr>
                      <w:rFonts w:ascii="Book Antiqua" w:hAnsi="Book Antiqua" w:cs="Times New Roman"/>
                      <w:sz w:val="20"/>
                      <w:szCs w:val="20"/>
                    </w:rPr>
                    <w:t xml:space="preserve"> Despite the potential of gold as a strategic asset due to its diversification benefits and long-term value preservation, gold investment in BPKH remains significantly untapped.</w:t>
                  </w:r>
                </w:p>
                <w:p w14:paraId="50A9353C" w14:textId="471221B2" w:rsidR="002A7EDF" w:rsidRPr="00E54420" w:rsidRDefault="002A7EDF" w:rsidP="00157A08">
                  <w:pPr>
                    <w:spacing w:after="120" w:line="240" w:lineRule="auto"/>
                    <w:ind w:right="-115"/>
                    <w:contextualSpacing/>
                    <w:rPr>
                      <w:rFonts w:ascii="Book Antiqua" w:hAnsi="Book Antiqua" w:cs="Times New Roman"/>
                      <w:sz w:val="20"/>
                      <w:szCs w:val="20"/>
                    </w:rPr>
                  </w:pPr>
                  <w:r w:rsidRPr="00E54420">
                    <w:rPr>
                      <w:rFonts w:ascii="Book Antiqua" w:hAnsi="Book Antiqua" w:cs="Times New Roman"/>
                      <w:b/>
                      <w:bCs/>
                      <w:sz w:val="20"/>
                      <w:szCs w:val="20"/>
                    </w:rPr>
                    <w:t>Objectives:</w:t>
                  </w:r>
                  <w:r w:rsidRPr="00E54420">
                    <w:rPr>
                      <w:rFonts w:ascii="Book Antiqua" w:hAnsi="Book Antiqua" w:cs="Times New Roman"/>
                      <w:sz w:val="20"/>
                      <w:szCs w:val="20"/>
                    </w:rPr>
                    <w:t xml:space="preserve"> This research aims to analyze the influence of macroeconomic factors on price movements in </w:t>
                  </w:r>
                  <w:proofErr w:type="spellStart"/>
                  <w:r w:rsidRPr="00E54420">
                    <w:rPr>
                      <w:rFonts w:ascii="Book Antiqua" w:hAnsi="Book Antiqua" w:cs="Times New Roman"/>
                      <w:sz w:val="20"/>
                      <w:szCs w:val="20"/>
                    </w:rPr>
                    <w:t>Pegadaian</w:t>
                  </w:r>
                  <w:proofErr w:type="spellEnd"/>
                  <w:r w:rsidRPr="00E54420">
                    <w:rPr>
                      <w:rFonts w:ascii="Book Antiqua" w:hAnsi="Book Antiqua" w:cs="Times New Roman"/>
                      <w:sz w:val="20"/>
                      <w:szCs w:val="20"/>
                    </w:rPr>
                    <w:t xml:space="preserve"> gold accounts and analyze the factors that BPKH must pay attention to when investing in gold and which gold instrument is more recommended for BPKH.</w:t>
                  </w:r>
                </w:p>
                <w:p w14:paraId="066C303E" w14:textId="77777777" w:rsidR="002A7EDF" w:rsidRPr="00E54420" w:rsidRDefault="002A7EDF" w:rsidP="00157A08">
                  <w:pPr>
                    <w:spacing w:after="120" w:line="240" w:lineRule="auto"/>
                    <w:ind w:right="-115"/>
                    <w:contextualSpacing/>
                    <w:rPr>
                      <w:rFonts w:ascii="Book Antiqua" w:hAnsi="Book Antiqua" w:cs="Times New Roman"/>
                      <w:sz w:val="20"/>
                      <w:szCs w:val="20"/>
                    </w:rPr>
                  </w:pPr>
                  <w:r w:rsidRPr="00E54420">
                    <w:rPr>
                      <w:rFonts w:ascii="Book Antiqua" w:hAnsi="Book Antiqua" w:cs="Times New Roman"/>
                      <w:b/>
                      <w:bCs/>
                      <w:sz w:val="20"/>
                      <w:szCs w:val="20"/>
                    </w:rPr>
                    <w:t>Novelty:</w:t>
                  </w:r>
                  <w:r w:rsidRPr="00E54420">
                    <w:rPr>
                      <w:rFonts w:ascii="Book Antiqua" w:hAnsi="Book Antiqua" w:cs="Times New Roman"/>
                      <w:sz w:val="20"/>
                      <w:szCs w:val="20"/>
                    </w:rPr>
                    <w:t xml:space="preserve"> There has not been much research related to gold investment at BPKH, this research discusses matters related to the topic.</w:t>
                  </w:r>
                </w:p>
                <w:p w14:paraId="7F836E25" w14:textId="56D40E20" w:rsidR="002A7EDF" w:rsidRPr="00E54420" w:rsidRDefault="002A7EDF" w:rsidP="00157A08">
                  <w:pPr>
                    <w:spacing w:after="120" w:line="240" w:lineRule="auto"/>
                    <w:ind w:right="-115"/>
                    <w:contextualSpacing/>
                    <w:rPr>
                      <w:rFonts w:ascii="Book Antiqua" w:hAnsi="Book Antiqua" w:cs="Times New Roman"/>
                      <w:sz w:val="20"/>
                      <w:szCs w:val="20"/>
                    </w:rPr>
                  </w:pPr>
                  <w:r w:rsidRPr="00E54420">
                    <w:rPr>
                      <w:rFonts w:ascii="Book Antiqua" w:hAnsi="Book Antiqua" w:cs="Times New Roman"/>
                      <w:b/>
                      <w:bCs/>
                      <w:sz w:val="20"/>
                      <w:szCs w:val="20"/>
                    </w:rPr>
                    <w:t>Research Methodology/ Design:</w:t>
                  </w:r>
                  <w:r w:rsidRPr="00E54420">
                    <w:rPr>
                      <w:rFonts w:ascii="Book Antiqua" w:hAnsi="Book Antiqua" w:cs="Times New Roman"/>
                      <w:sz w:val="20"/>
                      <w:szCs w:val="20"/>
                    </w:rPr>
                    <w:t xml:space="preserve"> The influence of macroeconomic factors analysis on the price of </w:t>
                  </w:r>
                  <w:proofErr w:type="spellStart"/>
                  <w:r w:rsidRPr="00E54420">
                    <w:rPr>
                      <w:rFonts w:ascii="Book Antiqua" w:hAnsi="Book Antiqua" w:cs="Times New Roman"/>
                      <w:sz w:val="20"/>
                      <w:szCs w:val="20"/>
                    </w:rPr>
                    <w:t>Pegadaian</w:t>
                  </w:r>
                  <w:proofErr w:type="spellEnd"/>
                  <w:r w:rsidRPr="00E54420">
                    <w:rPr>
                      <w:rFonts w:ascii="Book Antiqua" w:hAnsi="Book Antiqua" w:cs="Times New Roman"/>
                      <w:sz w:val="20"/>
                      <w:szCs w:val="20"/>
                    </w:rPr>
                    <w:t xml:space="preserve"> gold accounts was carried out using a multiple linear regression method with five independent variables and one dependent variable. Analysis of the factors that BPKH must pay attention to when investing in gold is carried out using Analytic Network Process qualitative method</w:t>
                  </w:r>
                </w:p>
                <w:p w14:paraId="70258769" w14:textId="77777777" w:rsidR="002A7EDF" w:rsidRPr="00E54420" w:rsidRDefault="002A7EDF" w:rsidP="00157A08">
                  <w:pPr>
                    <w:spacing w:after="120" w:line="240" w:lineRule="auto"/>
                    <w:ind w:right="-115"/>
                    <w:contextualSpacing/>
                    <w:rPr>
                      <w:rFonts w:ascii="Book Antiqua" w:hAnsi="Book Antiqua" w:cs="Times New Roman"/>
                      <w:sz w:val="20"/>
                      <w:szCs w:val="20"/>
                    </w:rPr>
                  </w:pPr>
                  <w:r w:rsidRPr="00E54420">
                    <w:rPr>
                      <w:rFonts w:ascii="Book Antiqua" w:hAnsi="Book Antiqua" w:cs="Times New Roman"/>
                      <w:b/>
                      <w:bCs/>
                      <w:sz w:val="20"/>
                      <w:szCs w:val="20"/>
                    </w:rPr>
                    <w:t>Findings:</w:t>
                  </w:r>
                  <w:r w:rsidRPr="00E54420">
                    <w:rPr>
                      <w:rFonts w:ascii="Book Antiqua" w:hAnsi="Book Antiqua" w:cs="Times New Roman"/>
                      <w:sz w:val="20"/>
                      <w:szCs w:val="20"/>
                    </w:rPr>
                    <w:t xml:space="preserve"> Multiple linear regression analysis shows that the international gold price, exchange rate, inflation rate, and economic growth rate have significant effect on the price of </w:t>
                  </w:r>
                  <w:proofErr w:type="spellStart"/>
                  <w:r w:rsidRPr="00E54420">
                    <w:rPr>
                      <w:rFonts w:ascii="Book Antiqua" w:hAnsi="Book Antiqua" w:cs="Times New Roman"/>
                      <w:sz w:val="20"/>
                      <w:szCs w:val="20"/>
                    </w:rPr>
                    <w:t>Pegadaian</w:t>
                  </w:r>
                  <w:proofErr w:type="spellEnd"/>
                  <w:r w:rsidRPr="00E54420">
                    <w:rPr>
                      <w:rFonts w:ascii="Book Antiqua" w:hAnsi="Book Antiqua" w:cs="Times New Roman"/>
                      <w:sz w:val="20"/>
                      <w:szCs w:val="20"/>
                    </w:rPr>
                    <w:t xml:space="preserve"> gold accounts. The results of the ANP questionnaire state that BPKH needs to pay attention to several factors in gold investing: macroeconomic factors, risk factors and sharia compliance factors. As many as 90% of respondents recommended </w:t>
                  </w:r>
                  <w:proofErr w:type="spellStart"/>
                  <w:r w:rsidRPr="00E54420">
                    <w:rPr>
                      <w:rFonts w:ascii="Book Antiqua" w:hAnsi="Book Antiqua" w:cs="Times New Roman"/>
                      <w:sz w:val="20"/>
                      <w:szCs w:val="20"/>
                    </w:rPr>
                    <w:t>Pegadaian</w:t>
                  </w:r>
                  <w:proofErr w:type="spellEnd"/>
                  <w:r w:rsidRPr="00E54420">
                    <w:rPr>
                      <w:rFonts w:ascii="Book Antiqua" w:hAnsi="Book Antiqua" w:cs="Times New Roman"/>
                      <w:sz w:val="20"/>
                      <w:szCs w:val="20"/>
                    </w:rPr>
                    <w:t xml:space="preserve"> gold accounts as a better investment instrument for BPKH, meanwhile 10% of respondents preferred gold bullion instruments with clearer sharia contract considerations.</w:t>
                  </w:r>
                </w:p>
                <w:p w14:paraId="573EFED4" w14:textId="6AC8BEA7" w:rsidR="00B37556" w:rsidRPr="00E54420" w:rsidRDefault="002A7EDF" w:rsidP="00157A08">
                  <w:pPr>
                    <w:spacing w:after="120" w:line="240" w:lineRule="auto"/>
                    <w:ind w:right="-115"/>
                    <w:contextualSpacing/>
                    <w:rPr>
                      <w:rFonts w:ascii="Book Antiqua" w:hAnsi="Book Antiqua" w:cs="Times New Roman"/>
                      <w:sz w:val="20"/>
                      <w:szCs w:val="20"/>
                    </w:rPr>
                  </w:pPr>
                  <w:r w:rsidRPr="00E54420">
                    <w:rPr>
                      <w:rFonts w:ascii="Book Antiqua" w:hAnsi="Book Antiqua" w:cs="Times New Roman"/>
                      <w:b/>
                      <w:bCs/>
                      <w:sz w:val="20"/>
                      <w:szCs w:val="20"/>
                    </w:rPr>
                    <w:t>Implication:</w:t>
                  </w:r>
                  <w:r w:rsidRPr="00E54420">
                    <w:rPr>
                      <w:rFonts w:ascii="Book Antiqua" w:hAnsi="Book Antiqua" w:cs="Times New Roman"/>
                      <w:sz w:val="20"/>
                      <w:szCs w:val="20"/>
                    </w:rPr>
                    <w:t xml:space="preserve"> In order to diversify and maintain asset value when unstable economic conditions occur, BPKH should increase the gold investment portfolio with maximum limit is 5% of the total investment and/or bank placement of hajj fund. When investing in gold, BPKH should pay attention to macroeconomic factors: international gold prices, exchange rates, inflation rate and economic growth rates, as well as risk factors and sharia comply.</w:t>
                  </w:r>
                </w:p>
              </w:tc>
              <w:tc>
                <w:tcPr>
                  <w:tcW w:w="2194" w:type="dxa"/>
                </w:tcPr>
                <w:p w14:paraId="31574BAD" w14:textId="77777777" w:rsidR="006E01AE" w:rsidRPr="00E54420" w:rsidRDefault="006E01AE" w:rsidP="00157A08">
                  <w:pPr>
                    <w:spacing w:after="120" w:line="240" w:lineRule="auto"/>
                    <w:ind w:right="-118"/>
                    <w:contextualSpacing/>
                    <w:rPr>
                      <w:rFonts w:ascii="Book Antiqua" w:hAnsi="Book Antiqua" w:cs="Times New Roman"/>
                      <w:b/>
                      <w:bCs/>
                      <w:sz w:val="20"/>
                      <w:szCs w:val="20"/>
                    </w:rPr>
                  </w:pPr>
                </w:p>
                <w:p w14:paraId="67FA8D92" w14:textId="77777777" w:rsidR="00A872D3" w:rsidRDefault="00A872D3" w:rsidP="00157A08">
                  <w:pPr>
                    <w:spacing w:after="120" w:line="240" w:lineRule="auto"/>
                    <w:ind w:right="-118"/>
                    <w:contextualSpacing/>
                    <w:rPr>
                      <w:rFonts w:ascii="Book Antiqua" w:hAnsi="Book Antiqua" w:cs="Times New Roman"/>
                      <w:b/>
                      <w:bCs/>
                      <w:sz w:val="20"/>
                      <w:szCs w:val="20"/>
                    </w:rPr>
                  </w:pPr>
                </w:p>
                <w:p w14:paraId="421B6E1B" w14:textId="202ED7DD" w:rsidR="00535686" w:rsidRPr="00E54420" w:rsidRDefault="00F56663" w:rsidP="00157A08">
                  <w:pPr>
                    <w:spacing w:after="120" w:line="240" w:lineRule="auto"/>
                    <w:ind w:right="-118"/>
                    <w:contextualSpacing/>
                    <w:rPr>
                      <w:rFonts w:ascii="Book Antiqua" w:hAnsi="Book Antiqua" w:cs="Times New Roman"/>
                      <w:b/>
                      <w:bCs/>
                      <w:sz w:val="20"/>
                      <w:szCs w:val="20"/>
                    </w:rPr>
                  </w:pPr>
                  <w:r w:rsidRPr="00E54420">
                    <w:rPr>
                      <w:rFonts w:ascii="Book Antiqua" w:hAnsi="Book Antiqua" w:cs="Times New Roman"/>
                      <w:b/>
                      <w:bCs/>
                      <w:sz w:val="20"/>
                      <w:szCs w:val="20"/>
                    </w:rPr>
                    <w:t>Keyword</w:t>
                  </w:r>
                  <w:r w:rsidR="00AB577B" w:rsidRPr="00E54420">
                    <w:rPr>
                      <w:rFonts w:ascii="Book Antiqua" w:hAnsi="Book Antiqua" w:cs="Times New Roman"/>
                      <w:b/>
                      <w:bCs/>
                      <w:sz w:val="20"/>
                      <w:szCs w:val="20"/>
                    </w:rPr>
                    <w:t>s</w:t>
                  </w:r>
                  <w:r w:rsidRPr="00E54420">
                    <w:rPr>
                      <w:rFonts w:ascii="Book Antiqua" w:hAnsi="Book Antiqua" w:cs="Times New Roman"/>
                      <w:b/>
                      <w:bCs/>
                      <w:sz w:val="20"/>
                      <w:szCs w:val="20"/>
                    </w:rPr>
                    <w:t>:</w:t>
                  </w:r>
                </w:p>
                <w:p w14:paraId="2BD2834E" w14:textId="3CCD1554" w:rsidR="00F56663" w:rsidRPr="00A872D3" w:rsidRDefault="00111ABB" w:rsidP="00157A08">
                  <w:pPr>
                    <w:spacing w:after="120" w:line="240" w:lineRule="auto"/>
                    <w:ind w:right="-118"/>
                    <w:contextualSpacing/>
                    <w:rPr>
                      <w:rFonts w:ascii="Book Antiqua" w:hAnsi="Book Antiqua" w:cs="Times New Roman"/>
                      <w:sz w:val="20"/>
                      <w:szCs w:val="20"/>
                    </w:rPr>
                  </w:pPr>
                  <w:r w:rsidRPr="00A872D3">
                    <w:rPr>
                      <w:rFonts w:ascii="Book Antiqua" w:hAnsi="Book Antiqua" w:cs="Times New Roman"/>
                      <w:sz w:val="20"/>
                      <w:szCs w:val="20"/>
                    </w:rPr>
                    <w:t xml:space="preserve">BPKH, hajj fund, gold </w:t>
                  </w:r>
                  <w:proofErr w:type="spellStart"/>
                  <w:r w:rsidRPr="00A872D3">
                    <w:rPr>
                      <w:rFonts w:ascii="Book Antiqua" w:hAnsi="Book Antiqua" w:cs="Times New Roman"/>
                      <w:sz w:val="20"/>
                      <w:szCs w:val="20"/>
                    </w:rPr>
                    <w:t>invstment</w:t>
                  </w:r>
                  <w:proofErr w:type="spellEnd"/>
                </w:p>
                <w:p w14:paraId="3012756F" w14:textId="77777777" w:rsidR="00327654" w:rsidRPr="00E54420" w:rsidRDefault="00327654" w:rsidP="00157A08">
                  <w:pPr>
                    <w:spacing w:after="120" w:line="240" w:lineRule="auto"/>
                    <w:ind w:right="-118"/>
                    <w:contextualSpacing/>
                    <w:rPr>
                      <w:rFonts w:ascii="Book Antiqua" w:hAnsi="Book Antiqua" w:cs="Times New Roman"/>
                      <w:sz w:val="20"/>
                      <w:szCs w:val="20"/>
                    </w:rPr>
                  </w:pPr>
                </w:p>
                <w:p w14:paraId="7C69A472" w14:textId="77777777" w:rsidR="00327654" w:rsidRPr="00E54420" w:rsidRDefault="00327654" w:rsidP="00157A08">
                  <w:pPr>
                    <w:spacing w:after="120" w:line="240" w:lineRule="auto"/>
                    <w:ind w:right="-118"/>
                    <w:contextualSpacing/>
                    <w:rPr>
                      <w:rFonts w:ascii="Book Antiqua" w:hAnsi="Book Antiqua" w:cs="Times New Roman"/>
                      <w:sz w:val="20"/>
                      <w:szCs w:val="20"/>
                    </w:rPr>
                  </w:pPr>
                </w:p>
                <w:p w14:paraId="323E395F" w14:textId="401C04E3" w:rsidR="00F56663" w:rsidRPr="00E54420" w:rsidRDefault="00F56663" w:rsidP="00157A08">
                  <w:pPr>
                    <w:spacing w:after="120" w:line="240" w:lineRule="auto"/>
                    <w:ind w:right="-118"/>
                    <w:contextualSpacing/>
                    <w:rPr>
                      <w:rFonts w:ascii="Book Antiqua" w:hAnsi="Book Antiqua" w:cs="Times New Roman"/>
                      <w:b/>
                      <w:bCs/>
                      <w:sz w:val="20"/>
                      <w:szCs w:val="20"/>
                    </w:rPr>
                  </w:pPr>
                  <w:r w:rsidRPr="00E54420">
                    <w:rPr>
                      <w:rFonts w:ascii="Book Antiqua" w:hAnsi="Book Antiqua" w:cs="Times New Roman"/>
                      <w:b/>
                      <w:bCs/>
                      <w:sz w:val="20"/>
                      <w:szCs w:val="20"/>
                    </w:rPr>
                    <w:t>JEL Classification</w:t>
                  </w:r>
                  <w:r w:rsidR="000231DC" w:rsidRPr="00E54420">
                    <w:rPr>
                      <w:rFonts w:ascii="Book Antiqua" w:hAnsi="Book Antiqua" w:cs="Times New Roman"/>
                      <w:b/>
                      <w:bCs/>
                      <w:sz w:val="20"/>
                      <w:szCs w:val="20"/>
                    </w:rPr>
                    <w:t>s</w:t>
                  </w:r>
                  <w:r w:rsidRPr="00E54420">
                    <w:rPr>
                      <w:rFonts w:ascii="Book Antiqua" w:hAnsi="Book Antiqua" w:cs="Times New Roman"/>
                      <w:b/>
                      <w:bCs/>
                      <w:sz w:val="20"/>
                      <w:szCs w:val="20"/>
                    </w:rPr>
                    <w:t>:</w:t>
                  </w:r>
                </w:p>
                <w:p w14:paraId="26C2F63D" w14:textId="7DE3DC50" w:rsidR="00F56663" w:rsidRPr="00E54420" w:rsidRDefault="00356158" w:rsidP="00157A08">
                  <w:pPr>
                    <w:spacing w:after="120" w:line="240" w:lineRule="auto"/>
                    <w:ind w:right="-118"/>
                    <w:contextualSpacing/>
                    <w:jc w:val="left"/>
                    <w:rPr>
                      <w:rFonts w:ascii="Book Antiqua" w:hAnsi="Book Antiqua" w:cs="Times New Roman"/>
                      <w:sz w:val="20"/>
                      <w:szCs w:val="20"/>
                    </w:rPr>
                  </w:pPr>
                  <w:r>
                    <w:rPr>
                      <w:rFonts w:ascii="Book Antiqua" w:hAnsi="Book Antiqua" w:cs="Times New Roman"/>
                      <w:sz w:val="20"/>
                      <w:szCs w:val="20"/>
                    </w:rPr>
                    <w:t>E22, E44, G31</w:t>
                  </w:r>
                </w:p>
              </w:tc>
            </w:tr>
            <w:bookmarkEnd w:id="0"/>
            <w:bookmarkEnd w:id="1"/>
          </w:tbl>
          <w:p w14:paraId="6C821092" w14:textId="77777777" w:rsidR="00915EDA" w:rsidRPr="00E54420" w:rsidRDefault="00915EDA" w:rsidP="00157A08">
            <w:pPr>
              <w:tabs>
                <w:tab w:val="left" w:pos="1305"/>
              </w:tabs>
              <w:spacing w:after="120"/>
              <w:rPr>
                <w:rFonts w:ascii="Book Antiqua" w:hAnsi="Book Antiqua" w:cs="Times New Roman"/>
              </w:rPr>
            </w:pPr>
          </w:p>
          <w:p w14:paraId="73C7A695" w14:textId="3B487173" w:rsidR="00E54420" w:rsidRPr="00E54420" w:rsidRDefault="00E54420" w:rsidP="00157A08">
            <w:pPr>
              <w:spacing w:after="120" w:line="240" w:lineRule="auto"/>
              <w:ind w:right="-118"/>
              <w:contextualSpacing/>
              <w:rPr>
                <w:rFonts w:ascii="Book Antiqua" w:hAnsi="Book Antiqua" w:cs="Times New Roman"/>
              </w:rPr>
            </w:pPr>
            <w:r w:rsidRPr="00E54420">
              <w:rPr>
                <w:rFonts w:ascii="Book Antiqua" w:hAnsi="Book Antiqua" w:cs="Times New Roman"/>
              </w:rPr>
              <w:t>Received: February 11, 2024; Revised: August 23, 2024; Accepted: August 23, 2024; Available online: August 30, 2024</w:t>
            </w:r>
          </w:p>
          <w:p w14:paraId="5D1CCD5B" w14:textId="77777777" w:rsidR="00E54420" w:rsidRPr="00E54420" w:rsidRDefault="00E54420" w:rsidP="00157A08">
            <w:pPr>
              <w:tabs>
                <w:tab w:val="left" w:pos="1305"/>
              </w:tabs>
              <w:spacing w:after="120"/>
              <w:rPr>
                <w:rFonts w:ascii="Book Antiqua" w:hAnsi="Book Antiqua"/>
                <w:b/>
                <w:bCs/>
                <w:sz w:val="24"/>
                <w:szCs w:val="24"/>
              </w:rPr>
            </w:pPr>
          </w:p>
          <w:p w14:paraId="37488667" w14:textId="77777777" w:rsidR="00E54420" w:rsidRDefault="00E54420" w:rsidP="00157A08">
            <w:pPr>
              <w:pStyle w:val="ListParagraph"/>
              <w:tabs>
                <w:tab w:val="left" w:pos="1305"/>
              </w:tabs>
              <w:spacing w:after="120" w:line="240" w:lineRule="auto"/>
              <w:ind w:left="499"/>
              <w:contextualSpacing w:val="0"/>
              <w:rPr>
                <w:rFonts w:ascii="Book Antiqua" w:hAnsi="Book Antiqua"/>
                <w:b/>
                <w:bCs/>
                <w:sz w:val="24"/>
                <w:szCs w:val="24"/>
              </w:rPr>
            </w:pPr>
          </w:p>
          <w:p w14:paraId="15C799CB" w14:textId="77777777" w:rsidR="00CF0B01" w:rsidRPr="00E54420" w:rsidRDefault="00CF0B01" w:rsidP="00157A08">
            <w:pPr>
              <w:pStyle w:val="ListParagraph"/>
              <w:tabs>
                <w:tab w:val="left" w:pos="1305"/>
              </w:tabs>
              <w:spacing w:after="120" w:line="240" w:lineRule="auto"/>
              <w:ind w:left="499"/>
              <w:contextualSpacing w:val="0"/>
              <w:rPr>
                <w:rFonts w:ascii="Book Antiqua" w:hAnsi="Book Antiqua"/>
                <w:b/>
                <w:bCs/>
                <w:sz w:val="24"/>
                <w:szCs w:val="24"/>
              </w:rPr>
            </w:pPr>
          </w:p>
          <w:p w14:paraId="50185141" w14:textId="3F55B46D" w:rsidR="001602CB" w:rsidRPr="001602CB" w:rsidRDefault="00915EDA" w:rsidP="00157A08">
            <w:pPr>
              <w:pStyle w:val="ListParagraph"/>
              <w:numPr>
                <w:ilvl w:val="0"/>
                <w:numId w:val="1"/>
              </w:numPr>
              <w:tabs>
                <w:tab w:val="left" w:pos="1305"/>
              </w:tabs>
              <w:spacing w:after="120" w:line="240" w:lineRule="auto"/>
              <w:ind w:left="347" w:hanging="347"/>
              <w:contextualSpacing w:val="0"/>
              <w:rPr>
                <w:rFonts w:ascii="Book Antiqua" w:hAnsi="Book Antiqua"/>
                <w:b/>
                <w:bCs/>
                <w:sz w:val="24"/>
                <w:szCs w:val="24"/>
              </w:rPr>
            </w:pPr>
            <w:r w:rsidRPr="00E54420">
              <w:rPr>
                <w:rFonts w:ascii="Book Antiqua" w:hAnsi="Book Antiqua"/>
                <w:b/>
                <w:bCs/>
                <w:sz w:val="24"/>
                <w:szCs w:val="24"/>
                <w:lang w:val="en-US"/>
              </w:rPr>
              <w:t>Introduction</w:t>
            </w:r>
          </w:p>
          <w:p w14:paraId="406DF268" w14:textId="77777777" w:rsidR="001602CB" w:rsidRDefault="001602CB" w:rsidP="00157A08">
            <w:pPr>
              <w:spacing w:after="120" w:line="240" w:lineRule="auto"/>
              <w:rPr>
                <w:rFonts w:ascii="Book Antiqua" w:hAnsi="Book Antiqua"/>
                <w:sz w:val="24"/>
                <w:szCs w:val="24"/>
                <w:lang w:val="en-GB"/>
              </w:rPr>
            </w:pPr>
            <w:r w:rsidRPr="00E54420">
              <w:rPr>
                <w:rFonts w:ascii="Book Antiqua" w:hAnsi="Book Antiqua"/>
                <w:sz w:val="24"/>
                <w:szCs w:val="24"/>
                <w:lang w:val="en-GB"/>
              </w:rPr>
              <w:t>Hajj Financial Management Agency (BPKH) is an institution that manages Hajj finances. Hajj financial management is based on sharia principles, cautiousness, advantage, non-profit, transparency and accountability. Hajj financial management aims to improve the quality of the Hajj pilgrimage, rationality and efficiency in the use of BPIH and benefits for the Muslim community. The legal basis for establishing BPKH lies in Law number 34 of 2014 concerning Hajj financial management and Presidential Regulation number 110 of 2017 concerning BPKH. The main objective of establishing BPKH is to manage Hajj funds in Indonesia and be able to provide benefits for Muslims in Indonesia.</w:t>
            </w:r>
          </w:p>
          <w:p w14:paraId="54F95054" w14:textId="77777777" w:rsidR="001602CB" w:rsidRDefault="001602CB" w:rsidP="00157A08">
            <w:pPr>
              <w:spacing w:after="120" w:line="240" w:lineRule="auto"/>
              <w:ind w:firstLine="631"/>
              <w:rPr>
                <w:rFonts w:ascii="Book Antiqua" w:hAnsi="Book Antiqua"/>
                <w:sz w:val="24"/>
                <w:szCs w:val="24"/>
                <w:lang w:val="en-GB"/>
              </w:rPr>
            </w:pPr>
            <w:r w:rsidRPr="00E54420">
              <w:rPr>
                <w:rFonts w:ascii="Book Antiqua" w:hAnsi="Book Antiqua"/>
                <w:iCs/>
                <w:sz w:val="24"/>
                <w:szCs w:val="24"/>
              </w:rPr>
              <w:t>Bank placement and/or investment in Hajj Financial can be done in the form of banking products, securities investment, gold investment, direct investment and other investments. bank placement of Hajj Financial can be made in the form of sharia banking products. During the three years since BPKH establishment, bank placement of Hajj Financial were a maximum of 50% of the total bank placements and/or investments of Hajj Financial. Henceforth, after three years of BPKH establishment, bank placement of Hajj Financial were a maximum of 30% of the total bank placements and/or investments of Hajj Financial. The remaining of the total Hajj Financial should be allocated in investment instruments. Investments of Hajj Financial can be made in the form of securities investments, gold investments, direct investments and other investments. Hajj Financial Investment in the form of securities includes Government Sharia Securities issued by the central government, sharia securities issued by Bank Indonesia; and sharia securities regulated and supervised by the Financial Services Authority.</w:t>
            </w:r>
            <w:bookmarkStart w:id="2" w:name="_Hlk153474908"/>
          </w:p>
          <w:p w14:paraId="7B8B8A77" w14:textId="77777777" w:rsidR="001602CB" w:rsidRDefault="001602CB" w:rsidP="00157A08">
            <w:pPr>
              <w:spacing w:after="120" w:line="240" w:lineRule="auto"/>
              <w:ind w:firstLine="631"/>
              <w:rPr>
                <w:rFonts w:ascii="Book Antiqua" w:hAnsi="Book Antiqua"/>
                <w:sz w:val="24"/>
                <w:szCs w:val="24"/>
                <w:lang w:val="en-GB"/>
              </w:rPr>
            </w:pPr>
            <w:r w:rsidRPr="00E54420">
              <w:rPr>
                <w:rFonts w:ascii="Book Antiqua" w:hAnsi="Book Antiqua"/>
                <w:color w:val="000000"/>
                <w:sz w:val="24"/>
                <w:szCs w:val="24"/>
              </w:rPr>
              <w:t>According to Government Regulation number 5 of 2018, direct investment is a maximum of 20% (twenty percent) of total bank placement and/or investment of Hajj Financial. Other investments are a maximum of 10% (ten percent) of total bank placement and/or investment of Hajj Financial. The Hajj Financial Management Agency regulations stipulate that BPKH can invest in gold in the form of certified gold bullion produced and/or sold domestically and gold accounts managed by sharia financial institutions that are regulated and supervised by the Financial Services Authority. Gold investment at BPKH is limited to a maximum of 5% (five percent) of total bank placement and/or investment of Hajj Financial.</w:t>
            </w:r>
            <w:bookmarkEnd w:id="2"/>
          </w:p>
          <w:p w14:paraId="334C0346" w14:textId="77777777" w:rsidR="001602CB" w:rsidRDefault="001602CB" w:rsidP="00157A08">
            <w:pPr>
              <w:spacing w:after="120" w:line="240" w:lineRule="auto"/>
              <w:ind w:firstLine="631"/>
              <w:rPr>
                <w:rFonts w:ascii="Book Antiqua" w:hAnsi="Book Antiqua"/>
                <w:color w:val="000000"/>
                <w:sz w:val="24"/>
                <w:szCs w:val="24"/>
              </w:rPr>
            </w:pPr>
            <w:r w:rsidRPr="00E54420">
              <w:rPr>
                <w:rFonts w:ascii="Book Antiqua" w:hAnsi="Book Antiqua"/>
                <w:color w:val="000000"/>
                <w:sz w:val="24"/>
                <w:szCs w:val="24"/>
              </w:rPr>
              <w:t xml:space="preserve">Hajj is part of the pillars of Islam for people who are able to carry it out. The Hajj law is </w:t>
            </w:r>
            <w:proofErr w:type="spellStart"/>
            <w:r w:rsidRPr="00E54420">
              <w:rPr>
                <w:rFonts w:ascii="Book Antiqua" w:hAnsi="Book Antiqua"/>
                <w:color w:val="000000"/>
                <w:sz w:val="24"/>
                <w:szCs w:val="24"/>
              </w:rPr>
              <w:t>fardhu</w:t>
            </w:r>
            <w:proofErr w:type="spellEnd"/>
            <w:r w:rsidRPr="00E54420">
              <w:rPr>
                <w:rFonts w:ascii="Book Antiqua" w:hAnsi="Book Antiqua"/>
                <w:color w:val="000000"/>
                <w:sz w:val="24"/>
                <w:szCs w:val="24"/>
              </w:rPr>
              <w:t xml:space="preserve"> '</w:t>
            </w:r>
            <w:proofErr w:type="spellStart"/>
            <w:r w:rsidRPr="00E54420">
              <w:rPr>
                <w:rFonts w:ascii="Book Antiqua" w:hAnsi="Book Antiqua"/>
                <w:color w:val="000000"/>
                <w:sz w:val="24"/>
                <w:szCs w:val="24"/>
              </w:rPr>
              <w:t>ain</w:t>
            </w:r>
            <w:proofErr w:type="spellEnd"/>
            <w:r w:rsidRPr="00E54420">
              <w:rPr>
                <w:rFonts w:ascii="Book Antiqua" w:hAnsi="Book Antiqua"/>
                <w:color w:val="000000"/>
                <w:sz w:val="24"/>
                <w:szCs w:val="24"/>
              </w:rPr>
              <w:t>, obligatory once in a lifetime for every capable Muslim. The obligation of Hajj has been mentioned in the Qur'an, Hadith and ijma' (agreement of the ulama). The argument of the Qur'an is found in Ali Imron's letter verse 97 which reads "</w:t>
            </w:r>
            <w:r w:rsidRPr="00E54420">
              <w:rPr>
                <w:rFonts w:ascii="Book Antiqua" w:hAnsi="Book Antiqua"/>
                <w:i/>
                <w:iCs/>
                <w:color w:val="000000"/>
                <w:sz w:val="24"/>
                <w:szCs w:val="24"/>
              </w:rPr>
              <w:t>Performing the Hajj is a human obligation towards Allah, namely (for) people who are able to travel to Baitullah. Whoever denies (the obligation of Hajj</w:t>
            </w:r>
            <w:proofErr w:type="gramStart"/>
            <w:r w:rsidRPr="00E54420">
              <w:rPr>
                <w:rFonts w:ascii="Book Antiqua" w:hAnsi="Book Antiqua"/>
                <w:i/>
                <w:iCs/>
                <w:color w:val="000000"/>
                <w:sz w:val="24"/>
                <w:szCs w:val="24"/>
              </w:rPr>
              <w:t>),</w:t>
            </w:r>
            <w:proofErr w:type="gramEnd"/>
            <w:r w:rsidRPr="00E54420">
              <w:rPr>
                <w:rFonts w:ascii="Book Antiqua" w:hAnsi="Book Antiqua"/>
                <w:i/>
                <w:iCs/>
                <w:color w:val="000000"/>
                <w:sz w:val="24"/>
                <w:szCs w:val="24"/>
              </w:rPr>
              <w:t xml:space="preserve"> then indeed Allah is Rich (does not need anything) from the universe</w:t>
            </w:r>
            <w:r w:rsidRPr="00E54420">
              <w:rPr>
                <w:rFonts w:ascii="Book Antiqua" w:hAnsi="Book Antiqua"/>
                <w:color w:val="000000"/>
                <w:sz w:val="24"/>
                <w:szCs w:val="24"/>
              </w:rPr>
              <w:t>”. The hadith reference regarding the obligation of the Hajj pilgrimage was obtained from the Hadith History of Bukhari no. 8 and Muslim no. 16 which reads "</w:t>
            </w:r>
            <w:r w:rsidRPr="00E54420">
              <w:rPr>
                <w:rFonts w:ascii="Book Antiqua" w:hAnsi="Book Antiqua"/>
                <w:i/>
                <w:iCs/>
                <w:color w:val="000000"/>
                <w:sz w:val="24"/>
                <w:szCs w:val="24"/>
              </w:rPr>
              <w:t>Islam is built on five things: testifying that there is no god worthy of worship except Allah and confessing that Muhammad is His messenger, establishing prayers, paying zakat, performing the Hajj and fasting in the month of Ramadan</w:t>
            </w:r>
            <w:r w:rsidRPr="00E54420">
              <w:rPr>
                <w:rFonts w:ascii="Book Antiqua" w:hAnsi="Book Antiqua"/>
                <w:color w:val="000000"/>
                <w:sz w:val="24"/>
                <w:szCs w:val="24"/>
              </w:rPr>
              <w:t xml:space="preserve">". There are so many hadiths </w:t>
            </w:r>
            <w:r w:rsidRPr="00E54420">
              <w:rPr>
                <w:rFonts w:ascii="Book Antiqua" w:hAnsi="Book Antiqua"/>
                <w:color w:val="000000"/>
                <w:sz w:val="24"/>
                <w:szCs w:val="24"/>
              </w:rPr>
              <w:lastRenderedPageBreak/>
              <w:t xml:space="preserve">that state that Hajj is obligatory, reaching the level of </w:t>
            </w:r>
            <w:proofErr w:type="spellStart"/>
            <w:r w:rsidRPr="00E54420">
              <w:rPr>
                <w:rFonts w:ascii="Book Antiqua" w:hAnsi="Book Antiqua"/>
                <w:color w:val="000000"/>
                <w:sz w:val="24"/>
                <w:szCs w:val="24"/>
              </w:rPr>
              <w:t>mutawatir</w:t>
            </w:r>
            <w:proofErr w:type="spellEnd"/>
            <w:r w:rsidRPr="00E54420">
              <w:rPr>
                <w:rFonts w:ascii="Book Antiqua" w:hAnsi="Book Antiqua"/>
                <w:color w:val="000000"/>
                <w:sz w:val="24"/>
                <w:szCs w:val="24"/>
              </w:rPr>
              <w:t xml:space="preserve"> (very many paths) so that it can be confirmed that the Hajj law is obligatory. Due to this obligation, the number of Indonesian Muslims registering to carry out the Hajj pilgrimage continues to increase, while the available Hajj quota is limited. Currently the number of waiting lists for the Indonesian Hajj has reached 5.2 million people (hajikemenag.go.id). The increase in the number of waiting Hajj pilgrims has resulted in a large accumulation of hajj fund. The large amount of hajj fund has the potential to increase the benefit value which can be used for improving the quality of hajj pilgrimage.</w:t>
            </w:r>
          </w:p>
          <w:p w14:paraId="06265AA4" w14:textId="0DF45CDF" w:rsidR="001602CB" w:rsidRDefault="001602CB" w:rsidP="007A653A">
            <w:pPr>
              <w:spacing w:after="240" w:line="240" w:lineRule="auto"/>
              <w:ind w:firstLine="629"/>
              <w:rPr>
                <w:rFonts w:ascii="Book Antiqua" w:hAnsi="Book Antiqua"/>
                <w:color w:val="000000"/>
                <w:sz w:val="24"/>
                <w:szCs w:val="24"/>
              </w:rPr>
            </w:pPr>
            <w:r w:rsidRPr="00E54420">
              <w:rPr>
                <w:rFonts w:ascii="Book Antiqua" w:hAnsi="Book Antiqua"/>
                <w:color w:val="000000"/>
                <w:sz w:val="24"/>
                <w:szCs w:val="24"/>
              </w:rPr>
              <w:t>In 2018, the real cost of Hajj per person was ± IDR69 million, with a benefit value from BPKH of ± IDR34 million per person (49%). The benefit value is taken from the optimization of Hajj Fund managed by BPKH which originates from the initial deposit deposited by prospective pilgrims when they first register.</w:t>
            </w:r>
          </w:p>
          <w:p w14:paraId="087000A0" w14:textId="77777777" w:rsidR="001602CB" w:rsidRPr="00E54420" w:rsidRDefault="001602CB" w:rsidP="00157A08">
            <w:pPr>
              <w:spacing w:after="120" w:line="240" w:lineRule="auto"/>
              <w:jc w:val="center"/>
              <w:rPr>
                <w:rFonts w:ascii="Book Antiqua" w:hAnsi="Book Antiqua"/>
                <w:b/>
                <w:bCs/>
                <w:color w:val="000000"/>
                <w:sz w:val="24"/>
                <w:szCs w:val="24"/>
              </w:rPr>
            </w:pPr>
            <w:r w:rsidRPr="00E54420">
              <w:rPr>
                <w:rFonts w:ascii="Book Antiqua" w:hAnsi="Book Antiqua"/>
                <w:b/>
                <w:bCs/>
                <w:color w:val="000000"/>
                <w:sz w:val="24"/>
                <w:szCs w:val="24"/>
              </w:rPr>
              <w:t>Tabel 1. Composition of Regular Hajj Costs Per Pilgrim (in IDR Million)</w:t>
            </w:r>
          </w:p>
          <w:tbl>
            <w:tblPr>
              <w:tblW w:w="9089" w:type="dxa"/>
              <w:tblInd w:w="59" w:type="dxa"/>
              <w:tblBorders>
                <w:top w:val="single" w:sz="4" w:space="0" w:color="auto"/>
                <w:bottom w:val="single" w:sz="4" w:space="0" w:color="auto"/>
              </w:tblBorders>
              <w:tblLook w:val="04A0" w:firstRow="1" w:lastRow="0" w:firstColumn="1" w:lastColumn="0" w:noHBand="0" w:noVBand="1"/>
            </w:tblPr>
            <w:tblGrid>
              <w:gridCol w:w="2410"/>
              <w:gridCol w:w="992"/>
              <w:gridCol w:w="1155"/>
              <w:gridCol w:w="1130"/>
              <w:gridCol w:w="1134"/>
              <w:gridCol w:w="1134"/>
              <w:gridCol w:w="1134"/>
            </w:tblGrid>
            <w:tr w:rsidR="001602CB" w:rsidRPr="00E54420" w14:paraId="1B1EDFD0" w14:textId="77777777" w:rsidTr="007F2E78">
              <w:trPr>
                <w:trHeight w:val="300"/>
              </w:trPr>
              <w:tc>
                <w:tcPr>
                  <w:tcW w:w="2410" w:type="dxa"/>
                  <w:tcBorders>
                    <w:top w:val="single" w:sz="4" w:space="0" w:color="auto"/>
                    <w:bottom w:val="single" w:sz="4" w:space="0" w:color="auto"/>
                  </w:tcBorders>
                  <w:shd w:val="clear" w:color="auto" w:fill="auto"/>
                  <w:noWrap/>
                  <w:hideMark/>
                </w:tcPr>
                <w:p w14:paraId="4BD4B2B2" w14:textId="77777777" w:rsidR="001602CB" w:rsidRPr="00E54420" w:rsidRDefault="001602CB" w:rsidP="00427373">
                  <w:pPr>
                    <w:spacing w:after="0" w:line="240" w:lineRule="auto"/>
                    <w:jc w:val="center"/>
                    <w:rPr>
                      <w:rFonts w:ascii="Book Antiqua" w:hAnsi="Book Antiqua"/>
                      <w:b/>
                      <w:bCs/>
                      <w:color w:val="000000"/>
                      <w:lang w:val="en-ID" w:eastAsia="en-ID"/>
                    </w:rPr>
                  </w:pPr>
                  <w:r w:rsidRPr="00E54420">
                    <w:rPr>
                      <w:rFonts w:ascii="Book Antiqua" w:hAnsi="Book Antiqua"/>
                      <w:b/>
                      <w:bCs/>
                      <w:color w:val="000000"/>
                      <w:lang w:val="en-ID" w:eastAsia="en-ID"/>
                    </w:rPr>
                    <w:t>Year</w:t>
                  </w:r>
                </w:p>
              </w:tc>
              <w:tc>
                <w:tcPr>
                  <w:tcW w:w="992" w:type="dxa"/>
                  <w:tcBorders>
                    <w:top w:val="single" w:sz="4" w:space="0" w:color="auto"/>
                    <w:bottom w:val="single" w:sz="4" w:space="0" w:color="auto"/>
                  </w:tcBorders>
                  <w:shd w:val="clear" w:color="auto" w:fill="auto"/>
                  <w:noWrap/>
                  <w:hideMark/>
                </w:tcPr>
                <w:p w14:paraId="39D835D3" w14:textId="77777777" w:rsidR="001602CB" w:rsidRPr="00E54420" w:rsidRDefault="001602CB" w:rsidP="00427373">
                  <w:pPr>
                    <w:spacing w:after="0" w:line="240" w:lineRule="auto"/>
                    <w:jc w:val="center"/>
                    <w:rPr>
                      <w:rFonts w:ascii="Book Antiqua" w:hAnsi="Book Antiqua"/>
                      <w:b/>
                      <w:bCs/>
                      <w:color w:val="000000"/>
                      <w:lang w:val="en-ID" w:eastAsia="en-ID"/>
                    </w:rPr>
                  </w:pPr>
                  <w:r w:rsidRPr="00E54420">
                    <w:rPr>
                      <w:rFonts w:ascii="Book Antiqua" w:hAnsi="Book Antiqua"/>
                      <w:b/>
                      <w:bCs/>
                      <w:color w:val="000000"/>
                      <w:lang w:val="en-ID" w:eastAsia="en-ID"/>
                    </w:rPr>
                    <w:t>2017</w:t>
                  </w:r>
                </w:p>
              </w:tc>
              <w:tc>
                <w:tcPr>
                  <w:tcW w:w="1155" w:type="dxa"/>
                  <w:tcBorders>
                    <w:top w:val="single" w:sz="4" w:space="0" w:color="auto"/>
                    <w:bottom w:val="single" w:sz="4" w:space="0" w:color="auto"/>
                  </w:tcBorders>
                  <w:shd w:val="clear" w:color="auto" w:fill="auto"/>
                  <w:noWrap/>
                  <w:hideMark/>
                </w:tcPr>
                <w:p w14:paraId="3695AD5B" w14:textId="77777777" w:rsidR="001602CB" w:rsidRPr="00E54420" w:rsidRDefault="001602CB" w:rsidP="00427373">
                  <w:pPr>
                    <w:spacing w:after="0" w:line="240" w:lineRule="auto"/>
                    <w:jc w:val="center"/>
                    <w:rPr>
                      <w:rFonts w:ascii="Book Antiqua" w:hAnsi="Book Antiqua"/>
                      <w:b/>
                      <w:bCs/>
                      <w:color w:val="000000"/>
                      <w:lang w:val="en-ID" w:eastAsia="en-ID"/>
                    </w:rPr>
                  </w:pPr>
                  <w:r w:rsidRPr="00E54420">
                    <w:rPr>
                      <w:rFonts w:ascii="Book Antiqua" w:hAnsi="Book Antiqua"/>
                      <w:b/>
                      <w:bCs/>
                      <w:color w:val="000000"/>
                      <w:lang w:val="en-ID" w:eastAsia="en-ID"/>
                    </w:rPr>
                    <w:t>2018</w:t>
                  </w:r>
                </w:p>
              </w:tc>
              <w:tc>
                <w:tcPr>
                  <w:tcW w:w="1130" w:type="dxa"/>
                  <w:tcBorders>
                    <w:top w:val="single" w:sz="4" w:space="0" w:color="auto"/>
                    <w:bottom w:val="single" w:sz="4" w:space="0" w:color="auto"/>
                  </w:tcBorders>
                  <w:shd w:val="clear" w:color="auto" w:fill="auto"/>
                  <w:noWrap/>
                  <w:hideMark/>
                </w:tcPr>
                <w:p w14:paraId="27283D66" w14:textId="77777777" w:rsidR="001602CB" w:rsidRPr="00E54420" w:rsidRDefault="001602CB" w:rsidP="00427373">
                  <w:pPr>
                    <w:spacing w:after="0" w:line="240" w:lineRule="auto"/>
                    <w:jc w:val="center"/>
                    <w:rPr>
                      <w:rFonts w:ascii="Book Antiqua" w:hAnsi="Book Antiqua"/>
                      <w:b/>
                      <w:bCs/>
                      <w:color w:val="000000"/>
                      <w:lang w:val="en-ID" w:eastAsia="en-ID"/>
                    </w:rPr>
                  </w:pPr>
                  <w:r w:rsidRPr="00E54420">
                    <w:rPr>
                      <w:rFonts w:ascii="Book Antiqua" w:hAnsi="Book Antiqua"/>
                      <w:b/>
                      <w:bCs/>
                      <w:color w:val="000000"/>
                      <w:lang w:val="en-ID" w:eastAsia="en-ID"/>
                    </w:rPr>
                    <w:t>2019</w:t>
                  </w:r>
                </w:p>
              </w:tc>
              <w:tc>
                <w:tcPr>
                  <w:tcW w:w="1134" w:type="dxa"/>
                  <w:tcBorders>
                    <w:top w:val="single" w:sz="4" w:space="0" w:color="auto"/>
                    <w:bottom w:val="single" w:sz="4" w:space="0" w:color="auto"/>
                  </w:tcBorders>
                  <w:shd w:val="clear" w:color="auto" w:fill="auto"/>
                  <w:noWrap/>
                  <w:hideMark/>
                </w:tcPr>
                <w:p w14:paraId="4DC83484" w14:textId="77777777" w:rsidR="001602CB" w:rsidRPr="00E54420" w:rsidRDefault="001602CB" w:rsidP="00427373">
                  <w:pPr>
                    <w:spacing w:after="0" w:line="240" w:lineRule="auto"/>
                    <w:jc w:val="center"/>
                    <w:rPr>
                      <w:rFonts w:ascii="Book Antiqua" w:hAnsi="Book Antiqua"/>
                      <w:b/>
                      <w:bCs/>
                      <w:color w:val="000000"/>
                      <w:lang w:val="en-ID" w:eastAsia="en-ID"/>
                    </w:rPr>
                  </w:pPr>
                  <w:r w:rsidRPr="00E54420">
                    <w:rPr>
                      <w:rFonts w:ascii="Book Antiqua" w:hAnsi="Book Antiqua"/>
                      <w:b/>
                      <w:bCs/>
                      <w:color w:val="000000"/>
                      <w:lang w:val="en-ID" w:eastAsia="en-ID"/>
                    </w:rPr>
                    <w:t>2022</w:t>
                  </w:r>
                </w:p>
              </w:tc>
              <w:tc>
                <w:tcPr>
                  <w:tcW w:w="1134" w:type="dxa"/>
                  <w:tcBorders>
                    <w:top w:val="single" w:sz="4" w:space="0" w:color="auto"/>
                    <w:bottom w:val="single" w:sz="4" w:space="0" w:color="auto"/>
                  </w:tcBorders>
                  <w:shd w:val="clear" w:color="auto" w:fill="auto"/>
                  <w:noWrap/>
                  <w:hideMark/>
                </w:tcPr>
                <w:p w14:paraId="14938A37" w14:textId="77777777" w:rsidR="001602CB" w:rsidRPr="00E54420" w:rsidRDefault="001602CB" w:rsidP="00427373">
                  <w:pPr>
                    <w:spacing w:after="0" w:line="240" w:lineRule="auto"/>
                    <w:jc w:val="center"/>
                    <w:rPr>
                      <w:rFonts w:ascii="Book Antiqua" w:hAnsi="Book Antiqua"/>
                      <w:b/>
                      <w:bCs/>
                      <w:color w:val="000000"/>
                      <w:lang w:val="en-ID" w:eastAsia="en-ID"/>
                    </w:rPr>
                  </w:pPr>
                  <w:r w:rsidRPr="00E54420">
                    <w:rPr>
                      <w:rFonts w:ascii="Book Antiqua" w:hAnsi="Book Antiqua"/>
                      <w:b/>
                      <w:bCs/>
                      <w:color w:val="000000"/>
                      <w:lang w:val="en-ID" w:eastAsia="en-ID"/>
                    </w:rPr>
                    <w:t>2023</w:t>
                  </w:r>
                </w:p>
              </w:tc>
              <w:tc>
                <w:tcPr>
                  <w:tcW w:w="1134" w:type="dxa"/>
                  <w:tcBorders>
                    <w:top w:val="single" w:sz="4" w:space="0" w:color="auto"/>
                    <w:bottom w:val="single" w:sz="4" w:space="0" w:color="auto"/>
                  </w:tcBorders>
                  <w:shd w:val="clear" w:color="auto" w:fill="auto"/>
                  <w:noWrap/>
                  <w:hideMark/>
                </w:tcPr>
                <w:p w14:paraId="7B2A26C9" w14:textId="77777777" w:rsidR="001602CB" w:rsidRPr="00E54420" w:rsidRDefault="001602CB" w:rsidP="00427373">
                  <w:pPr>
                    <w:spacing w:after="0" w:line="240" w:lineRule="auto"/>
                    <w:jc w:val="center"/>
                    <w:rPr>
                      <w:rFonts w:ascii="Book Antiqua" w:hAnsi="Book Antiqua"/>
                      <w:b/>
                      <w:bCs/>
                      <w:color w:val="000000"/>
                      <w:lang w:val="en-ID" w:eastAsia="en-ID"/>
                    </w:rPr>
                  </w:pPr>
                  <w:r w:rsidRPr="00E54420">
                    <w:rPr>
                      <w:rFonts w:ascii="Book Antiqua" w:hAnsi="Book Antiqua"/>
                      <w:b/>
                      <w:bCs/>
                      <w:color w:val="000000"/>
                      <w:lang w:val="en-ID" w:eastAsia="en-ID"/>
                    </w:rPr>
                    <w:t>2024 (P)</w:t>
                  </w:r>
                </w:p>
              </w:tc>
            </w:tr>
            <w:tr w:rsidR="001602CB" w:rsidRPr="00E54420" w14:paraId="722336FA" w14:textId="77777777" w:rsidTr="007F2E78">
              <w:trPr>
                <w:trHeight w:val="300"/>
              </w:trPr>
              <w:tc>
                <w:tcPr>
                  <w:tcW w:w="2410" w:type="dxa"/>
                  <w:tcBorders>
                    <w:top w:val="single" w:sz="4" w:space="0" w:color="auto"/>
                  </w:tcBorders>
                  <w:shd w:val="clear" w:color="auto" w:fill="auto"/>
                  <w:noWrap/>
                  <w:hideMark/>
                </w:tcPr>
                <w:p w14:paraId="0A7CEC88" w14:textId="77777777" w:rsidR="001602CB" w:rsidRPr="00E54420" w:rsidRDefault="001602CB" w:rsidP="00427373">
                  <w:pPr>
                    <w:spacing w:after="0" w:line="240" w:lineRule="auto"/>
                    <w:rPr>
                      <w:rFonts w:ascii="Book Antiqua" w:hAnsi="Book Antiqua"/>
                      <w:color w:val="000000"/>
                      <w:lang w:val="en-ID" w:eastAsia="en-ID"/>
                    </w:rPr>
                  </w:pPr>
                  <w:r w:rsidRPr="00E54420">
                    <w:rPr>
                      <w:rFonts w:ascii="Book Antiqua" w:hAnsi="Book Antiqua"/>
                      <w:color w:val="000000"/>
                      <w:lang w:val="en-ID" w:eastAsia="en-ID"/>
                    </w:rPr>
                    <w:t>BPKH’s Benefit Value</w:t>
                  </w:r>
                </w:p>
              </w:tc>
              <w:tc>
                <w:tcPr>
                  <w:tcW w:w="992" w:type="dxa"/>
                  <w:tcBorders>
                    <w:top w:val="single" w:sz="4" w:space="0" w:color="auto"/>
                  </w:tcBorders>
                  <w:shd w:val="clear" w:color="auto" w:fill="auto"/>
                  <w:noWrap/>
                  <w:hideMark/>
                </w:tcPr>
                <w:p w14:paraId="758AD932" w14:textId="77777777" w:rsidR="001602CB" w:rsidRPr="00E54420" w:rsidRDefault="001602CB" w:rsidP="00427373">
                  <w:pPr>
                    <w:spacing w:after="0" w:line="240" w:lineRule="auto"/>
                    <w:jc w:val="center"/>
                    <w:rPr>
                      <w:rFonts w:ascii="Book Antiqua" w:hAnsi="Book Antiqua"/>
                      <w:color w:val="000000"/>
                      <w:lang w:val="en-ID" w:eastAsia="en-ID"/>
                    </w:rPr>
                  </w:pPr>
                  <w:r w:rsidRPr="00E54420">
                    <w:rPr>
                      <w:rFonts w:ascii="Book Antiqua" w:hAnsi="Book Antiqua"/>
                      <w:color w:val="000000"/>
                      <w:lang w:val="en-ID" w:eastAsia="en-ID"/>
                    </w:rPr>
                    <w:t>26,90</w:t>
                  </w:r>
                </w:p>
              </w:tc>
              <w:tc>
                <w:tcPr>
                  <w:tcW w:w="1155" w:type="dxa"/>
                  <w:tcBorders>
                    <w:top w:val="single" w:sz="4" w:space="0" w:color="auto"/>
                  </w:tcBorders>
                  <w:shd w:val="clear" w:color="auto" w:fill="auto"/>
                  <w:noWrap/>
                  <w:hideMark/>
                </w:tcPr>
                <w:p w14:paraId="6ABB516A" w14:textId="77777777" w:rsidR="001602CB" w:rsidRPr="00E54420" w:rsidRDefault="001602CB" w:rsidP="00427373">
                  <w:pPr>
                    <w:spacing w:after="0" w:line="240" w:lineRule="auto"/>
                    <w:jc w:val="center"/>
                    <w:rPr>
                      <w:rFonts w:ascii="Book Antiqua" w:hAnsi="Book Antiqua"/>
                      <w:color w:val="000000"/>
                      <w:lang w:val="en-ID" w:eastAsia="en-ID"/>
                    </w:rPr>
                  </w:pPr>
                  <w:r w:rsidRPr="00E54420">
                    <w:rPr>
                      <w:rFonts w:ascii="Book Antiqua" w:hAnsi="Book Antiqua"/>
                      <w:color w:val="000000"/>
                      <w:lang w:val="en-ID" w:eastAsia="en-ID"/>
                    </w:rPr>
                    <w:t>33,72</w:t>
                  </w:r>
                </w:p>
              </w:tc>
              <w:tc>
                <w:tcPr>
                  <w:tcW w:w="1130" w:type="dxa"/>
                  <w:tcBorders>
                    <w:top w:val="single" w:sz="4" w:space="0" w:color="auto"/>
                  </w:tcBorders>
                  <w:shd w:val="clear" w:color="auto" w:fill="auto"/>
                  <w:noWrap/>
                  <w:hideMark/>
                </w:tcPr>
                <w:p w14:paraId="2F2F5242" w14:textId="77777777" w:rsidR="001602CB" w:rsidRPr="00E54420" w:rsidRDefault="001602CB" w:rsidP="00427373">
                  <w:pPr>
                    <w:spacing w:after="0" w:line="240" w:lineRule="auto"/>
                    <w:jc w:val="center"/>
                    <w:rPr>
                      <w:rFonts w:ascii="Book Antiqua" w:hAnsi="Book Antiqua"/>
                      <w:color w:val="000000"/>
                      <w:lang w:val="en-ID" w:eastAsia="en-ID"/>
                    </w:rPr>
                  </w:pPr>
                  <w:r w:rsidRPr="00E54420">
                    <w:rPr>
                      <w:rFonts w:ascii="Book Antiqua" w:hAnsi="Book Antiqua"/>
                      <w:color w:val="000000"/>
                      <w:lang w:val="en-ID" w:eastAsia="en-ID"/>
                    </w:rPr>
                    <w:t>33,92</w:t>
                  </w:r>
                </w:p>
              </w:tc>
              <w:tc>
                <w:tcPr>
                  <w:tcW w:w="1134" w:type="dxa"/>
                  <w:tcBorders>
                    <w:top w:val="single" w:sz="4" w:space="0" w:color="auto"/>
                  </w:tcBorders>
                  <w:shd w:val="clear" w:color="auto" w:fill="auto"/>
                  <w:noWrap/>
                  <w:hideMark/>
                </w:tcPr>
                <w:p w14:paraId="45738664" w14:textId="77777777" w:rsidR="001602CB" w:rsidRPr="00E54420" w:rsidRDefault="001602CB" w:rsidP="00427373">
                  <w:pPr>
                    <w:spacing w:after="0" w:line="240" w:lineRule="auto"/>
                    <w:jc w:val="center"/>
                    <w:rPr>
                      <w:rFonts w:ascii="Book Antiqua" w:hAnsi="Book Antiqua"/>
                      <w:color w:val="000000"/>
                      <w:lang w:val="en-ID" w:eastAsia="en-ID"/>
                    </w:rPr>
                  </w:pPr>
                  <w:r w:rsidRPr="00E54420">
                    <w:rPr>
                      <w:rFonts w:ascii="Book Antiqua" w:hAnsi="Book Antiqua"/>
                      <w:color w:val="000000"/>
                      <w:lang w:val="en-ID" w:eastAsia="en-ID"/>
                    </w:rPr>
                    <w:t>57,91</w:t>
                  </w:r>
                </w:p>
              </w:tc>
              <w:tc>
                <w:tcPr>
                  <w:tcW w:w="1134" w:type="dxa"/>
                  <w:tcBorders>
                    <w:top w:val="single" w:sz="4" w:space="0" w:color="auto"/>
                  </w:tcBorders>
                  <w:shd w:val="clear" w:color="auto" w:fill="auto"/>
                  <w:noWrap/>
                  <w:hideMark/>
                </w:tcPr>
                <w:p w14:paraId="7BF7910D" w14:textId="77777777" w:rsidR="001602CB" w:rsidRPr="00E54420" w:rsidRDefault="001602CB" w:rsidP="00427373">
                  <w:pPr>
                    <w:spacing w:after="0" w:line="240" w:lineRule="auto"/>
                    <w:jc w:val="center"/>
                    <w:rPr>
                      <w:rFonts w:ascii="Book Antiqua" w:hAnsi="Book Antiqua"/>
                      <w:color w:val="000000"/>
                      <w:lang w:val="en-ID" w:eastAsia="en-ID"/>
                    </w:rPr>
                  </w:pPr>
                  <w:r w:rsidRPr="00E54420">
                    <w:rPr>
                      <w:rFonts w:ascii="Book Antiqua" w:hAnsi="Book Antiqua"/>
                      <w:color w:val="000000"/>
                      <w:lang w:val="en-ID" w:eastAsia="en-ID"/>
                    </w:rPr>
                    <w:t>40,24</w:t>
                  </w:r>
                </w:p>
              </w:tc>
              <w:tc>
                <w:tcPr>
                  <w:tcW w:w="1134" w:type="dxa"/>
                  <w:tcBorders>
                    <w:top w:val="single" w:sz="4" w:space="0" w:color="auto"/>
                  </w:tcBorders>
                  <w:shd w:val="clear" w:color="auto" w:fill="auto"/>
                  <w:noWrap/>
                  <w:hideMark/>
                </w:tcPr>
                <w:p w14:paraId="6384A10C" w14:textId="77777777" w:rsidR="001602CB" w:rsidRPr="00E54420" w:rsidRDefault="001602CB" w:rsidP="00427373">
                  <w:pPr>
                    <w:spacing w:after="0" w:line="240" w:lineRule="auto"/>
                    <w:jc w:val="center"/>
                    <w:rPr>
                      <w:rFonts w:ascii="Book Antiqua" w:hAnsi="Book Antiqua"/>
                      <w:color w:val="000000"/>
                      <w:lang w:val="en-ID" w:eastAsia="en-ID"/>
                    </w:rPr>
                  </w:pPr>
                  <w:r w:rsidRPr="00E54420">
                    <w:rPr>
                      <w:rFonts w:ascii="Book Antiqua" w:hAnsi="Book Antiqua"/>
                      <w:color w:val="000000"/>
                      <w:lang w:val="en-ID" w:eastAsia="en-ID"/>
                    </w:rPr>
                    <w:t>37,36</w:t>
                  </w:r>
                </w:p>
              </w:tc>
            </w:tr>
            <w:tr w:rsidR="001602CB" w:rsidRPr="00E54420" w14:paraId="5B886A6F" w14:textId="77777777" w:rsidTr="007F2E78">
              <w:trPr>
                <w:trHeight w:val="300"/>
              </w:trPr>
              <w:tc>
                <w:tcPr>
                  <w:tcW w:w="2410" w:type="dxa"/>
                  <w:shd w:val="clear" w:color="auto" w:fill="auto"/>
                  <w:noWrap/>
                  <w:hideMark/>
                </w:tcPr>
                <w:p w14:paraId="4C010B0F" w14:textId="77777777" w:rsidR="001602CB" w:rsidRPr="00E54420" w:rsidRDefault="001602CB" w:rsidP="00427373">
                  <w:pPr>
                    <w:spacing w:after="0" w:line="240" w:lineRule="auto"/>
                    <w:rPr>
                      <w:rFonts w:ascii="Book Antiqua" w:hAnsi="Book Antiqua"/>
                      <w:color w:val="000000"/>
                      <w:lang w:val="en-ID" w:eastAsia="en-ID"/>
                    </w:rPr>
                  </w:pPr>
                  <w:r w:rsidRPr="00E54420">
                    <w:rPr>
                      <w:rFonts w:ascii="Book Antiqua" w:hAnsi="Book Antiqua"/>
                      <w:color w:val="000000"/>
                      <w:lang w:val="en-ID" w:eastAsia="en-ID"/>
                    </w:rPr>
                    <w:t>Cost Paid by Pilgrims</w:t>
                  </w:r>
                </w:p>
              </w:tc>
              <w:tc>
                <w:tcPr>
                  <w:tcW w:w="992" w:type="dxa"/>
                  <w:shd w:val="clear" w:color="auto" w:fill="auto"/>
                  <w:noWrap/>
                  <w:hideMark/>
                </w:tcPr>
                <w:p w14:paraId="5F120A33" w14:textId="77777777" w:rsidR="001602CB" w:rsidRPr="00E54420" w:rsidRDefault="001602CB" w:rsidP="00427373">
                  <w:pPr>
                    <w:spacing w:after="0" w:line="240" w:lineRule="auto"/>
                    <w:jc w:val="center"/>
                    <w:rPr>
                      <w:rFonts w:ascii="Book Antiqua" w:hAnsi="Book Antiqua"/>
                      <w:color w:val="000000"/>
                      <w:lang w:val="en-ID" w:eastAsia="en-ID"/>
                    </w:rPr>
                  </w:pPr>
                  <w:r w:rsidRPr="00E54420">
                    <w:rPr>
                      <w:rFonts w:ascii="Book Antiqua" w:hAnsi="Book Antiqua"/>
                      <w:color w:val="000000"/>
                      <w:lang w:val="en-ID" w:eastAsia="en-ID"/>
                    </w:rPr>
                    <w:t>34,89</w:t>
                  </w:r>
                </w:p>
              </w:tc>
              <w:tc>
                <w:tcPr>
                  <w:tcW w:w="1155" w:type="dxa"/>
                  <w:shd w:val="clear" w:color="auto" w:fill="auto"/>
                  <w:noWrap/>
                  <w:hideMark/>
                </w:tcPr>
                <w:p w14:paraId="521E38DE" w14:textId="77777777" w:rsidR="001602CB" w:rsidRPr="00E54420" w:rsidRDefault="001602CB" w:rsidP="00427373">
                  <w:pPr>
                    <w:spacing w:after="0" w:line="240" w:lineRule="auto"/>
                    <w:jc w:val="center"/>
                    <w:rPr>
                      <w:rFonts w:ascii="Book Antiqua" w:hAnsi="Book Antiqua"/>
                      <w:color w:val="000000"/>
                      <w:lang w:val="en-ID" w:eastAsia="en-ID"/>
                    </w:rPr>
                  </w:pPr>
                  <w:r w:rsidRPr="00E54420">
                    <w:rPr>
                      <w:rFonts w:ascii="Book Antiqua" w:hAnsi="Book Antiqua"/>
                      <w:color w:val="000000"/>
                      <w:lang w:val="en-ID" w:eastAsia="en-ID"/>
                    </w:rPr>
                    <w:t>35,24</w:t>
                  </w:r>
                </w:p>
              </w:tc>
              <w:tc>
                <w:tcPr>
                  <w:tcW w:w="1130" w:type="dxa"/>
                  <w:shd w:val="clear" w:color="auto" w:fill="auto"/>
                  <w:noWrap/>
                  <w:hideMark/>
                </w:tcPr>
                <w:p w14:paraId="6C787D87" w14:textId="77777777" w:rsidR="001602CB" w:rsidRPr="00E54420" w:rsidRDefault="001602CB" w:rsidP="00427373">
                  <w:pPr>
                    <w:spacing w:after="0" w:line="240" w:lineRule="auto"/>
                    <w:jc w:val="center"/>
                    <w:rPr>
                      <w:rFonts w:ascii="Book Antiqua" w:hAnsi="Book Antiqua"/>
                      <w:color w:val="000000"/>
                      <w:lang w:val="en-ID" w:eastAsia="en-ID"/>
                    </w:rPr>
                  </w:pPr>
                  <w:r w:rsidRPr="00E54420">
                    <w:rPr>
                      <w:rFonts w:ascii="Book Antiqua" w:hAnsi="Book Antiqua"/>
                      <w:color w:val="000000"/>
                      <w:lang w:val="en-ID" w:eastAsia="en-ID"/>
                    </w:rPr>
                    <w:t>35,24</w:t>
                  </w:r>
                </w:p>
              </w:tc>
              <w:tc>
                <w:tcPr>
                  <w:tcW w:w="1134" w:type="dxa"/>
                  <w:shd w:val="clear" w:color="auto" w:fill="auto"/>
                  <w:noWrap/>
                  <w:hideMark/>
                </w:tcPr>
                <w:p w14:paraId="65749EEC" w14:textId="77777777" w:rsidR="001602CB" w:rsidRPr="00E54420" w:rsidRDefault="001602CB" w:rsidP="00427373">
                  <w:pPr>
                    <w:spacing w:after="0" w:line="240" w:lineRule="auto"/>
                    <w:jc w:val="center"/>
                    <w:rPr>
                      <w:rFonts w:ascii="Book Antiqua" w:hAnsi="Book Antiqua"/>
                      <w:color w:val="000000"/>
                      <w:lang w:val="en-ID" w:eastAsia="en-ID"/>
                    </w:rPr>
                  </w:pPr>
                  <w:r w:rsidRPr="00E54420">
                    <w:rPr>
                      <w:rFonts w:ascii="Book Antiqua" w:hAnsi="Book Antiqua"/>
                      <w:color w:val="000000"/>
                      <w:lang w:val="en-ID" w:eastAsia="en-ID"/>
                    </w:rPr>
                    <w:t>39,89</w:t>
                  </w:r>
                </w:p>
              </w:tc>
              <w:tc>
                <w:tcPr>
                  <w:tcW w:w="1134" w:type="dxa"/>
                  <w:shd w:val="clear" w:color="auto" w:fill="auto"/>
                  <w:noWrap/>
                  <w:hideMark/>
                </w:tcPr>
                <w:p w14:paraId="4601BFBE" w14:textId="77777777" w:rsidR="001602CB" w:rsidRPr="00E54420" w:rsidRDefault="001602CB" w:rsidP="00427373">
                  <w:pPr>
                    <w:spacing w:after="0" w:line="240" w:lineRule="auto"/>
                    <w:jc w:val="center"/>
                    <w:rPr>
                      <w:rFonts w:ascii="Book Antiqua" w:hAnsi="Book Antiqua"/>
                      <w:color w:val="000000"/>
                      <w:lang w:val="en-ID" w:eastAsia="en-ID"/>
                    </w:rPr>
                  </w:pPr>
                  <w:r w:rsidRPr="00E54420">
                    <w:rPr>
                      <w:rFonts w:ascii="Book Antiqua" w:hAnsi="Book Antiqua"/>
                      <w:color w:val="000000"/>
                      <w:lang w:val="en-ID" w:eastAsia="en-ID"/>
                    </w:rPr>
                    <w:t>49,81</w:t>
                  </w:r>
                </w:p>
              </w:tc>
              <w:tc>
                <w:tcPr>
                  <w:tcW w:w="1134" w:type="dxa"/>
                  <w:shd w:val="clear" w:color="auto" w:fill="auto"/>
                  <w:noWrap/>
                  <w:hideMark/>
                </w:tcPr>
                <w:p w14:paraId="4C25A71A" w14:textId="77777777" w:rsidR="001602CB" w:rsidRPr="00E54420" w:rsidRDefault="001602CB" w:rsidP="00427373">
                  <w:pPr>
                    <w:spacing w:after="0" w:line="240" w:lineRule="auto"/>
                    <w:jc w:val="center"/>
                    <w:rPr>
                      <w:rFonts w:ascii="Book Antiqua" w:hAnsi="Book Antiqua"/>
                      <w:color w:val="000000"/>
                      <w:lang w:val="en-ID" w:eastAsia="en-ID"/>
                    </w:rPr>
                  </w:pPr>
                  <w:r w:rsidRPr="00E54420">
                    <w:rPr>
                      <w:rFonts w:ascii="Book Antiqua" w:hAnsi="Book Antiqua"/>
                      <w:color w:val="000000"/>
                      <w:lang w:val="en-ID" w:eastAsia="en-ID"/>
                    </w:rPr>
                    <w:t>56,05</w:t>
                  </w:r>
                </w:p>
              </w:tc>
            </w:tr>
            <w:tr w:rsidR="001602CB" w:rsidRPr="00E54420" w14:paraId="0C39EEF5" w14:textId="77777777" w:rsidTr="007F2E78">
              <w:trPr>
                <w:trHeight w:val="300"/>
              </w:trPr>
              <w:tc>
                <w:tcPr>
                  <w:tcW w:w="2410" w:type="dxa"/>
                  <w:shd w:val="clear" w:color="auto" w:fill="auto"/>
                  <w:noWrap/>
                  <w:hideMark/>
                </w:tcPr>
                <w:p w14:paraId="1B6803EF" w14:textId="77777777" w:rsidR="001602CB" w:rsidRPr="00E54420" w:rsidRDefault="001602CB" w:rsidP="00427373">
                  <w:pPr>
                    <w:spacing w:after="0" w:line="240" w:lineRule="auto"/>
                    <w:rPr>
                      <w:rFonts w:ascii="Book Antiqua" w:hAnsi="Book Antiqua"/>
                      <w:color w:val="000000"/>
                      <w:lang w:val="en-ID" w:eastAsia="en-ID"/>
                    </w:rPr>
                  </w:pPr>
                  <w:r w:rsidRPr="00E54420">
                    <w:rPr>
                      <w:rFonts w:ascii="Book Antiqua" w:hAnsi="Book Antiqua"/>
                      <w:color w:val="000000"/>
                      <w:lang w:val="en-ID" w:eastAsia="en-ID"/>
                    </w:rPr>
                    <w:t>Total Hajj Cost</w:t>
                  </w:r>
                </w:p>
              </w:tc>
              <w:tc>
                <w:tcPr>
                  <w:tcW w:w="992" w:type="dxa"/>
                  <w:shd w:val="clear" w:color="auto" w:fill="auto"/>
                  <w:noWrap/>
                  <w:hideMark/>
                </w:tcPr>
                <w:p w14:paraId="006BB8FA" w14:textId="77777777" w:rsidR="001602CB" w:rsidRPr="00E54420" w:rsidRDefault="001602CB" w:rsidP="00427373">
                  <w:pPr>
                    <w:spacing w:after="0" w:line="240" w:lineRule="auto"/>
                    <w:jc w:val="center"/>
                    <w:rPr>
                      <w:rFonts w:ascii="Book Antiqua" w:hAnsi="Book Antiqua"/>
                      <w:color w:val="000000"/>
                      <w:lang w:val="en-ID" w:eastAsia="en-ID"/>
                    </w:rPr>
                  </w:pPr>
                  <w:r w:rsidRPr="00E54420">
                    <w:rPr>
                      <w:rFonts w:ascii="Book Antiqua" w:hAnsi="Book Antiqua"/>
                      <w:color w:val="000000"/>
                      <w:lang w:val="en-ID" w:eastAsia="en-ID"/>
                    </w:rPr>
                    <w:t>61,79</w:t>
                  </w:r>
                </w:p>
              </w:tc>
              <w:tc>
                <w:tcPr>
                  <w:tcW w:w="1155" w:type="dxa"/>
                  <w:shd w:val="clear" w:color="auto" w:fill="auto"/>
                  <w:noWrap/>
                  <w:hideMark/>
                </w:tcPr>
                <w:p w14:paraId="3FA3F76F" w14:textId="77777777" w:rsidR="001602CB" w:rsidRPr="00E54420" w:rsidRDefault="001602CB" w:rsidP="00427373">
                  <w:pPr>
                    <w:spacing w:after="0" w:line="240" w:lineRule="auto"/>
                    <w:jc w:val="center"/>
                    <w:rPr>
                      <w:rFonts w:ascii="Book Antiqua" w:hAnsi="Book Antiqua"/>
                      <w:color w:val="000000"/>
                      <w:lang w:val="en-ID" w:eastAsia="en-ID"/>
                    </w:rPr>
                  </w:pPr>
                  <w:r w:rsidRPr="00E54420">
                    <w:rPr>
                      <w:rFonts w:ascii="Book Antiqua" w:hAnsi="Book Antiqua"/>
                      <w:color w:val="000000"/>
                      <w:lang w:val="en-ID" w:eastAsia="en-ID"/>
                    </w:rPr>
                    <w:t>68,96</w:t>
                  </w:r>
                </w:p>
              </w:tc>
              <w:tc>
                <w:tcPr>
                  <w:tcW w:w="1130" w:type="dxa"/>
                  <w:shd w:val="clear" w:color="auto" w:fill="auto"/>
                  <w:noWrap/>
                  <w:hideMark/>
                </w:tcPr>
                <w:p w14:paraId="1058220A" w14:textId="77777777" w:rsidR="001602CB" w:rsidRPr="00E54420" w:rsidRDefault="001602CB" w:rsidP="00427373">
                  <w:pPr>
                    <w:spacing w:after="0" w:line="240" w:lineRule="auto"/>
                    <w:jc w:val="center"/>
                    <w:rPr>
                      <w:rFonts w:ascii="Book Antiqua" w:hAnsi="Book Antiqua"/>
                      <w:color w:val="000000"/>
                      <w:lang w:val="en-ID" w:eastAsia="en-ID"/>
                    </w:rPr>
                  </w:pPr>
                  <w:r w:rsidRPr="00E54420">
                    <w:rPr>
                      <w:rFonts w:ascii="Book Antiqua" w:hAnsi="Book Antiqua"/>
                      <w:color w:val="000000"/>
                      <w:lang w:val="en-ID" w:eastAsia="en-ID"/>
                    </w:rPr>
                    <w:t>69,16</w:t>
                  </w:r>
                </w:p>
              </w:tc>
              <w:tc>
                <w:tcPr>
                  <w:tcW w:w="1134" w:type="dxa"/>
                  <w:shd w:val="clear" w:color="auto" w:fill="auto"/>
                  <w:noWrap/>
                  <w:hideMark/>
                </w:tcPr>
                <w:p w14:paraId="201E87DE" w14:textId="77777777" w:rsidR="001602CB" w:rsidRPr="00E54420" w:rsidRDefault="001602CB" w:rsidP="00427373">
                  <w:pPr>
                    <w:spacing w:after="0" w:line="240" w:lineRule="auto"/>
                    <w:jc w:val="center"/>
                    <w:rPr>
                      <w:rFonts w:ascii="Book Antiqua" w:hAnsi="Book Antiqua"/>
                      <w:color w:val="000000"/>
                      <w:lang w:val="en-ID" w:eastAsia="en-ID"/>
                    </w:rPr>
                  </w:pPr>
                  <w:r w:rsidRPr="00E54420">
                    <w:rPr>
                      <w:rFonts w:ascii="Book Antiqua" w:hAnsi="Book Antiqua"/>
                      <w:color w:val="000000"/>
                      <w:lang w:val="en-ID" w:eastAsia="en-ID"/>
                    </w:rPr>
                    <w:t>97,79</w:t>
                  </w:r>
                </w:p>
              </w:tc>
              <w:tc>
                <w:tcPr>
                  <w:tcW w:w="1134" w:type="dxa"/>
                  <w:shd w:val="clear" w:color="auto" w:fill="auto"/>
                  <w:noWrap/>
                  <w:hideMark/>
                </w:tcPr>
                <w:p w14:paraId="4E4F05E5" w14:textId="77777777" w:rsidR="001602CB" w:rsidRPr="00E54420" w:rsidRDefault="001602CB" w:rsidP="00427373">
                  <w:pPr>
                    <w:spacing w:after="0" w:line="240" w:lineRule="auto"/>
                    <w:jc w:val="center"/>
                    <w:rPr>
                      <w:rFonts w:ascii="Book Antiqua" w:hAnsi="Book Antiqua"/>
                      <w:color w:val="000000"/>
                      <w:lang w:val="en-ID" w:eastAsia="en-ID"/>
                    </w:rPr>
                  </w:pPr>
                  <w:r w:rsidRPr="00E54420">
                    <w:rPr>
                      <w:rFonts w:ascii="Book Antiqua" w:hAnsi="Book Antiqua"/>
                      <w:color w:val="000000"/>
                      <w:lang w:val="en-ID" w:eastAsia="en-ID"/>
                    </w:rPr>
                    <w:t>90,05</w:t>
                  </w:r>
                </w:p>
              </w:tc>
              <w:tc>
                <w:tcPr>
                  <w:tcW w:w="1134" w:type="dxa"/>
                  <w:shd w:val="clear" w:color="auto" w:fill="auto"/>
                  <w:noWrap/>
                  <w:hideMark/>
                </w:tcPr>
                <w:p w14:paraId="48A20F83" w14:textId="77777777" w:rsidR="001602CB" w:rsidRPr="00E54420" w:rsidRDefault="001602CB" w:rsidP="00427373">
                  <w:pPr>
                    <w:spacing w:after="0" w:line="240" w:lineRule="auto"/>
                    <w:jc w:val="center"/>
                    <w:rPr>
                      <w:rFonts w:ascii="Book Antiqua" w:hAnsi="Book Antiqua"/>
                      <w:color w:val="000000"/>
                      <w:lang w:val="en-ID" w:eastAsia="en-ID"/>
                    </w:rPr>
                  </w:pPr>
                  <w:r w:rsidRPr="00E54420">
                    <w:rPr>
                      <w:rFonts w:ascii="Book Antiqua" w:hAnsi="Book Antiqua"/>
                      <w:color w:val="000000"/>
                      <w:lang w:val="en-ID" w:eastAsia="en-ID"/>
                    </w:rPr>
                    <w:t>93,41</w:t>
                  </w:r>
                </w:p>
              </w:tc>
            </w:tr>
          </w:tbl>
          <w:p w14:paraId="2590E2BB" w14:textId="77777777" w:rsidR="001602CB" w:rsidRPr="00E54420" w:rsidRDefault="001602CB" w:rsidP="00A872D3">
            <w:pPr>
              <w:spacing w:after="240" w:line="240" w:lineRule="auto"/>
              <w:ind w:left="142"/>
              <w:rPr>
                <w:rFonts w:ascii="Book Antiqua" w:hAnsi="Book Antiqua"/>
                <w:i/>
                <w:iCs/>
                <w:color w:val="000000"/>
                <w:sz w:val="20"/>
                <w:szCs w:val="20"/>
              </w:rPr>
            </w:pPr>
            <w:r w:rsidRPr="00E54420">
              <w:rPr>
                <w:rFonts w:ascii="Book Antiqua" w:hAnsi="Book Antiqua"/>
                <w:i/>
                <w:iCs/>
                <w:color w:val="000000"/>
                <w:sz w:val="20"/>
                <w:szCs w:val="20"/>
              </w:rPr>
              <w:t xml:space="preserve">Source: Badan </w:t>
            </w:r>
            <w:proofErr w:type="spellStart"/>
            <w:r w:rsidRPr="00E54420">
              <w:rPr>
                <w:rFonts w:ascii="Book Antiqua" w:hAnsi="Book Antiqua"/>
                <w:i/>
                <w:iCs/>
                <w:color w:val="000000"/>
                <w:sz w:val="20"/>
                <w:szCs w:val="20"/>
              </w:rPr>
              <w:t>Pengelola</w:t>
            </w:r>
            <w:proofErr w:type="spellEnd"/>
            <w:r w:rsidRPr="00E54420">
              <w:rPr>
                <w:rFonts w:ascii="Book Antiqua" w:hAnsi="Book Antiqua"/>
                <w:i/>
                <w:iCs/>
                <w:color w:val="000000"/>
                <w:sz w:val="20"/>
                <w:szCs w:val="20"/>
              </w:rPr>
              <w:t xml:space="preserve"> </w:t>
            </w:r>
            <w:proofErr w:type="spellStart"/>
            <w:r w:rsidRPr="00E54420">
              <w:rPr>
                <w:rFonts w:ascii="Book Antiqua" w:hAnsi="Book Antiqua"/>
                <w:i/>
                <w:iCs/>
                <w:color w:val="000000"/>
                <w:sz w:val="20"/>
                <w:szCs w:val="20"/>
              </w:rPr>
              <w:t>Keuangan</w:t>
            </w:r>
            <w:proofErr w:type="spellEnd"/>
            <w:r w:rsidRPr="00E54420">
              <w:rPr>
                <w:rFonts w:ascii="Book Antiqua" w:hAnsi="Book Antiqua"/>
                <w:i/>
                <w:iCs/>
                <w:color w:val="000000"/>
                <w:sz w:val="20"/>
                <w:szCs w:val="20"/>
              </w:rPr>
              <w:t xml:space="preserve"> Haji</w:t>
            </w:r>
          </w:p>
          <w:p w14:paraId="4256DC7A" w14:textId="77777777" w:rsidR="001602CB" w:rsidRPr="00E54420" w:rsidRDefault="001602CB" w:rsidP="00157A08">
            <w:pPr>
              <w:spacing w:after="120" w:line="240" w:lineRule="auto"/>
              <w:ind w:left="142"/>
              <w:jc w:val="center"/>
              <w:rPr>
                <w:rFonts w:ascii="Book Antiqua" w:hAnsi="Book Antiqua"/>
                <w:b/>
                <w:bCs/>
                <w:color w:val="000000"/>
                <w:sz w:val="24"/>
                <w:szCs w:val="24"/>
              </w:rPr>
            </w:pPr>
            <w:r w:rsidRPr="00E54420">
              <w:rPr>
                <w:rFonts w:ascii="Book Antiqua" w:hAnsi="Book Antiqua"/>
                <w:b/>
                <w:bCs/>
                <w:color w:val="000000"/>
                <w:sz w:val="24"/>
                <w:szCs w:val="24"/>
              </w:rPr>
              <w:t>Tabel 2. Composition of Regular Hajj Costs (in percentage)</w:t>
            </w:r>
          </w:p>
          <w:tbl>
            <w:tblPr>
              <w:tblW w:w="8994" w:type="dxa"/>
              <w:tblInd w:w="137" w:type="dxa"/>
              <w:tblBorders>
                <w:top w:val="single" w:sz="4" w:space="0" w:color="auto"/>
                <w:bottom w:val="single" w:sz="4" w:space="0" w:color="auto"/>
              </w:tblBorders>
              <w:tblLook w:val="04A0" w:firstRow="1" w:lastRow="0" w:firstColumn="1" w:lastColumn="0" w:noHBand="0" w:noVBand="1"/>
            </w:tblPr>
            <w:tblGrid>
              <w:gridCol w:w="2332"/>
              <w:gridCol w:w="1134"/>
              <w:gridCol w:w="992"/>
              <w:gridCol w:w="1110"/>
              <w:gridCol w:w="1158"/>
              <w:gridCol w:w="1134"/>
              <w:gridCol w:w="1134"/>
            </w:tblGrid>
            <w:tr w:rsidR="001602CB" w:rsidRPr="001602CB" w14:paraId="2A10C65E" w14:textId="77777777" w:rsidTr="007F2E78">
              <w:trPr>
                <w:trHeight w:val="300"/>
              </w:trPr>
              <w:tc>
                <w:tcPr>
                  <w:tcW w:w="2332" w:type="dxa"/>
                  <w:tcBorders>
                    <w:top w:val="single" w:sz="4" w:space="0" w:color="auto"/>
                    <w:bottom w:val="single" w:sz="4" w:space="0" w:color="auto"/>
                  </w:tcBorders>
                  <w:shd w:val="clear" w:color="auto" w:fill="auto"/>
                  <w:noWrap/>
                  <w:hideMark/>
                </w:tcPr>
                <w:p w14:paraId="1955052C" w14:textId="77777777" w:rsidR="001602CB" w:rsidRPr="001602CB" w:rsidRDefault="001602CB" w:rsidP="00427373">
                  <w:pPr>
                    <w:spacing w:after="0" w:line="240" w:lineRule="auto"/>
                    <w:jc w:val="center"/>
                    <w:rPr>
                      <w:rFonts w:ascii="Book Antiqua" w:hAnsi="Book Antiqua"/>
                      <w:b/>
                      <w:bCs/>
                      <w:color w:val="000000"/>
                      <w:lang w:val="en-ID" w:eastAsia="en-ID"/>
                    </w:rPr>
                  </w:pPr>
                  <w:r w:rsidRPr="001602CB">
                    <w:rPr>
                      <w:rFonts w:ascii="Book Antiqua" w:hAnsi="Book Antiqua"/>
                      <w:b/>
                      <w:bCs/>
                      <w:color w:val="000000"/>
                      <w:lang w:val="en-ID" w:eastAsia="en-ID"/>
                    </w:rPr>
                    <w:t>Year</w:t>
                  </w:r>
                </w:p>
              </w:tc>
              <w:tc>
                <w:tcPr>
                  <w:tcW w:w="1134" w:type="dxa"/>
                  <w:tcBorders>
                    <w:top w:val="single" w:sz="4" w:space="0" w:color="auto"/>
                    <w:bottom w:val="single" w:sz="4" w:space="0" w:color="auto"/>
                  </w:tcBorders>
                  <w:shd w:val="clear" w:color="auto" w:fill="auto"/>
                  <w:noWrap/>
                  <w:hideMark/>
                </w:tcPr>
                <w:p w14:paraId="6DB41C15" w14:textId="77777777" w:rsidR="001602CB" w:rsidRPr="001602CB" w:rsidRDefault="001602CB" w:rsidP="00427373">
                  <w:pPr>
                    <w:spacing w:after="0" w:line="240" w:lineRule="auto"/>
                    <w:jc w:val="center"/>
                    <w:rPr>
                      <w:rFonts w:ascii="Book Antiqua" w:hAnsi="Book Antiqua"/>
                      <w:b/>
                      <w:bCs/>
                      <w:color w:val="000000"/>
                      <w:lang w:val="en-ID" w:eastAsia="en-ID"/>
                    </w:rPr>
                  </w:pPr>
                  <w:r w:rsidRPr="001602CB">
                    <w:rPr>
                      <w:rFonts w:ascii="Book Antiqua" w:hAnsi="Book Antiqua"/>
                      <w:b/>
                      <w:bCs/>
                      <w:color w:val="000000"/>
                      <w:lang w:val="en-ID" w:eastAsia="en-ID"/>
                    </w:rPr>
                    <w:t>2017</w:t>
                  </w:r>
                </w:p>
              </w:tc>
              <w:tc>
                <w:tcPr>
                  <w:tcW w:w="992" w:type="dxa"/>
                  <w:tcBorders>
                    <w:top w:val="single" w:sz="4" w:space="0" w:color="auto"/>
                    <w:bottom w:val="single" w:sz="4" w:space="0" w:color="auto"/>
                  </w:tcBorders>
                  <w:shd w:val="clear" w:color="auto" w:fill="auto"/>
                  <w:noWrap/>
                  <w:hideMark/>
                </w:tcPr>
                <w:p w14:paraId="31A64D30" w14:textId="77777777" w:rsidR="001602CB" w:rsidRPr="001602CB" w:rsidRDefault="001602CB" w:rsidP="00427373">
                  <w:pPr>
                    <w:spacing w:after="0" w:line="240" w:lineRule="auto"/>
                    <w:jc w:val="center"/>
                    <w:rPr>
                      <w:rFonts w:ascii="Book Antiqua" w:hAnsi="Book Antiqua"/>
                      <w:b/>
                      <w:bCs/>
                      <w:color w:val="000000"/>
                      <w:lang w:val="en-ID" w:eastAsia="en-ID"/>
                    </w:rPr>
                  </w:pPr>
                  <w:r w:rsidRPr="001602CB">
                    <w:rPr>
                      <w:rFonts w:ascii="Book Antiqua" w:hAnsi="Book Antiqua"/>
                      <w:b/>
                      <w:bCs/>
                      <w:color w:val="000000"/>
                      <w:lang w:val="en-ID" w:eastAsia="en-ID"/>
                    </w:rPr>
                    <w:t>2018</w:t>
                  </w:r>
                </w:p>
              </w:tc>
              <w:tc>
                <w:tcPr>
                  <w:tcW w:w="1110" w:type="dxa"/>
                  <w:tcBorders>
                    <w:top w:val="single" w:sz="4" w:space="0" w:color="auto"/>
                    <w:bottom w:val="single" w:sz="4" w:space="0" w:color="auto"/>
                  </w:tcBorders>
                  <w:shd w:val="clear" w:color="auto" w:fill="auto"/>
                  <w:noWrap/>
                  <w:hideMark/>
                </w:tcPr>
                <w:p w14:paraId="53EBF225" w14:textId="77777777" w:rsidR="001602CB" w:rsidRPr="001602CB" w:rsidRDefault="001602CB" w:rsidP="00427373">
                  <w:pPr>
                    <w:spacing w:after="0" w:line="240" w:lineRule="auto"/>
                    <w:jc w:val="center"/>
                    <w:rPr>
                      <w:rFonts w:ascii="Book Antiqua" w:hAnsi="Book Antiqua"/>
                      <w:b/>
                      <w:bCs/>
                      <w:color w:val="000000"/>
                      <w:lang w:val="en-ID" w:eastAsia="en-ID"/>
                    </w:rPr>
                  </w:pPr>
                  <w:r w:rsidRPr="001602CB">
                    <w:rPr>
                      <w:rFonts w:ascii="Book Antiqua" w:hAnsi="Book Antiqua"/>
                      <w:b/>
                      <w:bCs/>
                      <w:color w:val="000000"/>
                      <w:lang w:val="en-ID" w:eastAsia="en-ID"/>
                    </w:rPr>
                    <w:t>2019</w:t>
                  </w:r>
                </w:p>
              </w:tc>
              <w:tc>
                <w:tcPr>
                  <w:tcW w:w="1158" w:type="dxa"/>
                  <w:tcBorders>
                    <w:top w:val="single" w:sz="4" w:space="0" w:color="auto"/>
                    <w:bottom w:val="single" w:sz="4" w:space="0" w:color="auto"/>
                  </w:tcBorders>
                  <w:shd w:val="clear" w:color="auto" w:fill="auto"/>
                  <w:noWrap/>
                  <w:hideMark/>
                </w:tcPr>
                <w:p w14:paraId="1DB548C4" w14:textId="77777777" w:rsidR="001602CB" w:rsidRPr="001602CB" w:rsidRDefault="001602CB" w:rsidP="00427373">
                  <w:pPr>
                    <w:spacing w:after="0" w:line="240" w:lineRule="auto"/>
                    <w:jc w:val="center"/>
                    <w:rPr>
                      <w:rFonts w:ascii="Book Antiqua" w:hAnsi="Book Antiqua"/>
                      <w:b/>
                      <w:bCs/>
                      <w:color w:val="000000"/>
                      <w:lang w:val="en-ID" w:eastAsia="en-ID"/>
                    </w:rPr>
                  </w:pPr>
                  <w:r w:rsidRPr="001602CB">
                    <w:rPr>
                      <w:rFonts w:ascii="Book Antiqua" w:hAnsi="Book Antiqua"/>
                      <w:b/>
                      <w:bCs/>
                      <w:color w:val="000000"/>
                      <w:lang w:val="en-ID" w:eastAsia="en-ID"/>
                    </w:rPr>
                    <w:t>2022</w:t>
                  </w:r>
                </w:p>
              </w:tc>
              <w:tc>
                <w:tcPr>
                  <w:tcW w:w="1134" w:type="dxa"/>
                  <w:tcBorders>
                    <w:top w:val="single" w:sz="4" w:space="0" w:color="auto"/>
                    <w:bottom w:val="single" w:sz="4" w:space="0" w:color="auto"/>
                  </w:tcBorders>
                  <w:shd w:val="clear" w:color="auto" w:fill="auto"/>
                  <w:noWrap/>
                  <w:hideMark/>
                </w:tcPr>
                <w:p w14:paraId="4EB53A14" w14:textId="77777777" w:rsidR="001602CB" w:rsidRPr="001602CB" w:rsidRDefault="001602CB" w:rsidP="00427373">
                  <w:pPr>
                    <w:spacing w:after="0" w:line="240" w:lineRule="auto"/>
                    <w:jc w:val="center"/>
                    <w:rPr>
                      <w:rFonts w:ascii="Book Antiqua" w:hAnsi="Book Antiqua"/>
                      <w:b/>
                      <w:bCs/>
                      <w:color w:val="000000"/>
                      <w:lang w:val="en-ID" w:eastAsia="en-ID"/>
                    </w:rPr>
                  </w:pPr>
                  <w:r w:rsidRPr="001602CB">
                    <w:rPr>
                      <w:rFonts w:ascii="Book Antiqua" w:hAnsi="Book Antiqua"/>
                      <w:b/>
                      <w:bCs/>
                      <w:color w:val="000000"/>
                      <w:lang w:val="en-ID" w:eastAsia="en-ID"/>
                    </w:rPr>
                    <w:t>2023</w:t>
                  </w:r>
                </w:p>
              </w:tc>
              <w:tc>
                <w:tcPr>
                  <w:tcW w:w="1134" w:type="dxa"/>
                  <w:tcBorders>
                    <w:top w:val="single" w:sz="4" w:space="0" w:color="auto"/>
                    <w:bottom w:val="single" w:sz="4" w:space="0" w:color="auto"/>
                  </w:tcBorders>
                  <w:shd w:val="clear" w:color="auto" w:fill="auto"/>
                  <w:noWrap/>
                  <w:hideMark/>
                </w:tcPr>
                <w:p w14:paraId="1981F7EC" w14:textId="77777777" w:rsidR="001602CB" w:rsidRPr="001602CB" w:rsidRDefault="001602CB" w:rsidP="00427373">
                  <w:pPr>
                    <w:spacing w:after="0" w:line="240" w:lineRule="auto"/>
                    <w:jc w:val="center"/>
                    <w:rPr>
                      <w:rFonts w:ascii="Book Antiqua" w:hAnsi="Book Antiqua"/>
                      <w:b/>
                      <w:bCs/>
                      <w:color w:val="000000"/>
                      <w:lang w:val="en-ID" w:eastAsia="en-ID"/>
                    </w:rPr>
                  </w:pPr>
                  <w:r w:rsidRPr="001602CB">
                    <w:rPr>
                      <w:rFonts w:ascii="Book Antiqua" w:hAnsi="Book Antiqua"/>
                      <w:b/>
                      <w:bCs/>
                      <w:color w:val="000000"/>
                      <w:lang w:val="en-ID" w:eastAsia="en-ID"/>
                    </w:rPr>
                    <w:t>2024 (P)</w:t>
                  </w:r>
                </w:p>
              </w:tc>
            </w:tr>
            <w:tr w:rsidR="001602CB" w:rsidRPr="001602CB" w14:paraId="2B60BE28" w14:textId="77777777" w:rsidTr="007F2E78">
              <w:trPr>
                <w:trHeight w:val="300"/>
              </w:trPr>
              <w:tc>
                <w:tcPr>
                  <w:tcW w:w="2332" w:type="dxa"/>
                  <w:tcBorders>
                    <w:top w:val="single" w:sz="4" w:space="0" w:color="auto"/>
                  </w:tcBorders>
                  <w:shd w:val="clear" w:color="auto" w:fill="auto"/>
                  <w:noWrap/>
                  <w:hideMark/>
                </w:tcPr>
                <w:p w14:paraId="6096CF60" w14:textId="729B99C5" w:rsidR="001602CB" w:rsidRPr="001602CB" w:rsidRDefault="001602CB" w:rsidP="00427373">
                  <w:pPr>
                    <w:spacing w:after="0" w:line="240" w:lineRule="auto"/>
                    <w:rPr>
                      <w:rFonts w:ascii="Book Antiqua" w:hAnsi="Book Antiqua"/>
                      <w:color w:val="000000"/>
                      <w:lang w:val="en-ID" w:eastAsia="en-ID"/>
                    </w:rPr>
                  </w:pPr>
                  <w:r w:rsidRPr="001602CB">
                    <w:rPr>
                      <w:rFonts w:ascii="Book Antiqua" w:hAnsi="Book Antiqua"/>
                      <w:color w:val="000000"/>
                      <w:lang w:val="en-ID" w:eastAsia="en-ID"/>
                    </w:rPr>
                    <w:t>BPKH’s Benefit Value</w:t>
                  </w:r>
                </w:p>
              </w:tc>
              <w:tc>
                <w:tcPr>
                  <w:tcW w:w="1134" w:type="dxa"/>
                  <w:tcBorders>
                    <w:top w:val="single" w:sz="4" w:space="0" w:color="auto"/>
                  </w:tcBorders>
                  <w:shd w:val="clear" w:color="auto" w:fill="auto"/>
                  <w:noWrap/>
                  <w:hideMark/>
                </w:tcPr>
                <w:p w14:paraId="149E7DCE" w14:textId="77777777" w:rsidR="001602CB" w:rsidRPr="001602CB" w:rsidRDefault="001602CB" w:rsidP="00427373">
                  <w:pPr>
                    <w:spacing w:after="0" w:line="240" w:lineRule="auto"/>
                    <w:jc w:val="center"/>
                    <w:rPr>
                      <w:rFonts w:ascii="Book Antiqua" w:hAnsi="Book Antiqua"/>
                      <w:color w:val="000000"/>
                      <w:lang w:val="en-ID" w:eastAsia="en-ID"/>
                    </w:rPr>
                  </w:pPr>
                  <w:r w:rsidRPr="001602CB">
                    <w:rPr>
                      <w:rFonts w:ascii="Book Antiqua" w:hAnsi="Book Antiqua"/>
                      <w:color w:val="000000"/>
                      <w:lang w:val="en-ID" w:eastAsia="en-ID"/>
                    </w:rPr>
                    <w:t>43,53%</w:t>
                  </w:r>
                </w:p>
              </w:tc>
              <w:tc>
                <w:tcPr>
                  <w:tcW w:w="992" w:type="dxa"/>
                  <w:tcBorders>
                    <w:top w:val="single" w:sz="4" w:space="0" w:color="auto"/>
                  </w:tcBorders>
                  <w:shd w:val="clear" w:color="auto" w:fill="auto"/>
                  <w:noWrap/>
                  <w:hideMark/>
                </w:tcPr>
                <w:p w14:paraId="1F4CF8D7" w14:textId="77777777" w:rsidR="001602CB" w:rsidRPr="001602CB" w:rsidRDefault="001602CB" w:rsidP="00427373">
                  <w:pPr>
                    <w:spacing w:after="0" w:line="240" w:lineRule="auto"/>
                    <w:jc w:val="center"/>
                    <w:rPr>
                      <w:rFonts w:ascii="Book Antiqua" w:hAnsi="Book Antiqua"/>
                      <w:color w:val="000000"/>
                      <w:lang w:val="en-ID" w:eastAsia="en-ID"/>
                    </w:rPr>
                  </w:pPr>
                  <w:r w:rsidRPr="001602CB">
                    <w:rPr>
                      <w:rFonts w:ascii="Book Antiqua" w:hAnsi="Book Antiqua"/>
                      <w:color w:val="000000"/>
                      <w:lang w:val="en-ID" w:eastAsia="en-ID"/>
                    </w:rPr>
                    <w:t>48,90%</w:t>
                  </w:r>
                </w:p>
              </w:tc>
              <w:tc>
                <w:tcPr>
                  <w:tcW w:w="1110" w:type="dxa"/>
                  <w:tcBorders>
                    <w:top w:val="single" w:sz="4" w:space="0" w:color="auto"/>
                  </w:tcBorders>
                  <w:shd w:val="clear" w:color="auto" w:fill="auto"/>
                  <w:noWrap/>
                  <w:hideMark/>
                </w:tcPr>
                <w:p w14:paraId="66F32200" w14:textId="77777777" w:rsidR="001602CB" w:rsidRPr="001602CB" w:rsidRDefault="001602CB" w:rsidP="00427373">
                  <w:pPr>
                    <w:spacing w:after="0" w:line="240" w:lineRule="auto"/>
                    <w:jc w:val="center"/>
                    <w:rPr>
                      <w:rFonts w:ascii="Book Antiqua" w:hAnsi="Book Antiqua"/>
                      <w:color w:val="000000"/>
                      <w:lang w:val="en-ID" w:eastAsia="en-ID"/>
                    </w:rPr>
                  </w:pPr>
                  <w:r w:rsidRPr="001602CB">
                    <w:rPr>
                      <w:rFonts w:ascii="Book Antiqua" w:hAnsi="Book Antiqua"/>
                      <w:color w:val="000000"/>
                      <w:lang w:val="en-ID" w:eastAsia="en-ID"/>
                    </w:rPr>
                    <w:t>49,05%</w:t>
                  </w:r>
                </w:p>
              </w:tc>
              <w:tc>
                <w:tcPr>
                  <w:tcW w:w="1158" w:type="dxa"/>
                  <w:tcBorders>
                    <w:top w:val="single" w:sz="4" w:space="0" w:color="auto"/>
                  </w:tcBorders>
                  <w:shd w:val="clear" w:color="auto" w:fill="auto"/>
                  <w:noWrap/>
                  <w:hideMark/>
                </w:tcPr>
                <w:p w14:paraId="186C484C" w14:textId="77777777" w:rsidR="001602CB" w:rsidRPr="001602CB" w:rsidRDefault="001602CB" w:rsidP="00427373">
                  <w:pPr>
                    <w:spacing w:after="0" w:line="240" w:lineRule="auto"/>
                    <w:jc w:val="center"/>
                    <w:rPr>
                      <w:rFonts w:ascii="Book Antiqua" w:hAnsi="Book Antiqua"/>
                      <w:color w:val="000000"/>
                      <w:lang w:val="en-ID" w:eastAsia="en-ID"/>
                    </w:rPr>
                  </w:pPr>
                  <w:r w:rsidRPr="001602CB">
                    <w:rPr>
                      <w:rFonts w:ascii="Book Antiqua" w:hAnsi="Book Antiqua"/>
                      <w:color w:val="000000"/>
                      <w:lang w:val="en-ID" w:eastAsia="en-ID"/>
                    </w:rPr>
                    <w:t>59,22%</w:t>
                  </w:r>
                </w:p>
              </w:tc>
              <w:tc>
                <w:tcPr>
                  <w:tcW w:w="1134" w:type="dxa"/>
                  <w:tcBorders>
                    <w:top w:val="single" w:sz="4" w:space="0" w:color="auto"/>
                  </w:tcBorders>
                  <w:shd w:val="clear" w:color="auto" w:fill="auto"/>
                  <w:noWrap/>
                  <w:hideMark/>
                </w:tcPr>
                <w:p w14:paraId="0D1E4D7A" w14:textId="77777777" w:rsidR="001602CB" w:rsidRPr="001602CB" w:rsidRDefault="001602CB" w:rsidP="00427373">
                  <w:pPr>
                    <w:spacing w:after="0" w:line="240" w:lineRule="auto"/>
                    <w:jc w:val="center"/>
                    <w:rPr>
                      <w:rFonts w:ascii="Book Antiqua" w:hAnsi="Book Antiqua"/>
                      <w:color w:val="000000"/>
                      <w:lang w:val="en-ID" w:eastAsia="en-ID"/>
                    </w:rPr>
                  </w:pPr>
                  <w:r w:rsidRPr="001602CB">
                    <w:rPr>
                      <w:rFonts w:ascii="Book Antiqua" w:hAnsi="Book Antiqua"/>
                      <w:color w:val="000000"/>
                      <w:lang w:val="en-ID" w:eastAsia="en-ID"/>
                    </w:rPr>
                    <w:t>44,69%</w:t>
                  </w:r>
                </w:p>
              </w:tc>
              <w:tc>
                <w:tcPr>
                  <w:tcW w:w="1134" w:type="dxa"/>
                  <w:tcBorders>
                    <w:top w:val="single" w:sz="4" w:space="0" w:color="auto"/>
                  </w:tcBorders>
                  <w:shd w:val="clear" w:color="auto" w:fill="auto"/>
                  <w:noWrap/>
                  <w:hideMark/>
                </w:tcPr>
                <w:p w14:paraId="5E8EE7D5" w14:textId="77777777" w:rsidR="001602CB" w:rsidRPr="001602CB" w:rsidRDefault="001602CB" w:rsidP="00427373">
                  <w:pPr>
                    <w:spacing w:after="0" w:line="240" w:lineRule="auto"/>
                    <w:jc w:val="center"/>
                    <w:rPr>
                      <w:rFonts w:ascii="Book Antiqua" w:hAnsi="Book Antiqua"/>
                      <w:color w:val="000000"/>
                      <w:lang w:val="en-ID" w:eastAsia="en-ID"/>
                    </w:rPr>
                  </w:pPr>
                  <w:r w:rsidRPr="001602CB">
                    <w:rPr>
                      <w:rFonts w:ascii="Book Antiqua" w:hAnsi="Book Antiqua"/>
                      <w:color w:val="000000"/>
                      <w:lang w:val="en-ID" w:eastAsia="en-ID"/>
                    </w:rPr>
                    <w:t>40,00%</w:t>
                  </w:r>
                </w:p>
              </w:tc>
            </w:tr>
            <w:tr w:rsidR="001602CB" w:rsidRPr="001602CB" w14:paraId="1A0DCD0F" w14:textId="77777777" w:rsidTr="007F2E78">
              <w:trPr>
                <w:trHeight w:val="300"/>
              </w:trPr>
              <w:tc>
                <w:tcPr>
                  <w:tcW w:w="2332" w:type="dxa"/>
                  <w:shd w:val="clear" w:color="auto" w:fill="auto"/>
                  <w:noWrap/>
                  <w:hideMark/>
                </w:tcPr>
                <w:p w14:paraId="396BCDF6" w14:textId="77777777" w:rsidR="001602CB" w:rsidRPr="001602CB" w:rsidRDefault="001602CB" w:rsidP="00427373">
                  <w:pPr>
                    <w:spacing w:after="0" w:line="240" w:lineRule="auto"/>
                    <w:rPr>
                      <w:rFonts w:ascii="Book Antiqua" w:hAnsi="Book Antiqua"/>
                      <w:color w:val="000000"/>
                      <w:lang w:val="en-ID" w:eastAsia="en-ID"/>
                    </w:rPr>
                  </w:pPr>
                  <w:bookmarkStart w:id="3" w:name="_Hlk158570437"/>
                  <w:r w:rsidRPr="001602CB">
                    <w:rPr>
                      <w:rFonts w:ascii="Book Antiqua" w:hAnsi="Book Antiqua"/>
                      <w:color w:val="000000"/>
                      <w:lang w:val="en-ID" w:eastAsia="en-ID"/>
                    </w:rPr>
                    <w:t>Cost Paid by Pilgrims</w:t>
                  </w:r>
                </w:p>
              </w:tc>
              <w:tc>
                <w:tcPr>
                  <w:tcW w:w="1134" w:type="dxa"/>
                  <w:shd w:val="clear" w:color="auto" w:fill="auto"/>
                  <w:noWrap/>
                  <w:hideMark/>
                </w:tcPr>
                <w:p w14:paraId="77C93081" w14:textId="77777777" w:rsidR="001602CB" w:rsidRPr="001602CB" w:rsidRDefault="001602CB" w:rsidP="00427373">
                  <w:pPr>
                    <w:spacing w:after="0" w:line="240" w:lineRule="auto"/>
                    <w:jc w:val="center"/>
                    <w:rPr>
                      <w:rFonts w:ascii="Book Antiqua" w:hAnsi="Book Antiqua"/>
                      <w:color w:val="000000"/>
                      <w:lang w:val="en-ID" w:eastAsia="en-ID"/>
                    </w:rPr>
                  </w:pPr>
                  <w:r w:rsidRPr="001602CB">
                    <w:rPr>
                      <w:rFonts w:ascii="Book Antiqua" w:hAnsi="Book Antiqua"/>
                      <w:color w:val="000000"/>
                      <w:lang w:val="en-ID" w:eastAsia="en-ID"/>
                    </w:rPr>
                    <w:t>56,47%</w:t>
                  </w:r>
                </w:p>
              </w:tc>
              <w:tc>
                <w:tcPr>
                  <w:tcW w:w="992" w:type="dxa"/>
                  <w:shd w:val="clear" w:color="auto" w:fill="auto"/>
                  <w:noWrap/>
                  <w:hideMark/>
                </w:tcPr>
                <w:p w14:paraId="7C56B268" w14:textId="77777777" w:rsidR="001602CB" w:rsidRPr="001602CB" w:rsidRDefault="001602CB" w:rsidP="00427373">
                  <w:pPr>
                    <w:spacing w:after="0" w:line="240" w:lineRule="auto"/>
                    <w:jc w:val="center"/>
                    <w:rPr>
                      <w:rFonts w:ascii="Book Antiqua" w:hAnsi="Book Antiqua"/>
                      <w:color w:val="000000"/>
                      <w:lang w:val="en-ID" w:eastAsia="en-ID"/>
                    </w:rPr>
                  </w:pPr>
                  <w:r w:rsidRPr="001602CB">
                    <w:rPr>
                      <w:rFonts w:ascii="Book Antiqua" w:hAnsi="Book Antiqua"/>
                      <w:color w:val="000000"/>
                      <w:lang w:val="en-ID" w:eastAsia="en-ID"/>
                    </w:rPr>
                    <w:t>51,10%</w:t>
                  </w:r>
                </w:p>
              </w:tc>
              <w:tc>
                <w:tcPr>
                  <w:tcW w:w="1110" w:type="dxa"/>
                  <w:shd w:val="clear" w:color="auto" w:fill="auto"/>
                  <w:noWrap/>
                  <w:hideMark/>
                </w:tcPr>
                <w:p w14:paraId="25072F34" w14:textId="77777777" w:rsidR="001602CB" w:rsidRPr="001602CB" w:rsidRDefault="001602CB" w:rsidP="00427373">
                  <w:pPr>
                    <w:spacing w:after="0" w:line="240" w:lineRule="auto"/>
                    <w:jc w:val="center"/>
                    <w:rPr>
                      <w:rFonts w:ascii="Book Antiqua" w:hAnsi="Book Antiqua"/>
                      <w:color w:val="000000"/>
                      <w:lang w:val="en-ID" w:eastAsia="en-ID"/>
                    </w:rPr>
                  </w:pPr>
                  <w:r w:rsidRPr="001602CB">
                    <w:rPr>
                      <w:rFonts w:ascii="Book Antiqua" w:hAnsi="Book Antiqua"/>
                      <w:color w:val="000000"/>
                      <w:lang w:val="en-ID" w:eastAsia="en-ID"/>
                    </w:rPr>
                    <w:t>50,95%</w:t>
                  </w:r>
                </w:p>
              </w:tc>
              <w:tc>
                <w:tcPr>
                  <w:tcW w:w="1158" w:type="dxa"/>
                  <w:shd w:val="clear" w:color="auto" w:fill="auto"/>
                  <w:noWrap/>
                  <w:hideMark/>
                </w:tcPr>
                <w:p w14:paraId="1FAA9544" w14:textId="77777777" w:rsidR="001602CB" w:rsidRPr="001602CB" w:rsidRDefault="001602CB" w:rsidP="00427373">
                  <w:pPr>
                    <w:spacing w:after="0" w:line="240" w:lineRule="auto"/>
                    <w:jc w:val="center"/>
                    <w:rPr>
                      <w:rFonts w:ascii="Book Antiqua" w:hAnsi="Book Antiqua"/>
                      <w:color w:val="000000"/>
                      <w:lang w:val="en-ID" w:eastAsia="en-ID"/>
                    </w:rPr>
                  </w:pPr>
                  <w:r w:rsidRPr="001602CB">
                    <w:rPr>
                      <w:rFonts w:ascii="Book Antiqua" w:hAnsi="Book Antiqua"/>
                      <w:color w:val="000000"/>
                      <w:lang w:val="en-ID" w:eastAsia="en-ID"/>
                    </w:rPr>
                    <w:t>40,78%</w:t>
                  </w:r>
                </w:p>
              </w:tc>
              <w:tc>
                <w:tcPr>
                  <w:tcW w:w="1134" w:type="dxa"/>
                  <w:shd w:val="clear" w:color="auto" w:fill="auto"/>
                  <w:noWrap/>
                  <w:hideMark/>
                </w:tcPr>
                <w:p w14:paraId="6E2D0E18" w14:textId="77777777" w:rsidR="001602CB" w:rsidRPr="001602CB" w:rsidRDefault="001602CB" w:rsidP="00427373">
                  <w:pPr>
                    <w:spacing w:after="0" w:line="240" w:lineRule="auto"/>
                    <w:jc w:val="center"/>
                    <w:rPr>
                      <w:rFonts w:ascii="Book Antiqua" w:hAnsi="Book Antiqua"/>
                      <w:color w:val="000000"/>
                      <w:lang w:val="en-ID" w:eastAsia="en-ID"/>
                    </w:rPr>
                  </w:pPr>
                  <w:r w:rsidRPr="001602CB">
                    <w:rPr>
                      <w:rFonts w:ascii="Book Antiqua" w:hAnsi="Book Antiqua"/>
                      <w:color w:val="000000"/>
                      <w:lang w:val="en-ID" w:eastAsia="en-ID"/>
                    </w:rPr>
                    <w:t>55,31%</w:t>
                  </w:r>
                </w:p>
              </w:tc>
              <w:tc>
                <w:tcPr>
                  <w:tcW w:w="1134" w:type="dxa"/>
                  <w:shd w:val="clear" w:color="auto" w:fill="auto"/>
                  <w:noWrap/>
                  <w:hideMark/>
                </w:tcPr>
                <w:p w14:paraId="518297FE" w14:textId="77777777" w:rsidR="001602CB" w:rsidRPr="001602CB" w:rsidRDefault="001602CB" w:rsidP="00427373">
                  <w:pPr>
                    <w:spacing w:after="0" w:line="240" w:lineRule="auto"/>
                    <w:jc w:val="center"/>
                    <w:rPr>
                      <w:rFonts w:ascii="Book Antiqua" w:hAnsi="Book Antiqua"/>
                      <w:color w:val="000000"/>
                      <w:lang w:val="en-ID" w:eastAsia="en-ID"/>
                    </w:rPr>
                  </w:pPr>
                  <w:r w:rsidRPr="001602CB">
                    <w:rPr>
                      <w:rFonts w:ascii="Book Antiqua" w:hAnsi="Book Antiqua"/>
                      <w:color w:val="000000"/>
                      <w:lang w:val="en-ID" w:eastAsia="en-ID"/>
                    </w:rPr>
                    <w:t>60,00%</w:t>
                  </w:r>
                </w:p>
              </w:tc>
            </w:tr>
            <w:bookmarkEnd w:id="3"/>
            <w:tr w:rsidR="001602CB" w:rsidRPr="001602CB" w14:paraId="0F905A3C" w14:textId="77777777" w:rsidTr="007F2E78">
              <w:trPr>
                <w:trHeight w:val="300"/>
              </w:trPr>
              <w:tc>
                <w:tcPr>
                  <w:tcW w:w="2332" w:type="dxa"/>
                  <w:shd w:val="clear" w:color="auto" w:fill="auto"/>
                  <w:noWrap/>
                  <w:hideMark/>
                </w:tcPr>
                <w:p w14:paraId="1E806D80" w14:textId="77777777" w:rsidR="001602CB" w:rsidRPr="001602CB" w:rsidRDefault="001602CB" w:rsidP="00427373">
                  <w:pPr>
                    <w:spacing w:after="0" w:line="240" w:lineRule="auto"/>
                    <w:rPr>
                      <w:rFonts w:ascii="Book Antiqua" w:hAnsi="Book Antiqua"/>
                      <w:color w:val="000000"/>
                      <w:lang w:val="en-ID" w:eastAsia="en-ID"/>
                    </w:rPr>
                  </w:pPr>
                  <w:r w:rsidRPr="001602CB">
                    <w:rPr>
                      <w:rFonts w:ascii="Book Antiqua" w:hAnsi="Book Antiqua"/>
                      <w:color w:val="000000"/>
                      <w:lang w:val="en-ID" w:eastAsia="en-ID"/>
                    </w:rPr>
                    <w:t>Total Hajj Cost</w:t>
                  </w:r>
                </w:p>
              </w:tc>
              <w:tc>
                <w:tcPr>
                  <w:tcW w:w="1134" w:type="dxa"/>
                  <w:shd w:val="clear" w:color="auto" w:fill="auto"/>
                  <w:noWrap/>
                  <w:hideMark/>
                </w:tcPr>
                <w:p w14:paraId="3FF5920E" w14:textId="77777777" w:rsidR="001602CB" w:rsidRPr="001602CB" w:rsidRDefault="001602CB" w:rsidP="00427373">
                  <w:pPr>
                    <w:spacing w:after="0" w:line="240" w:lineRule="auto"/>
                    <w:jc w:val="center"/>
                    <w:rPr>
                      <w:rFonts w:ascii="Book Antiqua" w:hAnsi="Book Antiqua"/>
                      <w:color w:val="000000"/>
                      <w:lang w:val="en-ID" w:eastAsia="en-ID"/>
                    </w:rPr>
                  </w:pPr>
                  <w:r w:rsidRPr="001602CB">
                    <w:rPr>
                      <w:rFonts w:ascii="Book Antiqua" w:hAnsi="Book Antiqua"/>
                      <w:color w:val="000000"/>
                      <w:lang w:val="en-ID" w:eastAsia="en-ID"/>
                    </w:rPr>
                    <w:t>100%</w:t>
                  </w:r>
                </w:p>
              </w:tc>
              <w:tc>
                <w:tcPr>
                  <w:tcW w:w="992" w:type="dxa"/>
                  <w:shd w:val="clear" w:color="auto" w:fill="auto"/>
                  <w:noWrap/>
                  <w:hideMark/>
                </w:tcPr>
                <w:p w14:paraId="4AF0F2A9" w14:textId="77777777" w:rsidR="001602CB" w:rsidRPr="001602CB" w:rsidRDefault="001602CB" w:rsidP="00427373">
                  <w:pPr>
                    <w:spacing w:after="0" w:line="240" w:lineRule="auto"/>
                    <w:jc w:val="center"/>
                    <w:rPr>
                      <w:rFonts w:ascii="Book Antiqua" w:hAnsi="Book Antiqua"/>
                      <w:color w:val="000000"/>
                      <w:lang w:val="en-ID" w:eastAsia="en-ID"/>
                    </w:rPr>
                  </w:pPr>
                  <w:r w:rsidRPr="001602CB">
                    <w:rPr>
                      <w:rFonts w:ascii="Book Antiqua" w:hAnsi="Book Antiqua"/>
                      <w:color w:val="000000"/>
                      <w:lang w:val="en-ID" w:eastAsia="en-ID"/>
                    </w:rPr>
                    <w:t>100%</w:t>
                  </w:r>
                </w:p>
              </w:tc>
              <w:tc>
                <w:tcPr>
                  <w:tcW w:w="1110" w:type="dxa"/>
                  <w:shd w:val="clear" w:color="auto" w:fill="auto"/>
                  <w:noWrap/>
                  <w:hideMark/>
                </w:tcPr>
                <w:p w14:paraId="189A137D" w14:textId="77777777" w:rsidR="001602CB" w:rsidRPr="001602CB" w:rsidRDefault="001602CB" w:rsidP="00427373">
                  <w:pPr>
                    <w:spacing w:after="0" w:line="240" w:lineRule="auto"/>
                    <w:jc w:val="center"/>
                    <w:rPr>
                      <w:rFonts w:ascii="Book Antiqua" w:hAnsi="Book Antiqua"/>
                      <w:color w:val="000000"/>
                      <w:lang w:val="en-ID" w:eastAsia="en-ID"/>
                    </w:rPr>
                  </w:pPr>
                  <w:r w:rsidRPr="001602CB">
                    <w:rPr>
                      <w:rFonts w:ascii="Book Antiqua" w:hAnsi="Book Antiqua"/>
                      <w:color w:val="000000"/>
                      <w:lang w:val="en-ID" w:eastAsia="en-ID"/>
                    </w:rPr>
                    <w:t>100%</w:t>
                  </w:r>
                </w:p>
              </w:tc>
              <w:tc>
                <w:tcPr>
                  <w:tcW w:w="1158" w:type="dxa"/>
                  <w:shd w:val="clear" w:color="auto" w:fill="auto"/>
                  <w:noWrap/>
                  <w:hideMark/>
                </w:tcPr>
                <w:p w14:paraId="69EA70EF" w14:textId="77777777" w:rsidR="001602CB" w:rsidRPr="001602CB" w:rsidRDefault="001602CB" w:rsidP="00427373">
                  <w:pPr>
                    <w:spacing w:after="0" w:line="240" w:lineRule="auto"/>
                    <w:jc w:val="center"/>
                    <w:rPr>
                      <w:rFonts w:ascii="Book Antiqua" w:hAnsi="Book Antiqua"/>
                      <w:color w:val="000000"/>
                      <w:lang w:val="en-ID" w:eastAsia="en-ID"/>
                    </w:rPr>
                  </w:pPr>
                  <w:r w:rsidRPr="001602CB">
                    <w:rPr>
                      <w:rFonts w:ascii="Book Antiqua" w:hAnsi="Book Antiqua"/>
                      <w:color w:val="000000"/>
                      <w:lang w:val="en-ID" w:eastAsia="en-ID"/>
                    </w:rPr>
                    <w:t>100%</w:t>
                  </w:r>
                </w:p>
              </w:tc>
              <w:tc>
                <w:tcPr>
                  <w:tcW w:w="1134" w:type="dxa"/>
                  <w:shd w:val="clear" w:color="auto" w:fill="auto"/>
                  <w:noWrap/>
                  <w:hideMark/>
                </w:tcPr>
                <w:p w14:paraId="61FB6873" w14:textId="77777777" w:rsidR="001602CB" w:rsidRPr="001602CB" w:rsidRDefault="001602CB" w:rsidP="00427373">
                  <w:pPr>
                    <w:spacing w:after="0" w:line="240" w:lineRule="auto"/>
                    <w:jc w:val="center"/>
                    <w:rPr>
                      <w:rFonts w:ascii="Book Antiqua" w:hAnsi="Book Antiqua"/>
                      <w:color w:val="000000"/>
                      <w:lang w:val="en-ID" w:eastAsia="en-ID"/>
                    </w:rPr>
                  </w:pPr>
                  <w:r w:rsidRPr="001602CB">
                    <w:rPr>
                      <w:rFonts w:ascii="Book Antiqua" w:hAnsi="Book Antiqua"/>
                      <w:color w:val="000000"/>
                      <w:lang w:val="en-ID" w:eastAsia="en-ID"/>
                    </w:rPr>
                    <w:t>100%</w:t>
                  </w:r>
                </w:p>
              </w:tc>
              <w:tc>
                <w:tcPr>
                  <w:tcW w:w="1134" w:type="dxa"/>
                  <w:shd w:val="clear" w:color="auto" w:fill="auto"/>
                  <w:noWrap/>
                  <w:hideMark/>
                </w:tcPr>
                <w:p w14:paraId="04E2E5A3" w14:textId="77777777" w:rsidR="001602CB" w:rsidRPr="001602CB" w:rsidRDefault="001602CB" w:rsidP="00427373">
                  <w:pPr>
                    <w:spacing w:after="0" w:line="240" w:lineRule="auto"/>
                    <w:jc w:val="center"/>
                    <w:rPr>
                      <w:rFonts w:ascii="Book Antiqua" w:hAnsi="Book Antiqua"/>
                      <w:color w:val="000000"/>
                      <w:lang w:val="en-ID" w:eastAsia="en-ID"/>
                    </w:rPr>
                  </w:pPr>
                  <w:r w:rsidRPr="001602CB">
                    <w:rPr>
                      <w:rFonts w:ascii="Book Antiqua" w:hAnsi="Book Antiqua"/>
                      <w:color w:val="000000"/>
                      <w:lang w:val="en-ID" w:eastAsia="en-ID"/>
                    </w:rPr>
                    <w:t>100%</w:t>
                  </w:r>
                </w:p>
              </w:tc>
            </w:tr>
          </w:tbl>
          <w:p w14:paraId="2FE2763B" w14:textId="77777777" w:rsidR="001602CB" w:rsidRPr="001602CB" w:rsidRDefault="001602CB" w:rsidP="00157A08">
            <w:pPr>
              <w:spacing w:after="120" w:line="240" w:lineRule="auto"/>
              <w:ind w:left="142"/>
              <w:rPr>
                <w:rFonts w:ascii="Book Antiqua" w:hAnsi="Book Antiqua"/>
                <w:i/>
                <w:iCs/>
                <w:color w:val="000000"/>
                <w:sz w:val="20"/>
                <w:szCs w:val="20"/>
              </w:rPr>
            </w:pPr>
            <w:r w:rsidRPr="001602CB">
              <w:rPr>
                <w:rFonts w:ascii="Book Antiqua" w:hAnsi="Book Antiqua"/>
                <w:i/>
                <w:iCs/>
                <w:color w:val="000000"/>
                <w:sz w:val="20"/>
                <w:szCs w:val="20"/>
              </w:rPr>
              <w:t xml:space="preserve">Source: Badan </w:t>
            </w:r>
            <w:proofErr w:type="spellStart"/>
            <w:r w:rsidRPr="001602CB">
              <w:rPr>
                <w:rFonts w:ascii="Book Antiqua" w:hAnsi="Book Antiqua"/>
                <w:i/>
                <w:iCs/>
                <w:color w:val="000000"/>
                <w:sz w:val="20"/>
                <w:szCs w:val="20"/>
              </w:rPr>
              <w:t>Pengelola</w:t>
            </w:r>
            <w:proofErr w:type="spellEnd"/>
            <w:r w:rsidRPr="001602CB">
              <w:rPr>
                <w:rFonts w:ascii="Book Antiqua" w:hAnsi="Book Antiqua"/>
                <w:i/>
                <w:iCs/>
                <w:color w:val="000000"/>
                <w:sz w:val="20"/>
                <w:szCs w:val="20"/>
              </w:rPr>
              <w:t xml:space="preserve"> </w:t>
            </w:r>
            <w:proofErr w:type="spellStart"/>
            <w:r w:rsidRPr="001602CB">
              <w:rPr>
                <w:rFonts w:ascii="Book Antiqua" w:hAnsi="Book Antiqua"/>
                <w:i/>
                <w:iCs/>
                <w:color w:val="000000"/>
                <w:sz w:val="20"/>
                <w:szCs w:val="20"/>
              </w:rPr>
              <w:t>Keuangan</w:t>
            </w:r>
            <w:proofErr w:type="spellEnd"/>
            <w:r w:rsidRPr="001602CB">
              <w:rPr>
                <w:rFonts w:ascii="Book Antiqua" w:hAnsi="Book Antiqua"/>
                <w:i/>
                <w:iCs/>
                <w:color w:val="000000"/>
                <w:sz w:val="20"/>
                <w:szCs w:val="20"/>
              </w:rPr>
              <w:t xml:space="preserve"> Haji</w:t>
            </w:r>
          </w:p>
          <w:p w14:paraId="0D9895FB" w14:textId="2EB89BF2" w:rsidR="007A653A" w:rsidRPr="00427373" w:rsidRDefault="001602CB" w:rsidP="00427373">
            <w:pPr>
              <w:spacing w:after="120" w:line="240" w:lineRule="auto"/>
              <w:ind w:left="62" w:firstLine="567"/>
              <w:rPr>
                <w:rFonts w:ascii="Book Antiqua" w:hAnsi="Book Antiqua"/>
                <w:color w:val="000000"/>
                <w:sz w:val="24"/>
                <w:szCs w:val="24"/>
              </w:rPr>
            </w:pPr>
            <w:r w:rsidRPr="00E54420">
              <w:rPr>
                <w:rFonts w:ascii="Book Antiqua" w:hAnsi="Book Antiqua"/>
                <w:color w:val="000000"/>
                <w:sz w:val="24"/>
                <w:szCs w:val="24"/>
              </w:rPr>
              <w:t>The tables shown that each year BPKH must produce benefit value to pay almost half proportion of total hajj cost. In 2022, the percentage paid by BPKH is even greater than the percentage paid by the pilgrims because there was additional cost related to Covid19 that caused total hajj cost jump to IDR 98 million per person. This amount further increases the portion of BPKH’s benefit value. The Hajj Financial Investment as regulated in Law No. 34 of 2014 and PP No. 5 of 2018, is the backbone to achieve BPKH’s benefit value for covering total hajj cost which tend to increase in amount each year.</w:t>
            </w:r>
          </w:p>
          <w:p w14:paraId="7151FB1E" w14:textId="77777777" w:rsidR="007A653A" w:rsidRDefault="007A653A" w:rsidP="007A653A">
            <w:pPr>
              <w:spacing w:after="0" w:line="240" w:lineRule="auto"/>
              <w:ind w:firstLine="142"/>
              <w:jc w:val="center"/>
              <w:rPr>
                <w:rFonts w:ascii="Book Antiqua" w:hAnsi="Book Antiqua"/>
                <w:b/>
                <w:bCs/>
                <w:color w:val="000000"/>
                <w:sz w:val="24"/>
                <w:szCs w:val="24"/>
              </w:rPr>
            </w:pPr>
          </w:p>
          <w:p w14:paraId="2C548EC0" w14:textId="4B91F3DD" w:rsidR="007A653A" w:rsidRDefault="001602CB" w:rsidP="007A653A">
            <w:pPr>
              <w:spacing w:after="0" w:line="240" w:lineRule="auto"/>
              <w:ind w:firstLine="142"/>
              <w:jc w:val="center"/>
              <w:rPr>
                <w:rFonts w:ascii="Book Antiqua" w:hAnsi="Book Antiqua"/>
                <w:b/>
                <w:bCs/>
                <w:color w:val="000000"/>
                <w:sz w:val="24"/>
                <w:szCs w:val="24"/>
              </w:rPr>
            </w:pPr>
            <w:r w:rsidRPr="001602CB">
              <w:rPr>
                <w:rFonts w:ascii="Book Antiqua" w:hAnsi="Book Antiqua"/>
                <w:b/>
                <w:bCs/>
                <w:color w:val="000000"/>
                <w:sz w:val="24"/>
                <w:szCs w:val="24"/>
              </w:rPr>
              <w:t>Tabel 3.  Composition of Bank Placement &amp; Investment by BPKH</w:t>
            </w:r>
          </w:p>
          <w:p w14:paraId="7CAFD32B" w14:textId="60BF7767" w:rsidR="001602CB" w:rsidRPr="001602CB" w:rsidRDefault="001602CB" w:rsidP="007A653A">
            <w:pPr>
              <w:spacing w:line="240" w:lineRule="auto"/>
              <w:ind w:firstLine="142"/>
              <w:jc w:val="center"/>
              <w:rPr>
                <w:rFonts w:ascii="Book Antiqua" w:hAnsi="Book Antiqua"/>
                <w:b/>
                <w:bCs/>
                <w:color w:val="000000"/>
                <w:sz w:val="24"/>
                <w:szCs w:val="24"/>
              </w:rPr>
            </w:pPr>
            <w:r w:rsidRPr="001602CB">
              <w:rPr>
                <w:rFonts w:ascii="Book Antiqua" w:hAnsi="Book Antiqua"/>
                <w:b/>
                <w:bCs/>
                <w:color w:val="000000"/>
                <w:sz w:val="24"/>
                <w:szCs w:val="24"/>
              </w:rPr>
              <w:t>as per 31 Dec 2022</w:t>
            </w:r>
          </w:p>
          <w:tbl>
            <w:tblPr>
              <w:tblW w:w="9136" w:type="dxa"/>
              <w:tblInd w:w="132" w:type="dxa"/>
              <w:tblBorders>
                <w:top w:val="single" w:sz="4" w:space="0" w:color="auto"/>
                <w:bottom w:val="single" w:sz="4" w:space="0" w:color="auto"/>
              </w:tblBorders>
              <w:tblLook w:val="04A0" w:firstRow="1" w:lastRow="0" w:firstColumn="1" w:lastColumn="0" w:noHBand="0" w:noVBand="1"/>
            </w:tblPr>
            <w:tblGrid>
              <w:gridCol w:w="4395"/>
              <w:gridCol w:w="2375"/>
              <w:gridCol w:w="2366"/>
            </w:tblGrid>
            <w:tr w:rsidR="001602CB" w:rsidRPr="00E54420" w14:paraId="36BDF970" w14:textId="77777777" w:rsidTr="007F2E78">
              <w:trPr>
                <w:trHeight w:val="330"/>
              </w:trPr>
              <w:tc>
                <w:tcPr>
                  <w:tcW w:w="4395" w:type="dxa"/>
                  <w:tcBorders>
                    <w:top w:val="single" w:sz="4" w:space="0" w:color="auto"/>
                    <w:bottom w:val="single" w:sz="4" w:space="0" w:color="auto"/>
                  </w:tcBorders>
                  <w:shd w:val="clear" w:color="auto" w:fill="auto"/>
                  <w:vAlign w:val="center"/>
                  <w:hideMark/>
                </w:tcPr>
                <w:p w14:paraId="00451F45" w14:textId="77777777" w:rsidR="001602CB" w:rsidRPr="001602CB" w:rsidRDefault="001602CB" w:rsidP="00427373">
                  <w:pPr>
                    <w:spacing w:after="0" w:line="240" w:lineRule="auto"/>
                    <w:jc w:val="center"/>
                    <w:rPr>
                      <w:rFonts w:ascii="Book Antiqua" w:hAnsi="Book Antiqua"/>
                      <w:b/>
                      <w:bCs/>
                      <w:color w:val="000000"/>
                      <w:lang w:val="en-ID" w:eastAsia="en-ID"/>
                    </w:rPr>
                  </w:pPr>
                  <w:r w:rsidRPr="001602CB">
                    <w:rPr>
                      <w:rFonts w:ascii="Book Antiqua" w:hAnsi="Book Antiqua"/>
                      <w:b/>
                      <w:bCs/>
                      <w:color w:val="000000"/>
                      <w:lang w:eastAsia="en-ID"/>
                    </w:rPr>
                    <w:t>Instruments</w:t>
                  </w:r>
                </w:p>
              </w:tc>
              <w:tc>
                <w:tcPr>
                  <w:tcW w:w="2375" w:type="dxa"/>
                  <w:tcBorders>
                    <w:top w:val="single" w:sz="4" w:space="0" w:color="auto"/>
                    <w:bottom w:val="single" w:sz="4" w:space="0" w:color="auto"/>
                  </w:tcBorders>
                  <w:shd w:val="clear" w:color="auto" w:fill="auto"/>
                  <w:vAlign w:val="center"/>
                  <w:hideMark/>
                </w:tcPr>
                <w:p w14:paraId="76CD5D46" w14:textId="77777777" w:rsidR="001602CB" w:rsidRPr="001602CB" w:rsidRDefault="001602CB" w:rsidP="00427373">
                  <w:pPr>
                    <w:spacing w:after="0" w:line="240" w:lineRule="auto"/>
                    <w:jc w:val="center"/>
                    <w:rPr>
                      <w:rFonts w:ascii="Book Antiqua" w:hAnsi="Book Antiqua"/>
                      <w:b/>
                      <w:bCs/>
                      <w:color w:val="000000"/>
                      <w:lang w:val="en-ID" w:eastAsia="en-ID"/>
                    </w:rPr>
                  </w:pPr>
                  <w:r w:rsidRPr="001602CB">
                    <w:rPr>
                      <w:rFonts w:ascii="Book Antiqua" w:hAnsi="Book Antiqua"/>
                      <w:b/>
                      <w:bCs/>
                      <w:color w:val="000000"/>
                      <w:lang w:eastAsia="en-ID"/>
                    </w:rPr>
                    <w:t>IDR</w:t>
                  </w:r>
                </w:p>
              </w:tc>
              <w:tc>
                <w:tcPr>
                  <w:tcW w:w="2366" w:type="dxa"/>
                  <w:tcBorders>
                    <w:top w:val="single" w:sz="4" w:space="0" w:color="auto"/>
                    <w:bottom w:val="single" w:sz="4" w:space="0" w:color="auto"/>
                  </w:tcBorders>
                  <w:shd w:val="clear" w:color="auto" w:fill="auto"/>
                  <w:vAlign w:val="center"/>
                  <w:hideMark/>
                </w:tcPr>
                <w:p w14:paraId="3F804403" w14:textId="77777777" w:rsidR="001602CB" w:rsidRPr="001602CB" w:rsidRDefault="001602CB" w:rsidP="00427373">
                  <w:pPr>
                    <w:spacing w:after="0" w:line="240" w:lineRule="auto"/>
                    <w:jc w:val="center"/>
                    <w:rPr>
                      <w:rFonts w:ascii="Book Antiqua" w:hAnsi="Book Antiqua"/>
                      <w:b/>
                      <w:bCs/>
                      <w:color w:val="000000"/>
                      <w:lang w:val="en-ID" w:eastAsia="en-ID"/>
                    </w:rPr>
                  </w:pPr>
                  <w:r w:rsidRPr="001602CB">
                    <w:rPr>
                      <w:rFonts w:ascii="Book Antiqua" w:hAnsi="Book Antiqua"/>
                      <w:b/>
                      <w:bCs/>
                      <w:color w:val="000000"/>
                      <w:lang w:val="en-ID" w:eastAsia="en-ID"/>
                    </w:rPr>
                    <w:t>%</w:t>
                  </w:r>
                </w:p>
              </w:tc>
            </w:tr>
            <w:tr w:rsidR="001602CB" w:rsidRPr="00E54420" w14:paraId="11BEB21B" w14:textId="77777777" w:rsidTr="007F2E78">
              <w:trPr>
                <w:trHeight w:val="330"/>
              </w:trPr>
              <w:tc>
                <w:tcPr>
                  <w:tcW w:w="4395" w:type="dxa"/>
                  <w:tcBorders>
                    <w:top w:val="single" w:sz="4" w:space="0" w:color="auto"/>
                  </w:tcBorders>
                  <w:shd w:val="clear" w:color="auto" w:fill="auto"/>
                  <w:vAlign w:val="center"/>
                  <w:hideMark/>
                </w:tcPr>
                <w:p w14:paraId="31170911" w14:textId="77777777" w:rsidR="001602CB" w:rsidRPr="001602CB" w:rsidRDefault="001602CB" w:rsidP="00427373">
                  <w:pPr>
                    <w:spacing w:after="0" w:line="240" w:lineRule="auto"/>
                    <w:jc w:val="center"/>
                    <w:rPr>
                      <w:rFonts w:ascii="Book Antiqua" w:hAnsi="Book Antiqua"/>
                      <w:color w:val="000000"/>
                      <w:lang w:val="en-ID" w:eastAsia="en-ID"/>
                    </w:rPr>
                  </w:pPr>
                  <w:r w:rsidRPr="001602CB">
                    <w:rPr>
                      <w:rFonts w:ascii="Book Antiqua" w:hAnsi="Book Antiqua"/>
                      <w:color w:val="000000"/>
                      <w:lang w:eastAsia="en-ID"/>
                    </w:rPr>
                    <w:t>Bank Placements</w:t>
                  </w:r>
                </w:p>
              </w:tc>
              <w:tc>
                <w:tcPr>
                  <w:tcW w:w="2375" w:type="dxa"/>
                  <w:tcBorders>
                    <w:top w:val="single" w:sz="4" w:space="0" w:color="auto"/>
                  </w:tcBorders>
                  <w:shd w:val="clear" w:color="auto" w:fill="auto"/>
                  <w:vAlign w:val="center"/>
                  <w:hideMark/>
                </w:tcPr>
                <w:p w14:paraId="5BC3A0AC" w14:textId="77777777" w:rsidR="001602CB" w:rsidRPr="001602CB" w:rsidRDefault="001602CB" w:rsidP="00427373">
                  <w:pPr>
                    <w:spacing w:after="0" w:line="240" w:lineRule="auto"/>
                    <w:jc w:val="center"/>
                    <w:rPr>
                      <w:rFonts w:ascii="Book Antiqua" w:hAnsi="Book Antiqua"/>
                      <w:color w:val="000000"/>
                      <w:lang w:val="en-ID" w:eastAsia="en-ID"/>
                    </w:rPr>
                  </w:pPr>
                  <w:r w:rsidRPr="001602CB">
                    <w:rPr>
                      <w:rFonts w:ascii="Book Antiqua" w:hAnsi="Book Antiqua"/>
                      <w:color w:val="000000"/>
                      <w:lang w:val="en-ID" w:eastAsia="en-ID"/>
                    </w:rPr>
                    <w:t>48.950.000.000.000</w:t>
                  </w:r>
                </w:p>
              </w:tc>
              <w:tc>
                <w:tcPr>
                  <w:tcW w:w="2366" w:type="dxa"/>
                  <w:tcBorders>
                    <w:top w:val="single" w:sz="4" w:space="0" w:color="auto"/>
                  </w:tcBorders>
                  <w:shd w:val="clear" w:color="auto" w:fill="auto"/>
                  <w:vAlign w:val="center"/>
                  <w:hideMark/>
                </w:tcPr>
                <w:p w14:paraId="7AF7DBF8" w14:textId="77777777" w:rsidR="001602CB" w:rsidRPr="001602CB" w:rsidRDefault="001602CB" w:rsidP="00427373">
                  <w:pPr>
                    <w:spacing w:after="0" w:line="240" w:lineRule="auto"/>
                    <w:jc w:val="center"/>
                    <w:rPr>
                      <w:rFonts w:ascii="Book Antiqua" w:hAnsi="Book Antiqua"/>
                      <w:color w:val="000000"/>
                      <w:lang w:val="en-ID" w:eastAsia="en-ID"/>
                    </w:rPr>
                  </w:pPr>
                  <w:r w:rsidRPr="001602CB">
                    <w:rPr>
                      <w:rFonts w:ascii="Book Antiqua" w:hAnsi="Book Antiqua"/>
                      <w:color w:val="000000"/>
                      <w:lang w:val="en-ID" w:eastAsia="en-ID"/>
                    </w:rPr>
                    <w:t>29,39%</w:t>
                  </w:r>
                </w:p>
              </w:tc>
            </w:tr>
            <w:tr w:rsidR="001602CB" w:rsidRPr="00E54420" w14:paraId="5012B699" w14:textId="77777777" w:rsidTr="007F2E78">
              <w:trPr>
                <w:trHeight w:val="330"/>
              </w:trPr>
              <w:tc>
                <w:tcPr>
                  <w:tcW w:w="4395" w:type="dxa"/>
                  <w:shd w:val="clear" w:color="auto" w:fill="auto"/>
                  <w:vAlign w:val="center"/>
                  <w:hideMark/>
                </w:tcPr>
                <w:p w14:paraId="5BC376C5" w14:textId="77777777" w:rsidR="001602CB" w:rsidRPr="001602CB" w:rsidRDefault="001602CB" w:rsidP="00427373">
                  <w:pPr>
                    <w:spacing w:after="0" w:line="240" w:lineRule="auto"/>
                    <w:jc w:val="center"/>
                    <w:rPr>
                      <w:rFonts w:ascii="Book Antiqua" w:hAnsi="Book Antiqua"/>
                      <w:color w:val="000000"/>
                      <w:lang w:val="en-ID" w:eastAsia="en-ID"/>
                    </w:rPr>
                  </w:pPr>
                  <w:r w:rsidRPr="001602CB">
                    <w:rPr>
                      <w:rFonts w:ascii="Book Antiqua" w:hAnsi="Book Antiqua"/>
                      <w:color w:val="000000"/>
                      <w:lang w:eastAsia="en-ID"/>
                    </w:rPr>
                    <w:t>Securities Investments</w:t>
                  </w:r>
                </w:p>
              </w:tc>
              <w:tc>
                <w:tcPr>
                  <w:tcW w:w="2375" w:type="dxa"/>
                  <w:shd w:val="clear" w:color="auto" w:fill="auto"/>
                  <w:vAlign w:val="center"/>
                  <w:hideMark/>
                </w:tcPr>
                <w:p w14:paraId="74B04FE9" w14:textId="77777777" w:rsidR="001602CB" w:rsidRPr="001602CB" w:rsidRDefault="001602CB" w:rsidP="00427373">
                  <w:pPr>
                    <w:spacing w:after="0" w:line="240" w:lineRule="auto"/>
                    <w:jc w:val="center"/>
                    <w:rPr>
                      <w:rFonts w:ascii="Book Antiqua" w:hAnsi="Book Antiqua"/>
                      <w:color w:val="000000"/>
                      <w:lang w:val="en-ID" w:eastAsia="en-ID"/>
                    </w:rPr>
                  </w:pPr>
                  <w:r w:rsidRPr="001602CB">
                    <w:rPr>
                      <w:rFonts w:ascii="Book Antiqua" w:hAnsi="Book Antiqua"/>
                      <w:color w:val="000000"/>
                      <w:lang w:val="en-ID" w:eastAsia="en-ID"/>
                    </w:rPr>
                    <w:t>112.959.600.000.000</w:t>
                  </w:r>
                </w:p>
              </w:tc>
              <w:tc>
                <w:tcPr>
                  <w:tcW w:w="2366" w:type="dxa"/>
                  <w:shd w:val="clear" w:color="auto" w:fill="auto"/>
                  <w:vAlign w:val="center"/>
                  <w:hideMark/>
                </w:tcPr>
                <w:p w14:paraId="2AF69083" w14:textId="77777777" w:rsidR="001602CB" w:rsidRPr="001602CB" w:rsidRDefault="001602CB" w:rsidP="00427373">
                  <w:pPr>
                    <w:spacing w:after="0" w:line="240" w:lineRule="auto"/>
                    <w:jc w:val="center"/>
                    <w:rPr>
                      <w:rFonts w:ascii="Book Antiqua" w:hAnsi="Book Antiqua"/>
                      <w:color w:val="000000"/>
                      <w:lang w:val="en-ID" w:eastAsia="en-ID"/>
                    </w:rPr>
                  </w:pPr>
                  <w:r w:rsidRPr="001602CB">
                    <w:rPr>
                      <w:rFonts w:ascii="Book Antiqua" w:hAnsi="Book Antiqua"/>
                      <w:color w:val="000000"/>
                      <w:lang w:val="en-ID" w:eastAsia="en-ID"/>
                    </w:rPr>
                    <w:t>67,83%</w:t>
                  </w:r>
                </w:p>
              </w:tc>
            </w:tr>
            <w:tr w:rsidR="001602CB" w:rsidRPr="00E54420" w14:paraId="519EA4CB" w14:textId="77777777" w:rsidTr="007F2E78">
              <w:trPr>
                <w:trHeight w:val="330"/>
              </w:trPr>
              <w:tc>
                <w:tcPr>
                  <w:tcW w:w="4395" w:type="dxa"/>
                  <w:shd w:val="clear" w:color="auto" w:fill="auto"/>
                  <w:vAlign w:val="center"/>
                  <w:hideMark/>
                </w:tcPr>
                <w:p w14:paraId="78F3F095" w14:textId="77777777" w:rsidR="001602CB" w:rsidRPr="001602CB" w:rsidRDefault="001602CB" w:rsidP="00427373">
                  <w:pPr>
                    <w:spacing w:after="0" w:line="240" w:lineRule="auto"/>
                    <w:jc w:val="center"/>
                    <w:rPr>
                      <w:rFonts w:ascii="Book Antiqua" w:hAnsi="Book Antiqua"/>
                      <w:color w:val="000000"/>
                      <w:lang w:val="en-ID" w:eastAsia="en-ID"/>
                    </w:rPr>
                  </w:pPr>
                  <w:r w:rsidRPr="001602CB">
                    <w:rPr>
                      <w:rFonts w:ascii="Book Antiqua" w:hAnsi="Book Antiqua"/>
                      <w:color w:val="000000"/>
                      <w:lang w:eastAsia="en-ID"/>
                    </w:rPr>
                    <w:t xml:space="preserve">Direct </w:t>
                  </w:r>
                  <w:proofErr w:type="spellStart"/>
                  <w:r w:rsidRPr="001602CB">
                    <w:rPr>
                      <w:rFonts w:ascii="Book Antiqua" w:hAnsi="Book Antiqua"/>
                      <w:color w:val="000000"/>
                      <w:lang w:eastAsia="en-ID"/>
                    </w:rPr>
                    <w:t>Invesments</w:t>
                  </w:r>
                  <w:proofErr w:type="spellEnd"/>
                  <w:r w:rsidRPr="001602CB">
                    <w:rPr>
                      <w:rFonts w:ascii="Book Antiqua" w:hAnsi="Book Antiqua"/>
                      <w:color w:val="000000"/>
                      <w:lang w:eastAsia="en-ID"/>
                    </w:rPr>
                    <w:t xml:space="preserve"> &amp; Other </w:t>
                  </w:r>
                  <w:proofErr w:type="spellStart"/>
                  <w:r w:rsidRPr="001602CB">
                    <w:rPr>
                      <w:rFonts w:ascii="Book Antiqua" w:hAnsi="Book Antiqua"/>
                      <w:color w:val="000000"/>
                      <w:lang w:eastAsia="en-ID"/>
                    </w:rPr>
                    <w:t>Invesments</w:t>
                  </w:r>
                  <w:proofErr w:type="spellEnd"/>
                </w:p>
              </w:tc>
              <w:tc>
                <w:tcPr>
                  <w:tcW w:w="2375" w:type="dxa"/>
                  <w:shd w:val="clear" w:color="auto" w:fill="auto"/>
                  <w:vAlign w:val="center"/>
                  <w:hideMark/>
                </w:tcPr>
                <w:p w14:paraId="41617EA3" w14:textId="77777777" w:rsidR="001602CB" w:rsidRPr="001602CB" w:rsidRDefault="001602CB" w:rsidP="00427373">
                  <w:pPr>
                    <w:spacing w:after="0" w:line="240" w:lineRule="auto"/>
                    <w:jc w:val="center"/>
                    <w:rPr>
                      <w:rFonts w:ascii="Book Antiqua" w:hAnsi="Book Antiqua"/>
                      <w:color w:val="000000"/>
                      <w:lang w:val="en-ID" w:eastAsia="en-ID"/>
                    </w:rPr>
                  </w:pPr>
                  <w:r w:rsidRPr="001602CB">
                    <w:rPr>
                      <w:rFonts w:ascii="Book Antiqua" w:hAnsi="Book Antiqua"/>
                      <w:color w:val="000000"/>
                      <w:lang w:val="en-ID" w:eastAsia="en-ID"/>
                    </w:rPr>
                    <w:t>4.630.000.000.000</w:t>
                  </w:r>
                </w:p>
              </w:tc>
              <w:tc>
                <w:tcPr>
                  <w:tcW w:w="2366" w:type="dxa"/>
                  <w:shd w:val="clear" w:color="auto" w:fill="auto"/>
                  <w:vAlign w:val="center"/>
                  <w:hideMark/>
                </w:tcPr>
                <w:p w14:paraId="54440C74" w14:textId="77777777" w:rsidR="001602CB" w:rsidRPr="001602CB" w:rsidRDefault="001602CB" w:rsidP="00427373">
                  <w:pPr>
                    <w:spacing w:after="0" w:line="240" w:lineRule="auto"/>
                    <w:jc w:val="center"/>
                    <w:rPr>
                      <w:rFonts w:ascii="Book Antiqua" w:hAnsi="Book Antiqua"/>
                      <w:color w:val="000000"/>
                      <w:lang w:val="en-ID" w:eastAsia="en-ID"/>
                    </w:rPr>
                  </w:pPr>
                  <w:r w:rsidRPr="001602CB">
                    <w:rPr>
                      <w:rFonts w:ascii="Book Antiqua" w:hAnsi="Book Antiqua"/>
                      <w:color w:val="000000"/>
                      <w:lang w:val="en-ID" w:eastAsia="en-ID"/>
                    </w:rPr>
                    <w:t>2,78%</w:t>
                  </w:r>
                </w:p>
              </w:tc>
            </w:tr>
            <w:tr w:rsidR="001602CB" w:rsidRPr="00E54420" w14:paraId="04443BCB" w14:textId="77777777" w:rsidTr="007F2E78">
              <w:trPr>
                <w:trHeight w:val="330"/>
              </w:trPr>
              <w:tc>
                <w:tcPr>
                  <w:tcW w:w="4395" w:type="dxa"/>
                  <w:shd w:val="clear" w:color="auto" w:fill="auto"/>
                  <w:vAlign w:val="center"/>
                  <w:hideMark/>
                </w:tcPr>
                <w:p w14:paraId="4E24D3BD" w14:textId="77777777" w:rsidR="001602CB" w:rsidRPr="001602CB" w:rsidRDefault="001602CB" w:rsidP="00427373">
                  <w:pPr>
                    <w:spacing w:after="0" w:line="240" w:lineRule="auto"/>
                    <w:jc w:val="center"/>
                    <w:rPr>
                      <w:rFonts w:ascii="Book Antiqua" w:hAnsi="Book Antiqua"/>
                      <w:color w:val="000000"/>
                      <w:lang w:val="en-ID" w:eastAsia="en-ID"/>
                    </w:rPr>
                  </w:pPr>
                  <w:r w:rsidRPr="001602CB">
                    <w:rPr>
                      <w:rFonts w:ascii="Book Antiqua" w:hAnsi="Book Antiqua"/>
                      <w:color w:val="000000"/>
                      <w:lang w:eastAsia="en-ID"/>
                    </w:rPr>
                    <w:t>Gold Investments</w:t>
                  </w:r>
                </w:p>
              </w:tc>
              <w:tc>
                <w:tcPr>
                  <w:tcW w:w="2375" w:type="dxa"/>
                  <w:shd w:val="clear" w:color="auto" w:fill="auto"/>
                  <w:vAlign w:val="center"/>
                  <w:hideMark/>
                </w:tcPr>
                <w:p w14:paraId="75DBEB40" w14:textId="77777777" w:rsidR="001602CB" w:rsidRPr="001602CB" w:rsidRDefault="001602CB" w:rsidP="00427373">
                  <w:pPr>
                    <w:spacing w:after="0" w:line="240" w:lineRule="auto"/>
                    <w:jc w:val="center"/>
                    <w:rPr>
                      <w:rFonts w:ascii="Book Antiqua" w:hAnsi="Book Antiqua"/>
                      <w:color w:val="000000"/>
                      <w:lang w:val="en-ID" w:eastAsia="en-ID"/>
                    </w:rPr>
                  </w:pPr>
                  <w:r w:rsidRPr="001602CB">
                    <w:rPr>
                      <w:rFonts w:ascii="Book Antiqua" w:hAnsi="Book Antiqua"/>
                      <w:color w:val="000000"/>
                      <w:lang w:val="en-ID" w:eastAsia="en-ID"/>
                    </w:rPr>
                    <w:t>400.000.000</w:t>
                  </w:r>
                </w:p>
              </w:tc>
              <w:tc>
                <w:tcPr>
                  <w:tcW w:w="2366" w:type="dxa"/>
                  <w:shd w:val="clear" w:color="auto" w:fill="auto"/>
                  <w:vAlign w:val="center"/>
                  <w:hideMark/>
                </w:tcPr>
                <w:p w14:paraId="10DCDE2E" w14:textId="77777777" w:rsidR="001602CB" w:rsidRPr="001602CB" w:rsidRDefault="001602CB" w:rsidP="00427373">
                  <w:pPr>
                    <w:spacing w:after="0" w:line="240" w:lineRule="auto"/>
                    <w:jc w:val="center"/>
                    <w:rPr>
                      <w:rFonts w:ascii="Book Antiqua" w:hAnsi="Book Antiqua"/>
                      <w:color w:val="000000"/>
                      <w:lang w:val="en-ID" w:eastAsia="en-ID"/>
                    </w:rPr>
                  </w:pPr>
                  <w:r w:rsidRPr="001602CB">
                    <w:rPr>
                      <w:rFonts w:ascii="Book Antiqua" w:hAnsi="Book Antiqua"/>
                      <w:color w:val="000000"/>
                      <w:lang w:val="en-ID" w:eastAsia="en-ID"/>
                    </w:rPr>
                    <w:t>0,00%</w:t>
                  </w:r>
                </w:p>
              </w:tc>
            </w:tr>
            <w:tr w:rsidR="001602CB" w:rsidRPr="00E54420" w14:paraId="1AF57814" w14:textId="77777777" w:rsidTr="007F2E78">
              <w:trPr>
                <w:trHeight w:val="330"/>
              </w:trPr>
              <w:tc>
                <w:tcPr>
                  <w:tcW w:w="4395" w:type="dxa"/>
                  <w:shd w:val="clear" w:color="auto" w:fill="auto"/>
                  <w:vAlign w:val="center"/>
                  <w:hideMark/>
                </w:tcPr>
                <w:p w14:paraId="48B68D3F" w14:textId="77777777" w:rsidR="001602CB" w:rsidRPr="001602CB" w:rsidRDefault="001602CB" w:rsidP="00427373">
                  <w:pPr>
                    <w:spacing w:after="0" w:line="240" w:lineRule="auto"/>
                    <w:jc w:val="center"/>
                    <w:rPr>
                      <w:rFonts w:ascii="Book Antiqua" w:hAnsi="Book Antiqua"/>
                      <w:b/>
                      <w:bCs/>
                      <w:color w:val="000000"/>
                      <w:lang w:val="en-ID" w:eastAsia="en-ID"/>
                    </w:rPr>
                  </w:pPr>
                  <w:r w:rsidRPr="001602CB">
                    <w:rPr>
                      <w:rFonts w:ascii="Book Antiqua" w:hAnsi="Book Antiqua"/>
                      <w:b/>
                      <w:bCs/>
                      <w:color w:val="000000"/>
                      <w:lang w:eastAsia="en-ID"/>
                    </w:rPr>
                    <w:t>Total</w:t>
                  </w:r>
                </w:p>
              </w:tc>
              <w:tc>
                <w:tcPr>
                  <w:tcW w:w="2375" w:type="dxa"/>
                  <w:shd w:val="clear" w:color="auto" w:fill="auto"/>
                  <w:vAlign w:val="center"/>
                  <w:hideMark/>
                </w:tcPr>
                <w:p w14:paraId="1E559410" w14:textId="77777777" w:rsidR="001602CB" w:rsidRPr="001602CB" w:rsidRDefault="001602CB" w:rsidP="00427373">
                  <w:pPr>
                    <w:spacing w:after="0" w:line="240" w:lineRule="auto"/>
                    <w:jc w:val="center"/>
                    <w:rPr>
                      <w:rFonts w:ascii="Book Antiqua" w:hAnsi="Book Antiqua"/>
                      <w:b/>
                      <w:bCs/>
                      <w:color w:val="000000"/>
                      <w:lang w:val="en-ID" w:eastAsia="en-ID"/>
                    </w:rPr>
                  </w:pPr>
                  <w:r w:rsidRPr="001602CB">
                    <w:rPr>
                      <w:rFonts w:ascii="Book Antiqua" w:hAnsi="Book Antiqua"/>
                      <w:b/>
                      <w:bCs/>
                      <w:color w:val="000000"/>
                      <w:lang w:val="en-ID" w:eastAsia="en-ID"/>
                    </w:rPr>
                    <w:t>166.540.000.000.000</w:t>
                  </w:r>
                </w:p>
              </w:tc>
              <w:tc>
                <w:tcPr>
                  <w:tcW w:w="2366" w:type="dxa"/>
                  <w:shd w:val="clear" w:color="auto" w:fill="auto"/>
                  <w:vAlign w:val="center"/>
                  <w:hideMark/>
                </w:tcPr>
                <w:p w14:paraId="541DEC0C" w14:textId="77777777" w:rsidR="001602CB" w:rsidRPr="001602CB" w:rsidRDefault="001602CB" w:rsidP="00427373">
                  <w:pPr>
                    <w:spacing w:after="0" w:line="240" w:lineRule="auto"/>
                    <w:jc w:val="center"/>
                    <w:rPr>
                      <w:rFonts w:ascii="Book Antiqua" w:hAnsi="Book Antiqua"/>
                      <w:b/>
                      <w:bCs/>
                      <w:color w:val="000000"/>
                      <w:lang w:val="en-ID" w:eastAsia="en-ID"/>
                    </w:rPr>
                  </w:pPr>
                  <w:r w:rsidRPr="001602CB">
                    <w:rPr>
                      <w:rFonts w:ascii="Book Antiqua" w:hAnsi="Book Antiqua"/>
                      <w:b/>
                      <w:bCs/>
                      <w:color w:val="000000"/>
                      <w:lang w:val="en-ID" w:eastAsia="en-ID"/>
                    </w:rPr>
                    <w:t>100%</w:t>
                  </w:r>
                </w:p>
              </w:tc>
            </w:tr>
          </w:tbl>
          <w:p w14:paraId="4CF3A2E6" w14:textId="30E11CCE" w:rsidR="001602CB" w:rsidRPr="007A653A" w:rsidRDefault="001602CB" w:rsidP="007A653A">
            <w:pPr>
              <w:spacing w:after="240" w:line="240" w:lineRule="auto"/>
              <w:rPr>
                <w:rFonts w:ascii="Times New Roman" w:eastAsia="Times New Roman" w:hAnsi="Times New Roman" w:cs="Times New Roman"/>
                <w:i/>
                <w:iCs/>
                <w:sz w:val="20"/>
                <w:szCs w:val="20"/>
                <w:lang w:val="en-ID"/>
              </w:rPr>
            </w:pPr>
            <w:r w:rsidRPr="001602CB">
              <w:rPr>
                <w:rFonts w:ascii="Book Antiqua" w:hAnsi="Book Antiqua"/>
                <w:i/>
                <w:iCs/>
                <w:color w:val="000000"/>
                <w:sz w:val="20"/>
                <w:szCs w:val="20"/>
              </w:rPr>
              <w:t xml:space="preserve">Source: </w:t>
            </w:r>
            <w:r w:rsidRPr="001602CB">
              <w:rPr>
                <w:rFonts w:asciiTheme="majorBidi" w:hAnsiTheme="majorBidi" w:cstheme="majorBidi"/>
                <w:i/>
                <w:iCs/>
                <w:color w:val="000000"/>
                <w:sz w:val="20"/>
                <w:szCs w:val="20"/>
              </w:rPr>
              <w:t>L</w:t>
            </w:r>
            <w:proofErr w:type="spellStart"/>
            <w:r w:rsidRPr="001602CB">
              <w:rPr>
                <w:rFonts w:ascii="Times New Roman" w:eastAsia="Times New Roman" w:hAnsi="Times New Roman" w:cs="Times New Roman"/>
                <w:i/>
                <w:iCs/>
                <w:sz w:val="20"/>
                <w:szCs w:val="20"/>
                <w:lang w:val="en-ID"/>
              </w:rPr>
              <w:t>aporan</w:t>
            </w:r>
            <w:proofErr w:type="spellEnd"/>
            <w:r w:rsidRPr="001602CB">
              <w:rPr>
                <w:rFonts w:ascii="Times New Roman" w:eastAsia="Times New Roman" w:hAnsi="Times New Roman" w:cs="Times New Roman"/>
                <w:i/>
                <w:iCs/>
                <w:sz w:val="20"/>
                <w:szCs w:val="20"/>
                <w:lang w:val="en-ID"/>
              </w:rPr>
              <w:t xml:space="preserve"> </w:t>
            </w:r>
            <w:proofErr w:type="spellStart"/>
            <w:r w:rsidRPr="001602CB">
              <w:rPr>
                <w:rFonts w:ascii="Times New Roman" w:eastAsia="Times New Roman" w:hAnsi="Times New Roman" w:cs="Times New Roman"/>
                <w:i/>
                <w:iCs/>
                <w:sz w:val="20"/>
                <w:szCs w:val="20"/>
                <w:lang w:val="en-ID"/>
              </w:rPr>
              <w:t>Keuangan</w:t>
            </w:r>
            <w:proofErr w:type="spellEnd"/>
            <w:r w:rsidRPr="001602CB">
              <w:rPr>
                <w:rFonts w:ascii="Times New Roman" w:eastAsia="Times New Roman" w:hAnsi="Times New Roman" w:cs="Times New Roman"/>
                <w:i/>
                <w:iCs/>
                <w:sz w:val="20"/>
                <w:szCs w:val="20"/>
                <w:lang w:val="en-ID"/>
              </w:rPr>
              <w:t xml:space="preserve"> BPKH. Retrieved August 14, 2024</w:t>
            </w:r>
          </w:p>
          <w:p w14:paraId="39BD3C54" w14:textId="77777777" w:rsidR="001602CB" w:rsidRDefault="001602CB" w:rsidP="00157A08">
            <w:pPr>
              <w:spacing w:after="120" w:line="240" w:lineRule="auto"/>
              <w:ind w:left="142" w:firstLine="631"/>
              <w:rPr>
                <w:rFonts w:ascii="Book Antiqua" w:hAnsi="Book Antiqua"/>
                <w:color w:val="000000"/>
                <w:sz w:val="24"/>
                <w:szCs w:val="24"/>
              </w:rPr>
            </w:pPr>
            <w:r w:rsidRPr="00E54420">
              <w:rPr>
                <w:rFonts w:ascii="Book Antiqua" w:hAnsi="Book Antiqua"/>
                <w:color w:val="000000"/>
                <w:sz w:val="24"/>
                <w:szCs w:val="24"/>
              </w:rPr>
              <w:lastRenderedPageBreak/>
              <w:t>The table shown that most of the hajj's financial asset is invested in Securities Investments followed by Bank Placements, while Gold Investment have not yet reached 1% of the total BPKH Investment and Placement. Apart from the limited sharia investment options, the composition of Hajj financial investments is also formed based on BPKH's conservative risk appetite and risk tolerance at low-to-moderate risk levels. Risk appetite is formed partly because there is a joint liability clause for members of the Executive Board and Members of the Supervisory Board if there is a loss on the investments and bank placements (</w:t>
            </w:r>
            <w:proofErr w:type="spellStart"/>
            <w:r w:rsidRPr="00E54420">
              <w:rPr>
                <w:rFonts w:ascii="Book Antiqua" w:hAnsi="Book Antiqua"/>
                <w:color w:val="000000"/>
                <w:sz w:val="24"/>
                <w:szCs w:val="24"/>
              </w:rPr>
              <w:t>Prasetyo</w:t>
            </w:r>
            <w:proofErr w:type="spellEnd"/>
            <w:r w:rsidRPr="00E54420">
              <w:rPr>
                <w:rFonts w:ascii="Book Antiqua" w:hAnsi="Book Antiqua"/>
                <w:color w:val="000000"/>
                <w:sz w:val="24"/>
                <w:szCs w:val="24"/>
              </w:rPr>
              <w:t>, 2023). Currently the Law governing Hajj Finance does not yet have clauses relating to risk mitigation through reserves or capital as well as exemption from liability (</w:t>
            </w:r>
            <w:r w:rsidRPr="00E54420">
              <w:rPr>
                <w:rFonts w:ascii="Book Antiqua" w:hAnsi="Book Antiqua"/>
                <w:i/>
                <w:iCs/>
                <w:color w:val="000000"/>
                <w:sz w:val="24"/>
                <w:szCs w:val="24"/>
              </w:rPr>
              <w:t>acquit et de charge</w:t>
            </w:r>
            <w:r w:rsidRPr="00E54420">
              <w:rPr>
                <w:rFonts w:ascii="Book Antiqua" w:hAnsi="Book Antiqua"/>
                <w:color w:val="000000"/>
                <w:sz w:val="24"/>
                <w:szCs w:val="24"/>
              </w:rPr>
              <w:t xml:space="preserve">) as does Article 70 of the Law governing Limited Liability Company. If retained earnings are allowed to be used as reserves for investment risks, Hajj funds will have better protection and the management of Hajj finances will be safer (Gunawan, 2023). Long-term sustainability of Hajj finances can be met as long as total hajj cost each year can be paid by pilgrims and BPKH’s benefit value generated from the current year (Haryono and </w:t>
            </w:r>
            <w:proofErr w:type="spellStart"/>
            <w:r w:rsidRPr="00E54420">
              <w:rPr>
                <w:rFonts w:ascii="Book Antiqua" w:hAnsi="Book Antiqua"/>
                <w:color w:val="000000"/>
                <w:sz w:val="24"/>
                <w:szCs w:val="24"/>
              </w:rPr>
              <w:t>Busnetti</w:t>
            </w:r>
            <w:proofErr w:type="spellEnd"/>
            <w:r w:rsidRPr="00E54420">
              <w:rPr>
                <w:rFonts w:ascii="Book Antiqua" w:hAnsi="Book Antiqua"/>
                <w:color w:val="000000"/>
                <w:sz w:val="24"/>
                <w:szCs w:val="24"/>
              </w:rPr>
              <w:t>, 2022).</w:t>
            </w:r>
            <w:bookmarkStart w:id="4" w:name="_Hlk153477906"/>
          </w:p>
          <w:p w14:paraId="2BC03623" w14:textId="2CD9A15F" w:rsidR="001602CB" w:rsidRDefault="001602CB" w:rsidP="00157A08">
            <w:pPr>
              <w:spacing w:after="120" w:line="240" w:lineRule="auto"/>
              <w:ind w:left="142" w:firstLine="631"/>
              <w:rPr>
                <w:rFonts w:ascii="Book Antiqua" w:hAnsi="Book Antiqua"/>
                <w:color w:val="000000"/>
                <w:sz w:val="24"/>
                <w:szCs w:val="24"/>
              </w:rPr>
            </w:pPr>
            <w:r w:rsidRPr="00E54420">
              <w:rPr>
                <w:rFonts w:ascii="Book Antiqua" w:hAnsi="Book Antiqua"/>
                <w:color w:val="000000"/>
                <w:sz w:val="24"/>
                <w:szCs w:val="24"/>
              </w:rPr>
              <w:t xml:space="preserve">One of the challenges of BPKH Investment is the limited number of Securities Investment instruments that comply with sharia principles in the market. </w:t>
            </w:r>
            <w:r w:rsidRPr="00E54420">
              <w:rPr>
                <w:rFonts w:ascii="Book Antiqua" w:hAnsi="Book Antiqua"/>
                <w:iCs/>
                <w:color w:val="000000"/>
                <w:sz w:val="24"/>
                <w:szCs w:val="24"/>
              </w:rPr>
              <w:t xml:space="preserve">In 2022 BPKH has started investment in </w:t>
            </w:r>
            <w:proofErr w:type="spellStart"/>
            <w:r w:rsidRPr="00E54420">
              <w:rPr>
                <w:rFonts w:ascii="Book Antiqua" w:hAnsi="Book Antiqua"/>
                <w:iCs/>
                <w:color w:val="000000"/>
                <w:sz w:val="24"/>
                <w:szCs w:val="24"/>
              </w:rPr>
              <w:t>Pegadaian</w:t>
            </w:r>
            <w:proofErr w:type="spellEnd"/>
            <w:r w:rsidRPr="00E54420">
              <w:rPr>
                <w:rFonts w:ascii="Book Antiqua" w:hAnsi="Book Antiqua"/>
                <w:iCs/>
                <w:color w:val="000000"/>
                <w:sz w:val="24"/>
                <w:szCs w:val="24"/>
              </w:rPr>
              <w:t xml:space="preserve"> gold account with a principal value of IDR400,000,000 this amount is considered very small, only 0.0002% of BPKH's total Investments and Bank Placements. </w:t>
            </w:r>
            <w:r w:rsidRPr="00E54420">
              <w:rPr>
                <w:rFonts w:ascii="Book Antiqua" w:hAnsi="Book Antiqua"/>
                <w:sz w:val="24"/>
                <w:szCs w:val="24"/>
              </w:rPr>
              <w:t xml:space="preserve">Despite the potential of gold as a strategic asset for BPKH due to its diversification benefits and long-term value preservation, its utilization remains significantly untapped. </w:t>
            </w:r>
            <w:r w:rsidRPr="00E54420">
              <w:rPr>
                <w:rFonts w:ascii="Book Antiqua" w:hAnsi="Book Antiqua"/>
                <w:iCs/>
                <w:color w:val="000000"/>
                <w:sz w:val="24"/>
                <w:szCs w:val="24"/>
              </w:rPr>
              <w:t>If Gold Investment is optimized to reach a maximum limit of 5% of BPKH's total Investment and Placement, then BPKH is allowed to make Gold Investments of up to IDR9 trillion. BPKH requires a professional fund management strategy to ensure that all prospective pilgrims can perform hajj. Sustainability in managing hajj finances is urgently needed, including optimizing all potential investment instruments that have been regulated in BPKH regulations, including Gold Investment instruments. Based on the gap phenomenon, the author believes it is necessary to carry out research entitled "Gold Investment in the Hajj Financial Management Agency (BPKH)".</w:t>
            </w:r>
            <w:bookmarkEnd w:id="4"/>
          </w:p>
          <w:p w14:paraId="76A9BB1D" w14:textId="471AE80C" w:rsidR="001602CB" w:rsidRDefault="001602CB" w:rsidP="00157A08">
            <w:pPr>
              <w:spacing w:after="120" w:line="240" w:lineRule="auto"/>
              <w:ind w:left="142" w:firstLine="631"/>
              <w:rPr>
                <w:rFonts w:ascii="Book Antiqua" w:hAnsi="Book Antiqua"/>
                <w:color w:val="000000"/>
                <w:sz w:val="24"/>
                <w:szCs w:val="24"/>
              </w:rPr>
            </w:pPr>
            <w:r w:rsidRPr="00E54420">
              <w:rPr>
                <w:rFonts w:ascii="Book Antiqua" w:hAnsi="Book Antiqua"/>
                <w:color w:val="000000"/>
                <w:sz w:val="24"/>
                <w:szCs w:val="24"/>
              </w:rPr>
              <w:t>Gold investments have the characteristics of only consisting of principal that can be received back in the form of cash or physical gold; and has no cash flow from yield payments, only from capital gain. Gold is a commodity with volatile market prices and must be measured at fair value through profit or loss or Fair Value Through Profit and Loss (FVTPL). FVTPL measurement requires a mark to market against the market price at each reporting date, but does not require a provision for impairment of asset values (</w:t>
            </w:r>
            <w:proofErr w:type="spellStart"/>
            <w:r w:rsidRPr="00E54420">
              <w:rPr>
                <w:rFonts w:ascii="Book Antiqua" w:hAnsi="Book Antiqua"/>
                <w:color w:val="000000"/>
                <w:sz w:val="24"/>
                <w:szCs w:val="24"/>
              </w:rPr>
              <w:t>Witjaksono</w:t>
            </w:r>
            <w:proofErr w:type="spellEnd"/>
            <w:r w:rsidRPr="00E54420">
              <w:rPr>
                <w:rFonts w:ascii="Book Antiqua" w:hAnsi="Book Antiqua"/>
                <w:color w:val="000000"/>
                <w:sz w:val="24"/>
                <w:szCs w:val="24"/>
              </w:rPr>
              <w:t>, 2022). Gains and losses arising from changes in the fair value of gold are recognized in the income statement as unrealized gains or losses.</w:t>
            </w:r>
            <w:bookmarkStart w:id="5" w:name="_heading=h.1fob9te" w:colFirst="0" w:colLast="0"/>
            <w:bookmarkEnd w:id="5"/>
          </w:p>
          <w:p w14:paraId="692B8EB8" w14:textId="2B6EF1CB" w:rsidR="00A872D3" w:rsidRPr="00E7442C" w:rsidRDefault="001602CB" w:rsidP="007A653A">
            <w:pPr>
              <w:spacing w:after="240" w:line="240" w:lineRule="auto"/>
              <w:ind w:left="142" w:firstLine="629"/>
              <w:rPr>
                <w:rFonts w:ascii="Book Antiqua" w:hAnsi="Book Antiqua"/>
                <w:color w:val="000000"/>
                <w:sz w:val="24"/>
                <w:szCs w:val="24"/>
              </w:rPr>
            </w:pPr>
            <w:r w:rsidRPr="00E54420">
              <w:rPr>
                <w:rFonts w:ascii="Book Antiqua" w:hAnsi="Book Antiqua"/>
                <w:color w:val="000000"/>
                <w:sz w:val="24"/>
                <w:szCs w:val="24"/>
              </w:rPr>
              <w:t xml:space="preserve">This research aims to analyze the influence of macroeconomic factors on price movements in </w:t>
            </w:r>
            <w:proofErr w:type="spellStart"/>
            <w:r w:rsidRPr="00E54420">
              <w:rPr>
                <w:rFonts w:ascii="Book Antiqua" w:hAnsi="Book Antiqua"/>
                <w:color w:val="000000"/>
                <w:sz w:val="24"/>
                <w:szCs w:val="24"/>
              </w:rPr>
              <w:t>Pegadaian</w:t>
            </w:r>
            <w:proofErr w:type="spellEnd"/>
            <w:r w:rsidRPr="00E54420">
              <w:rPr>
                <w:rFonts w:ascii="Book Antiqua" w:hAnsi="Book Antiqua"/>
                <w:color w:val="000000"/>
                <w:sz w:val="24"/>
                <w:szCs w:val="24"/>
              </w:rPr>
              <w:t xml:space="preserve"> gold accounts, analyze the factors that BPKH must put into consideration when investing in gold, and analyze the better gold instrument that are more recommended for BPKH between gold bullion and gold accounts.</w:t>
            </w:r>
          </w:p>
          <w:p w14:paraId="64B2D9A7" w14:textId="77777777" w:rsidR="00427373" w:rsidRDefault="00427373" w:rsidP="00427373">
            <w:pPr>
              <w:pStyle w:val="ListParagraph"/>
              <w:tabs>
                <w:tab w:val="left" w:pos="1305"/>
              </w:tabs>
              <w:spacing w:after="120" w:line="240" w:lineRule="auto"/>
              <w:ind w:left="347"/>
              <w:contextualSpacing w:val="0"/>
              <w:rPr>
                <w:rFonts w:ascii="Book Antiqua" w:hAnsi="Book Antiqua"/>
                <w:b/>
                <w:bCs/>
                <w:sz w:val="24"/>
                <w:szCs w:val="24"/>
              </w:rPr>
            </w:pPr>
          </w:p>
          <w:p w14:paraId="579C8731" w14:textId="7B436CD3" w:rsidR="00E54420" w:rsidRPr="001602CB" w:rsidRDefault="00E54420" w:rsidP="00157A08">
            <w:pPr>
              <w:pStyle w:val="ListParagraph"/>
              <w:numPr>
                <w:ilvl w:val="0"/>
                <w:numId w:val="1"/>
              </w:numPr>
              <w:tabs>
                <w:tab w:val="left" w:pos="1305"/>
              </w:tabs>
              <w:spacing w:after="120" w:line="240" w:lineRule="auto"/>
              <w:ind w:left="347" w:hanging="347"/>
              <w:contextualSpacing w:val="0"/>
              <w:rPr>
                <w:rFonts w:ascii="Book Antiqua" w:hAnsi="Book Antiqua"/>
                <w:b/>
                <w:bCs/>
                <w:sz w:val="24"/>
                <w:szCs w:val="24"/>
              </w:rPr>
            </w:pPr>
            <w:r w:rsidRPr="001602CB">
              <w:rPr>
                <w:rFonts w:ascii="Book Antiqua" w:hAnsi="Book Antiqua"/>
                <w:b/>
                <w:bCs/>
                <w:sz w:val="24"/>
                <w:szCs w:val="24"/>
              </w:rPr>
              <w:lastRenderedPageBreak/>
              <w:t>Literature Review</w:t>
            </w:r>
          </w:p>
          <w:p w14:paraId="2AFB4987" w14:textId="77777777" w:rsidR="00E54420" w:rsidRPr="00E54420" w:rsidRDefault="00E54420" w:rsidP="00157A08">
            <w:pPr>
              <w:spacing w:after="120" w:line="240" w:lineRule="auto"/>
              <w:rPr>
                <w:rFonts w:ascii="Book Antiqua" w:eastAsiaTheme="majorEastAsia" w:hAnsi="Book Antiqua" w:cstheme="majorBidi"/>
                <w:sz w:val="24"/>
                <w:szCs w:val="24"/>
                <w:lang w:val="en-GB"/>
              </w:rPr>
            </w:pPr>
            <w:r w:rsidRPr="00E54420">
              <w:rPr>
                <w:rFonts w:ascii="Book Antiqua" w:eastAsiaTheme="majorEastAsia" w:hAnsi="Book Antiqua" w:cstheme="majorBidi"/>
                <w:sz w:val="24"/>
                <w:szCs w:val="24"/>
                <w:lang w:val="en-GB"/>
              </w:rPr>
              <w:t>Previous research related to gold investment includes the following:</w:t>
            </w:r>
          </w:p>
          <w:p w14:paraId="05409B03" w14:textId="77777777" w:rsidR="00E54420" w:rsidRPr="001602CB" w:rsidRDefault="00E54420" w:rsidP="00157A08">
            <w:pPr>
              <w:spacing w:after="120" w:line="240" w:lineRule="auto"/>
              <w:jc w:val="center"/>
              <w:rPr>
                <w:rFonts w:ascii="Book Antiqua" w:hAnsi="Book Antiqua"/>
                <w:b/>
                <w:bCs/>
                <w:sz w:val="24"/>
                <w:szCs w:val="24"/>
                <w:lang w:val="en-GB"/>
              </w:rPr>
            </w:pPr>
            <w:r w:rsidRPr="001602CB">
              <w:rPr>
                <w:rFonts w:ascii="Book Antiqua" w:hAnsi="Book Antiqua"/>
                <w:b/>
                <w:bCs/>
                <w:sz w:val="24"/>
                <w:szCs w:val="24"/>
                <w:lang w:val="en-GB"/>
              </w:rPr>
              <w:t>Tabel 4. Previous Research Related to Gold</w:t>
            </w:r>
          </w:p>
          <w:tbl>
            <w:tblPr>
              <w:tblStyle w:val="Style62"/>
              <w:tblW w:w="9107" w:type="dxa"/>
              <w:jc w:val="right"/>
              <w:tblLayout w:type="fixed"/>
              <w:tblLook w:val="04A0" w:firstRow="1" w:lastRow="0" w:firstColumn="1" w:lastColumn="0" w:noHBand="0" w:noVBand="1"/>
            </w:tblPr>
            <w:tblGrid>
              <w:gridCol w:w="553"/>
              <w:gridCol w:w="1784"/>
              <w:gridCol w:w="1736"/>
              <w:gridCol w:w="5034"/>
            </w:tblGrid>
            <w:tr w:rsidR="007A653A" w:rsidRPr="001602CB" w14:paraId="62C64ED3" w14:textId="77777777" w:rsidTr="007A653A">
              <w:trPr>
                <w:trHeight w:val="363"/>
                <w:jc w:val="right"/>
              </w:trPr>
              <w:tc>
                <w:tcPr>
                  <w:tcW w:w="556" w:type="dxa"/>
                  <w:tcBorders>
                    <w:top w:val="single" w:sz="4" w:space="0" w:color="auto"/>
                    <w:bottom w:val="single" w:sz="4" w:space="0" w:color="auto"/>
                  </w:tcBorders>
                  <w:shd w:val="clear" w:color="auto" w:fill="E7E6E6" w:themeFill="background2"/>
                  <w:vAlign w:val="center"/>
                </w:tcPr>
                <w:p w14:paraId="1A8762D6" w14:textId="77777777" w:rsidR="00E54420" w:rsidRPr="001602CB" w:rsidRDefault="00E54420" w:rsidP="007A653A">
                  <w:pPr>
                    <w:spacing w:after="0" w:line="240" w:lineRule="auto"/>
                    <w:ind w:hanging="2"/>
                    <w:jc w:val="center"/>
                    <w:rPr>
                      <w:rFonts w:ascii="Book Antiqua" w:hAnsi="Book Antiqua"/>
                      <w:b/>
                      <w:color w:val="000000"/>
                      <w:sz w:val="22"/>
                      <w:szCs w:val="22"/>
                    </w:rPr>
                  </w:pPr>
                  <w:r w:rsidRPr="001602CB">
                    <w:rPr>
                      <w:rFonts w:ascii="Book Antiqua" w:hAnsi="Book Antiqua"/>
                      <w:b/>
                      <w:color w:val="000000"/>
                      <w:sz w:val="22"/>
                      <w:szCs w:val="22"/>
                    </w:rPr>
                    <w:t>No</w:t>
                  </w:r>
                </w:p>
              </w:tc>
              <w:tc>
                <w:tcPr>
                  <w:tcW w:w="1804" w:type="dxa"/>
                  <w:tcBorders>
                    <w:top w:val="single" w:sz="4" w:space="0" w:color="auto"/>
                    <w:bottom w:val="single" w:sz="4" w:space="0" w:color="auto"/>
                  </w:tcBorders>
                  <w:shd w:val="clear" w:color="auto" w:fill="E7E6E6" w:themeFill="background2"/>
                  <w:vAlign w:val="center"/>
                </w:tcPr>
                <w:p w14:paraId="56E76DAE" w14:textId="77777777" w:rsidR="00E54420" w:rsidRPr="001602CB" w:rsidRDefault="00E54420" w:rsidP="007A653A">
                  <w:pPr>
                    <w:spacing w:after="0" w:line="240" w:lineRule="auto"/>
                    <w:ind w:hanging="2"/>
                    <w:jc w:val="center"/>
                    <w:rPr>
                      <w:rFonts w:ascii="Book Antiqua" w:hAnsi="Book Antiqua"/>
                      <w:b/>
                      <w:color w:val="000000"/>
                      <w:sz w:val="22"/>
                      <w:szCs w:val="22"/>
                    </w:rPr>
                  </w:pPr>
                  <w:r w:rsidRPr="001602CB">
                    <w:rPr>
                      <w:rFonts w:ascii="Book Antiqua" w:hAnsi="Book Antiqua"/>
                      <w:b/>
                      <w:color w:val="000000"/>
                      <w:sz w:val="22"/>
                      <w:szCs w:val="22"/>
                    </w:rPr>
                    <w:t>Journal Title</w:t>
                  </w:r>
                </w:p>
              </w:tc>
              <w:tc>
                <w:tcPr>
                  <w:tcW w:w="1319" w:type="dxa"/>
                  <w:tcBorders>
                    <w:top w:val="single" w:sz="4" w:space="0" w:color="auto"/>
                    <w:bottom w:val="single" w:sz="4" w:space="0" w:color="auto"/>
                  </w:tcBorders>
                  <w:shd w:val="clear" w:color="auto" w:fill="E7E6E6" w:themeFill="background2"/>
                  <w:vAlign w:val="center"/>
                </w:tcPr>
                <w:p w14:paraId="0767800F" w14:textId="77777777" w:rsidR="00E54420" w:rsidRPr="001602CB" w:rsidRDefault="00E54420" w:rsidP="007A653A">
                  <w:pPr>
                    <w:spacing w:after="0" w:line="240" w:lineRule="auto"/>
                    <w:ind w:hanging="2"/>
                    <w:jc w:val="center"/>
                    <w:rPr>
                      <w:rFonts w:ascii="Book Antiqua" w:hAnsi="Book Antiqua"/>
                      <w:b/>
                      <w:color w:val="000000"/>
                      <w:sz w:val="22"/>
                      <w:szCs w:val="22"/>
                    </w:rPr>
                  </w:pPr>
                  <w:r w:rsidRPr="001602CB">
                    <w:rPr>
                      <w:rFonts w:ascii="Book Antiqua" w:hAnsi="Book Antiqua"/>
                      <w:b/>
                      <w:color w:val="000000"/>
                      <w:sz w:val="22"/>
                      <w:szCs w:val="22"/>
                    </w:rPr>
                    <w:t>Author, Year</w:t>
                  </w:r>
                </w:p>
              </w:tc>
              <w:tc>
                <w:tcPr>
                  <w:tcW w:w="5428" w:type="dxa"/>
                  <w:tcBorders>
                    <w:top w:val="single" w:sz="4" w:space="0" w:color="auto"/>
                    <w:bottom w:val="single" w:sz="4" w:space="0" w:color="auto"/>
                  </w:tcBorders>
                  <w:shd w:val="clear" w:color="auto" w:fill="E7E6E6" w:themeFill="background2"/>
                  <w:vAlign w:val="center"/>
                </w:tcPr>
                <w:p w14:paraId="28A87CBE" w14:textId="77777777" w:rsidR="00E54420" w:rsidRPr="001602CB" w:rsidRDefault="00E54420" w:rsidP="007A653A">
                  <w:pPr>
                    <w:spacing w:after="0" w:line="240" w:lineRule="auto"/>
                    <w:ind w:hanging="2"/>
                    <w:jc w:val="center"/>
                    <w:rPr>
                      <w:rFonts w:ascii="Book Antiqua" w:hAnsi="Book Antiqua"/>
                      <w:b/>
                      <w:color w:val="000000"/>
                      <w:sz w:val="22"/>
                      <w:szCs w:val="22"/>
                    </w:rPr>
                  </w:pPr>
                  <w:r w:rsidRPr="001602CB">
                    <w:rPr>
                      <w:rFonts w:ascii="Book Antiqua" w:hAnsi="Book Antiqua"/>
                      <w:b/>
                      <w:color w:val="000000"/>
                      <w:sz w:val="22"/>
                      <w:szCs w:val="22"/>
                    </w:rPr>
                    <w:t>Research Result</w:t>
                  </w:r>
                </w:p>
              </w:tc>
            </w:tr>
            <w:tr w:rsidR="00E54420" w:rsidRPr="001602CB" w14:paraId="7CAC8F83" w14:textId="77777777" w:rsidTr="007A653A">
              <w:trPr>
                <w:trHeight w:val="161"/>
                <w:jc w:val="right"/>
              </w:trPr>
              <w:tc>
                <w:tcPr>
                  <w:tcW w:w="556" w:type="dxa"/>
                  <w:tcBorders>
                    <w:top w:val="single" w:sz="4" w:space="0" w:color="auto"/>
                    <w:bottom w:val="single" w:sz="4" w:space="0" w:color="auto"/>
                  </w:tcBorders>
                  <w:shd w:val="clear" w:color="auto" w:fill="auto"/>
                </w:tcPr>
                <w:p w14:paraId="6CCAF1A1" w14:textId="77777777" w:rsidR="00E54420" w:rsidRPr="001602CB" w:rsidRDefault="00E54420" w:rsidP="00157A08">
                  <w:pPr>
                    <w:spacing w:after="120" w:line="240" w:lineRule="auto"/>
                    <w:ind w:hanging="2"/>
                    <w:jc w:val="center"/>
                    <w:rPr>
                      <w:rFonts w:ascii="Book Antiqua" w:hAnsi="Book Antiqua"/>
                      <w:color w:val="000000"/>
                      <w:sz w:val="22"/>
                      <w:szCs w:val="22"/>
                    </w:rPr>
                  </w:pPr>
                  <w:r w:rsidRPr="001602CB">
                    <w:rPr>
                      <w:rFonts w:ascii="Book Antiqua" w:hAnsi="Book Antiqua"/>
                      <w:color w:val="000000"/>
                      <w:sz w:val="22"/>
                      <w:szCs w:val="22"/>
                    </w:rPr>
                    <w:t>1</w:t>
                  </w:r>
                </w:p>
              </w:tc>
              <w:tc>
                <w:tcPr>
                  <w:tcW w:w="1804" w:type="dxa"/>
                  <w:tcBorders>
                    <w:top w:val="single" w:sz="4" w:space="0" w:color="auto"/>
                    <w:bottom w:val="single" w:sz="4" w:space="0" w:color="auto"/>
                  </w:tcBorders>
                  <w:shd w:val="clear" w:color="auto" w:fill="auto"/>
                </w:tcPr>
                <w:p w14:paraId="40A4ACCB" w14:textId="77777777" w:rsidR="00E54420" w:rsidRPr="001602CB" w:rsidRDefault="00E54420" w:rsidP="00157A08">
                  <w:pPr>
                    <w:spacing w:after="120" w:line="240" w:lineRule="auto"/>
                    <w:ind w:hanging="2"/>
                    <w:rPr>
                      <w:rFonts w:ascii="Book Antiqua" w:hAnsi="Book Antiqua"/>
                      <w:color w:val="000000"/>
                      <w:sz w:val="22"/>
                      <w:szCs w:val="22"/>
                    </w:rPr>
                  </w:pPr>
                  <w:r w:rsidRPr="001602CB">
                    <w:rPr>
                      <w:rFonts w:ascii="Book Antiqua" w:hAnsi="Book Antiqua"/>
                      <w:color w:val="000000"/>
                      <w:sz w:val="22"/>
                      <w:szCs w:val="22"/>
                    </w:rPr>
                    <w:t>Interactive Relationship Between Precious Metal Prices and the Jakarta Islamic Stock Index</w:t>
                  </w:r>
                </w:p>
              </w:tc>
              <w:tc>
                <w:tcPr>
                  <w:tcW w:w="1319" w:type="dxa"/>
                  <w:tcBorders>
                    <w:top w:val="single" w:sz="4" w:space="0" w:color="auto"/>
                    <w:bottom w:val="single" w:sz="4" w:space="0" w:color="auto"/>
                  </w:tcBorders>
                  <w:shd w:val="clear" w:color="auto" w:fill="auto"/>
                </w:tcPr>
                <w:p w14:paraId="0885B29A" w14:textId="77777777" w:rsidR="00E54420" w:rsidRPr="001602CB" w:rsidRDefault="00E54420" w:rsidP="00157A08">
                  <w:pPr>
                    <w:spacing w:after="120" w:line="240" w:lineRule="auto"/>
                    <w:ind w:hanging="2"/>
                    <w:rPr>
                      <w:rFonts w:ascii="Book Antiqua" w:hAnsi="Book Antiqua"/>
                      <w:color w:val="000000"/>
                      <w:sz w:val="22"/>
                      <w:szCs w:val="22"/>
                    </w:rPr>
                  </w:pPr>
                  <w:proofErr w:type="spellStart"/>
                  <w:r w:rsidRPr="001602CB">
                    <w:rPr>
                      <w:rFonts w:ascii="Book Antiqua" w:hAnsi="Book Antiqua"/>
                      <w:color w:val="000000"/>
                      <w:sz w:val="22"/>
                      <w:szCs w:val="22"/>
                    </w:rPr>
                    <w:t>Padliansyah</w:t>
                  </w:r>
                  <w:proofErr w:type="spellEnd"/>
                  <w:r w:rsidRPr="001602CB">
                    <w:rPr>
                      <w:rFonts w:ascii="Book Antiqua" w:hAnsi="Book Antiqua"/>
                      <w:color w:val="000000"/>
                      <w:sz w:val="22"/>
                      <w:szCs w:val="22"/>
                    </w:rPr>
                    <w:t xml:space="preserve">, Juliana, &amp; </w:t>
                  </w:r>
                  <w:proofErr w:type="spellStart"/>
                  <w:r w:rsidRPr="001602CB">
                    <w:rPr>
                      <w:rFonts w:ascii="Book Antiqua" w:hAnsi="Book Antiqua"/>
                      <w:color w:val="000000"/>
                      <w:sz w:val="22"/>
                      <w:szCs w:val="22"/>
                    </w:rPr>
                    <w:t>Hasiara</w:t>
                  </w:r>
                  <w:proofErr w:type="spellEnd"/>
                  <w:r w:rsidRPr="001602CB">
                    <w:rPr>
                      <w:rFonts w:ascii="Book Antiqua" w:hAnsi="Book Antiqua"/>
                      <w:color w:val="000000"/>
                      <w:sz w:val="22"/>
                      <w:szCs w:val="22"/>
                    </w:rPr>
                    <w:t>, 2020</w:t>
                  </w:r>
                </w:p>
              </w:tc>
              <w:tc>
                <w:tcPr>
                  <w:tcW w:w="5428" w:type="dxa"/>
                  <w:tcBorders>
                    <w:top w:val="single" w:sz="4" w:space="0" w:color="auto"/>
                    <w:bottom w:val="single" w:sz="4" w:space="0" w:color="auto"/>
                  </w:tcBorders>
                  <w:shd w:val="clear" w:color="auto" w:fill="auto"/>
                </w:tcPr>
                <w:p w14:paraId="0C218308" w14:textId="77777777" w:rsidR="00E54420" w:rsidRPr="001602CB" w:rsidRDefault="00E54420" w:rsidP="00157A08">
                  <w:pPr>
                    <w:spacing w:after="120" w:line="240" w:lineRule="auto"/>
                    <w:ind w:hanging="2"/>
                    <w:rPr>
                      <w:rFonts w:ascii="Book Antiqua" w:hAnsi="Book Antiqua"/>
                      <w:color w:val="000000"/>
                      <w:sz w:val="22"/>
                      <w:szCs w:val="22"/>
                    </w:rPr>
                  </w:pPr>
                  <w:r w:rsidRPr="001602CB">
                    <w:rPr>
                      <w:rFonts w:ascii="Book Antiqua" w:hAnsi="Book Antiqua"/>
                      <w:color w:val="000000"/>
                      <w:sz w:val="22"/>
                      <w:szCs w:val="22"/>
                    </w:rPr>
                    <w:t>This research concludes that precious metals such as gold, silver, platinum and palladium are effective portfolio diversification tools for the Islamic stock market. Investors in the Islamic stock market in Indonesia may receive expected returns with minimum risk by using precious metal diversification tools (gold, silver, platinum and palladium).</w:t>
                  </w:r>
                </w:p>
              </w:tc>
            </w:tr>
            <w:tr w:rsidR="00E54420" w:rsidRPr="001602CB" w14:paraId="1B1D5A16" w14:textId="77777777" w:rsidTr="007A653A">
              <w:trPr>
                <w:trHeight w:val="567"/>
                <w:jc w:val="right"/>
              </w:trPr>
              <w:tc>
                <w:tcPr>
                  <w:tcW w:w="556" w:type="dxa"/>
                  <w:tcBorders>
                    <w:top w:val="single" w:sz="4" w:space="0" w:color="auto"/>
                    <w:bottom w:val="single" w:sz="4" w:space="0" w:color="auto"/>
                  </w:tcBorders>
                  <w:shd w:val="clear" w:color="auto" w:fill="auto"/>
                </w:tcPr>
                <w:p w14:paraId="030A8AFB" w14:textId="77777777" w:rsidR="00E54420" w:rsidRPr="001602CB" w:rsidRDefault="00E54420" w:rsidP="00157A08">
                  <w:pPr>
                    <w:spacing w:after="120" w:line="240" w:lineRule="auto"/>
                    <w:ind w:hanging="2"/>
                    <w:jc w:val="center"/>
                    <w:rPr>
                      <w:rFonts w:ascii="Book Antiqua" w:hAnsi="Book Antiqua"/>
                      <w:color w:val="000000"/>
                      <w:sz w:val="22"/>
                      <w:szCs w:val="22"/>
                    </w:rPr>
                  </w:pPr>
                  <w:r w:rsidRPr="001602CB">
                    <w:rPr>
                      <w:rFonts w:ascii="Book Antiqua" w:hAnsi="Book Antiqua"/>
                      <w:color w:val="000000"/>
                      <w:sz w:val="22"/>
                      <w:szCs w:val="22"/>
                    </w:rPr>
                    <w:t>2</w:t>
                  </w:r>
                </w:p>
              </w:tc>
              <w:tc>
                <w:tcPr>
                  <w:tcW w:w="1804" w:type="dxa"/>
                  <w:tcBorders>
                    <w:top w:val="single" w:sz="4" w:space="0" w:color="auto"/>
                    <w:bottom w:val="single" w:sz="4" w:space="0" w:color="auto"/>
                  </w:tcBorders>
                  <w:shd w:val="clear" w:color="auto" w:fill="auto"/>
                </w:tcPr>
                <w:p w14:paraId="4682725C" w14:textId="77777777" w:rsidR="00E54420" w:rsidRPr="001602CB" w:rsidRDefault="00E54420" w:rsidP="00157A08">
                  <w:pPr>
                    <w:spacing w:after="120" w:line="240" w:lineRule="auto"/>
                    <w:ind w:hanging="2"/>
                    <w:rPr>
                      <w:rFonts w:ascii="Book Antiqua" w:hAnsi="Book Antiqua"/>
                      <w:color w:val="000000"/>
                      <w:sz w:val="22"/>
                      <w:szCs w:val="22"/>
                    </w:rPr>
                  </w:pPr>
                  <w:r w:rsidRPr="001602CB">
                    <w:rPr>
                      <w:rFonts w:ascii="Book Antiqua" w:hAnsi="Book Antiqua"/>
                      <w:color w:val="000000"/>
                      <w:sz w:val="22"/>
                      <w:szCs w:val="22"/>
                    </w:rPr>
                    <w:t>Dynamic Correlation of Gold and Sharia Stocks as a Hedge and Safe Haven for Investment in Indonesia</w:t>
                  </w:r>
                </w:p>
              </w:tc>
              <w:tc>
                <w:tcPr>
                  <w:tcW w:w="1319" w:type="dxa"/>
                  <w:tcBorders>
                    <w:top w:val="single" w:sz="4" w:space="0" w:color="auto"/>
                    <w:bottom w:val="single" w:sz="4" w:space="0" w:color="auto"/>
                  </w:tcBorders>
                  <w:shd w:val="clear" w:color="auto" w:fill="auto"/>
                </w:tcPr>
                <w:p w14:paraId="156A0F97" w14:textId="77777777" w:rsidR="00E54420" w:rsidRPr="001602CB" w:rsidRDefault="00E54420" w:rsidP="00157A08">
                  <w:pPr>
                    <w:spacing w:after="120" w:line="240" w:lineRule="auto"/>
                    <w:ind w:hanging="2"/>
                    <w:rPr>
                      <w:rFonts w:ascii="Book Antiqua" w:hAnsi="Book Antiqua"/>
                      <w:color w:val="000000"/>
                      <w:sz w:val="22"/>
                      <w:szCs w:val="22"/>
                    </w:rPr>
                  </w:pPr>
                  <w:bookmarkStart w:id="6" w:name="_Hlk149401975"/>
                  <w:r w:rsidRPr="001602CB">
                    <w:rPr>
                      <w:rFonts w:ascii="Book Antiqua" w:hAnsi="Book Antiqua"/>
                      <w:color w:val="000000"/>
                      <w:sz w:val="22"/>
                      <w:szCs w:val="22"/>
                    </w:rPr>
                    <w:t xml:space="preserve">Billah &amp; </w:t>
                  </w:r>
                  <w:proofErr w:type="spellStart"/>
                  <w:r w:rsidRPr="001602CB">
                    <w:rPr>
                      <w:rFonts w:ascii="Book Antiqua" w:hAnsi="Book Antiqua"/>
                      <w:color w:val="000000"/>
                      <w:sz w:val="22"/>
                      <w:szCs w:val="22"/>
                    </w:rPr>
                    <w:t>Hartomo</w:t>
                  </w:r>
                  <w:proofErr w:type="spellEnd"/>
                  <w:r w:rsidRPr="001602CB">
                    <w:rPr>
                      <w:rFonts w:ascii="Book Antiqua" w:hAnsi="Book Antiqua"/>
                      <w:color w:val="000000"/>
                      <w:sz w:val="22"/>
                      <w:szCs w:val="22"/>
                    </w:rPr>
                    <w:t>, 2018</w:t>
                  </w:r>
                  <w:bookmarkEnd w:id="6"/>
                </w:p>
              </w:tc>
              <w:tc>
                <w:tcPr>
                  <w:tcW w:w="5428" w:type="dxa"/>
                  <w:tcBorders>
                    <w:top w:val="single" w:sz="4" w:space="0" w:color="auto"/>
                    <w:bottom w:val="single" w:sz="4" w:space="0" w:color="auto"/>
                  </w:tcBorders>
                  <w:shd w:val="clear" w:color="auto" w:fill="auto"/>
                </w:tcPr>
                <w:p w14:paraId="20E4C802" w14:textId="77777777" w:rsidR="00E54420" w:rsidRPr="001602CB" w:rsidRDefault="00E54420" w:rsidP="00157A08">
                  <w:pPr>
                    <w:pStyle w:val="ListParagraph"/>
                    <w:numPr>
                      <w:ilvl w:val="0"/>
                      <w:numId w:val="4"/>
                    </w:numPr>
                    <w:suppressAutoHyphens/>
                    <w:spacing w:after="120" w:line="240" w:lineRule="auto"/>
                    <w:ind w:left="446" w:hanging="425"/>
                    <w:jc w:val="both"/>
                    <w:textAlignment w:val="top"/>
                    <w:outlineLvl w:val="0"/>
                    <w:rPr>
                      <w:rFonts w:ascii="Book Antiqua" w:hAnsi="Book Antiqua"/>
                      <w:color w:val="000000"/>
                      <w:sz w:val="22"/>
                      <w:szCs w:val="22"/>
                    </w:rPr>
                  </w:pPr>
                  <w:r w:rsidRPr="001602CB">
                    <w:rPr>
                      <w:rFonts w:ascii="Book Antiqua" w:hAnsi="Book Antiqua"/>
                      <w:color w:val="000000"/>
                      <w:sz w:val="22"/>
                      <w:szCs w:val="22"/>
                    </w:rPr>
                    <w:t>This research explains the dynamic correlation between gold and sharia shares as a hedge and safe haven in the Indonesian financial market. The results obtained show that Gold can significantly fulfill its role as a hedge and safe haven for other assets. Meanwhile, sharia shares do not act as hedging assets and safe havens.</w:t>
                  </w:r>
                </w:p>
                <w:p w14:paraId="03D9B864" w14:textId="77777777" w:rsidR="00E54420" w:rsidRPr="001602CB" w:rsidRDefault="00E54420" w:rsidP="00157A08">
                  <w:pPr>
                    <w:pStyle w:val="ListParagraph"/>
                    <w:numPr>
                      <w:ilvl w:val="0"/>
                      <w:numId w:val="4"/>
                    </w:numPr>
                    <w:suppressAutoHyphens/>
                    <w:spacing w:after="120" w:line="240" w:lineRule="auto"/>
                    <w:ind w:left="446" w:hanging="425"/>
                    <w:jc w:val="both"/>
                    <w:textAlignment w:val="top"/>
                    <w:outlineLvl w:val="0"/>
                    <w:rPr>
                      <w:rFonts w:ascii="Book Antiqua" w:hAnsi="Book Antiqua"/>
                      <w:color w:val="000000"/>
                      <w:sz w:val="22"/>
                      <w:szCs w:val="22"/>
                    </w:rPr>
                  </w:pPr>
                  <w:r w:rsidRPr="001602CB">
                    <w:rPr>
                      <w:rFonts w:ascii="Book Antiqua" w:hAnsi="Book Antiqua"/>
                      <w:color w:val="000000"/>
                      <w:sz w:val="22"/>
                      <w:szCs w:val="22"/>
                    </w:rPr>
                    <w:t>However, shares can be combined with Gold so that together they can become a strong hedge and reduce the level of risk for investment in Indonesia. The advice to investors is that investors can invest in capital market assets and futures markets, in this case sharia shares and gold, because the two markets are interrelated and influence each other.</w:t>
                  </w:r>
                </w:p>
                <w:p w14:paraId="528388A1" w14:textId="77777777" w:rsidR="00E54420" w:rsidRPr="001602CB" w:rsidRDefault="00E54420" w:rsidP="00157A08">
                  <w:pPr>
                    <w:pStyle w:val="ListParagraph"/>
                    <w:numPr>
                      <w:ilvl w:val="0"/>
                      <w:numId w:val="4"/>
                    </w:numPr>
                    <w:suppressAutoHyphens/>
                    <w:spacing w:after="120" w:line="240" w:lineRule="auto"/>
                    <w:ind w:left="446" w:hanging="425"/>
                    <w:jc w:val="both"/>
                    <w:textAlignment w:val="top"/>
                    <w:outlineLvl w:val="0"/>
                    <w:rPr>
                      <w:rFonts w:ascii="Book Antiqua" w:hAnsi="Book Antiqua"/>
                      <w:color w:val="000000"/>
                      <w:sz w:val="22"/>
                      <w:szCs w:val="22"/>
                    </w:rPr>
                  </w:pPr>
                  <w:r w:rsidRPr="001602CB">
                    <w:rPr>
                      <w:rFonts w:ascii="Book Antiqua" w:eastAsia="Times New Roman" w:hAnsi="Book Antiqua"/>
                      <w:color w:val="000000"/>
                      <w:sz w:val="22"/>
                      <w:szCs w:val="22"/>
                    </w:rPr>
                    <w:t>However, for better results and to provide a sense of security, investors should invest in a portfolio between gold and shares, because the combination of the two will reduce the level of risk when the economy is turbulent without reducing the returns desired by investors.</w:t>
                  </w:r>
                </w:p>
              </w:tc>
            </w:tr>
            <w:tr w:rsidR="00E54420" w:rsidRPr="001602CB" w14:paraId="30DC253E" w14:textId="77777777" w:rsidTr="007A653A">
              <w:trPr>
                <w:trHeight w:val="303"/>
                <w:jc w:val="right"/>
              </w:trPr>
              <w:tc>
                <w:tcPr>
                  <w:tcW w:w="556" w:type="dxa"/>
                  <w:tcBorders>
                    <w:top w:val="single" w:sz="4" w:space="0" w:color="auto"/>
                    <w:bottom w:val="single" w:sz="4" w:space="0" w:color="auto"/>
                  </w:tcBorders>
                  <w:shd w:val="clear" w:color="auto" w:fill="auto"/>
                </w:tcPr>
                <w:p w14:paraId="5015D06A" w14:textId="77777777" w:rsidR="00E54420" w:rsidRPr="001602CB" w:rsidRDefault="00E54420" w:rsidP="00157A08">
                  <w:pPr>
                    <w:spacing w:after="120" w:line="240" w:lineRule="auto"/>
                    <w:ind w:hanging="2"/>
                    <w:jc w:val="center"/>
                    <w:rPr>
                      <w:rFonts w:ascii="Book Antiqua" w:hAnsi="Book Antiqua"/>
                      <w:color w:val="000000"/>
                      <w:sz w:val="22"/>
                      <w:szCs w:val="22"/>
                    </w:rPr>
                  </w:pPr>
                  <w:r w:rsidRPr="001602CB">
                    <w:rPr>
                      <w:rFonts w:ascii="Book Antiqua" w:hAnsi="Book Antiqua"/>
                      <w:color w:val="000000"/>
                      <w:sz w:val="22"/>
                      <w:szCs w:val="22"/>
                    </w:rPr>
                    <w:t>3</w:t>
                  </w:r>
                </w:p>
              </w:tc>
              <w:tc>
                <w:tcPr>
                  <w:tcW w:w="1804" w:type="dxa"/>
                  <w:tcBorders>
                    <w:top w:val="single" w:sz="4" w:space="0" w:color="auto"/>
                    <w:bottom w:val="single" w:sz="4" w:space="0" w:color="auto"/>
                  </w:tcBorders>
                  <w:shd w:val="clear" w:color="auto" w:fill="auto"/>
                </w:tcPr>
                <w:p w14:paraId="6FE944DA" w14:textId="77777777" w:rsidR="00E54420" w:rsidRPr="001602CB" w:rsidRDefault="00E54420" w:rsidP="00157A08">
                  <w:pPr>
                    <w:spacing w:after="120" w:line="240" w:lineRule="auto"/>
                    <w:ind w:hanging="2"/>
                    <w:rPr>
                      <w:rFonts w:ascii="Book Antiqua" w:hAnsi="Book Antiqua"/>
                      <w:color w:val="000000"/>
                      <w:sz w:val="22"/>
                      <w:szCs w:val="22"/>
                    </w:rPr>
                  </w:pPr>
                  <w:r w:rsidRPr="001602CB">
                    <w:rPr>
                      <w:rFonts w:ascii="Book Antiqua" w:hAnsi="Book Antiqua"/>
                      <w:color w:val="000000"/>
                      <w:sz w:val="22"/>
                      <w:szCs w:val="22"/>
                    </w:rPr>
                    <w:t>Gold Investment: Alternative Investment in the Midst of the Global Crisis</w:t>
                  </w:r>
                </w:p>
              </w:tc>
              <w:tc>
                <w:tcPr>
                  <w:tcW w:w="1319" w:type="dxa"/>
                  <w:tcBorders>
                    <w:top w:val="single" w:sz="4" w:space="0" w:color="auto"/>
                    <w:bottom w:val="single" w:sz="4" w:space="0" w:color="auto"/>
                  </w:tcBorders>
                  <w:shd w:val="clear" w:color="auto" w:fill="auto"/>
                </w:tcPr>
                <w:p w14:paraId="630350EF" w14:textId="77777777" w:rsidR="00E54420" w:rsidRPr="001602CB" w:rsidRDefault="00E54420" w:rsidP="00157A08">
                  <w:pPr>
                    <w:spacing w:after="120" w:line="240" w:lineRule="auto"/>
                    <w:jc w:val="left"/>
                    <w:rPr>
                      <w:rFonts w:ascii="Book Antiqua" w:hAnsi="Book Antiqua"/>
                      <w:color w:val="000000"/>
                      <w:sz w:val="22"/>
                      <w:szCs w:val="22"/>
                    </w:rPr>
                  </w:pPr>
                  <w:bookmarkStart w:id="7" w:name="_Hlk149401994"/>
                  <w:r w:rsidRPr="001602CB">
                    <w:rPr>
                      <w:rFonts w:ascii="Book Antiqua" w:hAnsi="Book Antiqua"/>
                      <w:color w:val="000000"/>
                      <w:sz w:val="22"/>
                      <w:szCs w:val="22"/>
                    </w:rPr>
                    <w:t>Johari, 2018</w:t>
                  </w:r>
                  <w:bookmarkEnd w:id="7"/>
                  <w:r w:rsidRPr="001602CB">
                    <w:rPr>
                      <w:rFonts w:ascii="Book Antiqua" w:hAnsi="Book Antiqua"/>
                      <w:color w:val="000000"/>
                      <w:sz w:val="22"/>
                      <w:szCs w:val="22"/>
                    </w:rPr>
                    <w:br/>
                  </w:r>
                </w:p>
              </w:tc>
              <w:tc>
                <w:tcPr>
                  <w:tcW w:w="5428" w:type="dxa"/>
                  <w:tcBorders>
                    <w:top w:val="single" w:sz="4" w:space="0" w:color="auto"/>
                    <w:bottom w:val="single" w:sz="4" w:space="0" w:color="auto"/>
                  </w:tcBorders>
                  <w:shd w:val="clear" w:color="auto" w:fill="auto"/>
                </w:tcPr>
                <w:p w14:paraId="1144D6D7" w14:textId="77777777" w:rsidR="00E54420" w:rsidRPr="001602CB" w:rsidRDefault="00E54420" w:rsidP="00157A08">
                  <w:pPr>
                    <w:pStyle w:val="ListParagraph"/>
                    <w:numPr>
                      <w:ilvl w:val="0"/>
                      <w:numId w:val="14"/>
                    </w:numPr>
                    <w:suppressAutoHyphens/>
                    <w:spacing w:after="120" w:line="240" w:lineRule="auto"/>
                    <w:ind w:left="449" w:hanging="425"/>
                    <w:jc w:val="both"/>
                    <w:textAlignment w:val="top"/>
                    <w:outlineLvl w:val="0"/>
                    <w:rPr>
                      <w:rFonts w:ascii="Book Antiqua" w:hAnsi="Book Antiqua"/>
                      <w:color w:val="000000"/>
                      <w:sz w:val="22"/>
                      <w:szCs w:val="22"/>
                    </w:rPr>
                  </w:pPr>
                  <w:r w:rsidRPr="001602CB">
                    <w:rPr>
                      <w:rFonts w:ascii="Book Antiqua" w:hAnsi="Book Antiqua"/>
                      <w:color w:val="000000"/>
                      <w:sz w:val="22"/>
                      <w:szCs w:val="22"/>
                    </w:rPr>
                    <w:t>This research concludes that gold investment is a simple form of investment because it can be done by anyone. Gold investments, whether in the form of gold coins, gold bars or gold jewelry, have higher returns compared to deposits, and are much more stable compared to shares.</w:t>
                  </w:r>
                </w:p>
                <w:p w14:paraId="18F2ACCE" w14:textId="77777777" w:rsidR="00E54420" w:rsidRPr="001602CB" w:rsidRDefault="00E54420" w:rsidP="00157A08">
                  <w:pPr>
                    <w:pStyle w:val="ListParagraph"/>
                    <w:numPr>
                      <w:ilvl w:val="0"/>
                      <w:numId w:val="14"/>
                    </w:numPr>
                    <w:suppressAutoHyphens/>
                    <w:spacing w:after="120" w:line="240" w:lineRule="auto"/>
                    <w:ind w:left="449" w:hanging="425"/>
                    <w:jc w:val="both"/>
                    <w:textAlignment w:val="top"/>
                    <w:outlineLvl w:val="0"/>
                    <w:rPr>
                      <w:rFonts w:ascii="Book Antiqua" w:hAnsi="Book Antiqua"/>
                      <w:color w:val="000000"/>
                      <w:sz w:val="22"/>
                      <w:szCs w:val="22"/>
                    </w:rPr>
                  </w:pPr>
                  <w:r w:rsidRPr="001602CB">
                    <w:rPr>
                      <w:rFonts w:ascii="Book Antiqua" w:eastAsia="Times New Roman" w:hAnsi="Book Antiqua"/>
                      <w:color w:val="000000"/>
                      <w:sz w:val="22"/>
                      <w:szCs w:val="22"/>
                    </w:rPr>
                    <w:t xml:space="preserve">During its development, gold investment has experienced a significant decline. This event occurred in the period 1980-2000 (approximately 20 years). This period is known as a bearish period. This incident is often used as an argument by opponents of gold investment regarding the weaknesses of </w:t>
                  </w:r>
                  <w:r w:rsidRPr="001602CB">
                    <w:rPr>
                      <w:rFonts w:ascii="Book Antiqua" w:eastAsia="Times New Roman" w:hAnsi="Book Antiqua"/>
                      <w:color w:val="000000"/>
                      <w:sz w:val="22"/>
                      <w:szCs w:val="22"/>
                    </w:rPr>
                    <w:lastRenderedPageBreak/>
                    <w:t>this investment. On the other hand, supporters of gold investment, use the 2001-2008 bullish period as an argument that in less than half the time (8 years), all the decline that occurred during the bearish period has exceeded the recovery.</w:t>
                  </w:r>
                </w:p>
              </w:tc>
            </w:tr>
            <w:tr w:rsidR="00E54420" w:rsidRPr="001602CB" w14:paraId="0B4F1D53" w14:textId="77777777" w:rsidTr="007A653A">
              <w:trPr>
                <w:trHeight w:val="426"/>
                <w:jc w:val="right"/>
              </w:trPr>
              <w:tc>
                <w:tcPr>
                  <w:tcW w:w="556" w:type="dxa"/>
                  <w:tcBorders>
                    <w:top w:val="single" w:sz="4" w:space="0" w:color="auto"/>
                    <w:bottom w:val="single" w:sz="4" w:space="0" w:color="auto"/>
                  </w:tcBorders>
                  <w:shd w:val="clear" w:color="auto" w:fill="auto"/>
                </w:tcPr>
                <w:p w14:paraId="088D7D2A" w14:textId="77777777" w:rsidR="00E54420" w:rsidRPr="001602CB" w:rsidRDefault="00E54420" w:rsidP="00157A08">
                  <w:pPr>
                    <w:spacing w:after="120" w:line="240" w:lineRule="auto"/>
                    <w:ind w:hanging="2"/>
                    <w:jc w:val="center"/>
                    <w:rPr>
                      <w:rFonts w:ascii="Book Antiqua" w:hAnsi="Book Antiqua"/>
                      <w:color w:val="000000"/>
                      <w:sz w:val="22"/>
                      <w:szCs w:val="22"/>
                    </w:rPr>
                  </w:pPr>
                  <w:r w:rsidRPr="001602CB">
                    <w:rPr>
                      <w:rFonts w:ascii="Book Antiqua" w:hAnsi="Book Antiqua"/>
                      <w:color w:val="000000"/>
                      <w:sz w:val="22"/>
                      <w:szCs w:val="22"/>
                    </w:rPr>
                    <w:lastRenderedPageBreak/>
                    <w:t>4</w:t>
                  </w:r>
                </w:p>
              </w:tc>
              <w:tc>
                <w:tcPr>
                  <w:tcW w:w="1804" w:type="dxa"/>
                  <w:tcBorders>
                    <w:top w:val="single" w:sz="4" w:space="0" w:color="auto"/>
                    <w:bottom w:val="single" w:sz="4" w:space="0" w:color="auto"/>
                  </w:tcBorders>
                  <w:shd w:val="clear" w:color="auto" w:fill="auto"/>
                </w:tcPr>
                <w:p w14:paraId="37076C3B" w14:textId="77777777" w:rsidR="00E54420" w:rsidRPr="001602CB" w:rsidRDefault="00E54420" w:rsidP="00157A08">
                  <w:pPr>
                    <w:spacing w:after="120" w:line="240" w:lineRule="auto"/>
                    <w:ind w:hanging="2"/>
                    <w:rPr>
                      <w:rFonts w:ascii="Book Antiqua" w:hAnsi="Book Antiqua"/>
                      <w:color w:val="000000"/>
                      <w:sz w:val="22"/>
                      <w:szCs w:val="22"/>
                    </w:rPr>
                  </w:pPr>
                  <w:r w:rsidRPr="001602CB">
                    <w:rPr>
                      <w:rFonts w:ascii="Book Antiqua" w:hAnsi="Book Antiqua"/>
                      <w:color w:val="000000"/>
                      <w:sz w:val="22"/>
                      <w:szCs w:val="22"/>
                    </w:rPr>
                    <w:t>Gold as a Safe Investment Instrument at a Time when Other Financial Investment Instruments Experience Increased Risk</w:t>
                  </w:r>
                </w:p>
              </w:tc>
              <w:tc>
                <w:tcPr>
                  <w:tcW w:w="1319" w:type="dxa"/>
                  <w:tcBorders>
                    <w:top w:val="single" w:sz="4" w:space="0" w:color="auto"/>
                    <w:bottom w:val="single" w:sz="4" w:space="0" w:color="auto"/>
                  </w:tcBorders>
                  <w:shd w:val="clear" w:color="auto" w:fill="auto"/>
                </w:tcPr>
                <w:p w14:paraId="32CFE136" w14:textId="77777777" w:rsidR="00E54420" w:rsidRPr="001602CB" w:rsidRDefault="00E54420" w:rsidP="00157A08">
                  <w:pPr>
                    <w:spacing w:after="120" w:line="240" w:lineRule="auto"/>
                    <w:ind w:hanging="2"/>
                    <w:rPr>
                      <w:rFonts w:ascii="Book Antiqua" w:hAnsi="Book Antiqua"/>
                      <w:color w:val="000000"/>
                      <w:sz w:val="22"/>
                      <w:szCs w:val="22"/>
                    </w:rPr>
                  </w:pPr>
                  <w:bookmarkStart w:id="8" w:name="_Hlk149402035"/>
                  <w:r w:rsidRPr="001602CB">
                    <w:rPr>
                      <w:rFonts w:ascii="Book Antiqua" w:hAnsi="Book Antiqua"/>
                      <w:color w:val="000000"/>
                      <w:sz w:val="22"/>
                      <w:szCs w:val="22"/>
                    </w:rPr>
                    <w:t>Sholeh, 2014</w:t>
                  </w:r>
                  <w:bookmarkEnd w:id="8"/>
                </w:p>
              </w:tc>
              <w:tc>
                <w:tcPr>
                  <w:tcW w:w="5428" w:type="dxa"/>
                  <w:tcBorders>
                    <w:top w:val="single" w:sz="4" w:space="0" w:color="auto"/>
                    <w:bottom w:val="single" w:sz="4" w:space="0" w:color="auto"/>
                  </w:tcBorders>
                  <w:shd w:val="clear" w:color="auto" w:fill="auto"/>
                </w:tcPr>
                <w:p w14:paraId="6BFF9CEC" w14:textId="77777777" w:rsidR="00E54420" w:rsidRPr="001602CB" w:rsidRDefault="00E54420" w:rsidP="00157A08">
                  <w:pPr>
                    <w:pStyle w:val="ListParagraph"/>
                    <w:numPr>
                      <w:ilvl w:val="0"/>
                      <w:numId w:val="15"/>
                    </w:numPr>
                    <w:suppressAutoHyphens/>
                    <w:spacing w:after="120" w:line="240" w:lineRule="auto"/>
                    <w:ind w:left="449" w:hanging="449"/>
                    <w:jc w:val="both"/>
                    <w:textAlignment w:val="top"/>
                    <w:outlineLvl w:val="0"/>
                    <w:rPr>
                      <w:rFonts w:ascii="Book Antiqua" w:hAnsi="Book Antiqua"/>
                      <w:color w:val="000000"/>
                      <w:sz w:val="22"/>
                      <w:szCs w:val="22"/>
                    </w:rPr>
                  </w:pPr>
                  <w:r w:rsidRPr="001602CB">
                    <w:rPr>
                      <w:rFonts w:ascii="Book Antiqua" w:hAnsi="Book Antiqua"/>
                      <w:color w:val="000000"/>
                      <w:sz w:val="22"/>
                      <w:szCs w:val="22"/>
                    </w:rPr>
                    <w:t>This research concludes that the results of the analysis of gold investment and other financial instruments show that gold investment has more attractive profits, both in terms of the prospective price level and the results obtained from the investment. In terms of investment risk, gold investment also has a lower risk percentage compared to investment in other instruments. This can prevent losses that investors will experience.</w:t>
                  </w:r>
                </w:p>
                <w:p w14:paraId="4833EE70" w14:textId="77777777" w:rsidR="00E54420" w:rsidRPr="001602CB" w:rsidRDefault="00E54420" w:rsidP="00157A08">
                  <w:pPr>
                    <w:pStyle w:val="ListParagraph"/>
                    <w:numPr>
                      <w:ilvl w:val="0"/>
                      <w:numId w:val="15"/>
                    </w:numPr>
                    <w:suppressAutoHyphens/>
                    <w:spacing w:after="120" w:line="240" w:lineRule="auto"/>
                    <w:ind w:left="449" w:hanging="449"/>
                    <w:jc w:val="both"/>
                    <w:textAlignment w:val="top"/>
                    <w:outlineLvl w:val="0"/>
                    <w:rPr>
                      <w:rFonts w:ascii="Book Antiqua" w:hAnsi="Book Antiqua"/>
                      <w:color w:val="000000"/>
                      <w:sz w:val="22"/>
                      <w:szCs w:val="22"/>
                    </w:rPr>
                  </w:pPr>
                  <w:r w:rsidRPr="001602CB">
                    <w:rPr>
                      <w:rFonts w:ascii="Book Antiqua" w:eastAsia="Times New Roman" w:hAnsi="Book Antiqua"/>
                      <w:color w:val="000000"/>
                      <w:sz w:val="22"/>
                      <w:szCs w:val="22"/>
                    </w:rPr>
                    <w:t>From these two analyses, it can be concluded that gold investment provides more profitable and safer results.</w:t>
                  </w:r>
                </w:p>
              </w:tc>
            </w:tr>
            <w:tr w:rsidR="00E54420" w:rsidRPr="001602CB" w14:paraId="5D0AEBED" w14:textId="77777777" w:rsidTr="007A653A">
              <w:trPr>
                <w:trHeight w:val="709"/>
                <w:jc w:val="right"/>
              </w:trPr>
              <w:tc>
                <w:tcPr>
                  <w:tcW w:w="556" w:type="dxa"/>
                  <w:tcBorders>
                    <w:top w:val="single" w:sz="4" w:space="0" w:color="auto"/>
                    <w:bottom w:val="single" w:sz="4" w:space="0" w:color="auto"/>
                  </w:tcBorders>
                  <w:shd w:val="clear" w:color="auto" w:fill="auto"/>
                </w:tcPr>
                <w:p w14:paraId="7524BC6F" w14:textId="77777777" w:rsidR="00E54420" w:rsidRPr="001602CB" w:rsidRDefault="00E54420" w:rsidP="00157A08">
                  <w:pPr>
                    <w:spacing w:after="120" w:line="240" w:lineRule="auto"/>
                    <w:ind w:hanging="2"/>
                    <w:jc w:val="center"/>
                    <w:rPr>
                      <w:rFonts w:ascii="Book Antiqua" w:hAnsi="Book Antiqua"/>
                      <w:color w:val="000000"/>
                      <w:sz w:val="22"/>
                      <w:szCs w:val="22"/>
                    </w:rPr>
                  </w:pPr>
                  <w:r w:rsidRPr="001602CB">
                    <w:rPr>
                      <w:rFonts w:ascii="Book Antiqua" w:hAnsi="Book Antiqua"/>
                      <w:color w:val="000000"/>
                      <w:sz w:val="22"/>
                      <w:szCs w:val="22"/>
                    </w:rPr>
                    <w:t>5</w:t>
                  </w:r>
                </w:p>
              </w:tc>
              <w:tc>
                <w:tcPr>
                  <w:tcW w:w="1804" w:type="dxa"/>
                  <w:tcBorders>
                    <w:top w:val="single" w:sz="4" w:space="0" w:color="auto"/>
                    <w:bottom w:val="single" w:sz="4" w:space="0" w:color="auto"/>
                  </w:tcBorders>
                  <w:shd w:val="clear" w:color="auto" w:fill="auto"/>
                </w:tcPr>
                <w:p w14:paraId="1D5DF2E0" w14:textId="77777777" w:rsidR="00E54420" w:rsidRPr="001602CB" w:rsidRDefault="00E54420" w:rsidP="00157A08">
                  <w:pPr>
                    <w:spacing w:after="120" w:line="240" w:lineRule="auto"/>
                    <w:ind w:hanging="2"/>
                    <w:rPr>
                      <w:rFonts w:ascii="Book Antiqua" w:hAnsi="Book Antiqua"/>
                      <w:color w:val="000000"/>
                      <w:sz w:val="22"/>
                      <w:szCs w:val="22"/>
                    </w:rPr>
                  </w:pPr>
                  <w:r w:rsidRPr="001602CB">
                    <w:rPr>
                      <w:rFonts w:ascii="Book Antiqua" w:hAnsi="Book Antiqua"/>
                      <w:color w:val="000000"/>
                      <w:sz w:val="22"/>
                      <w:szCs w:val="22"/>
                    </w:rPr>
                    <w:t>Comparative Analysis of the Performance of Gold Investment and Stock Investment During the Inflation Period 1994 – 2013</w:t>
                  </w:r>
                </w:p>
              </w:tc>
              <w:tc>
                <w:tcPr>
                  <w:tcW w:w="1319" w:type="dxa"/>
                  <w:tcBorders>
                    <w:top w:val="single" w:sz="4" w:space="0" w:color="auto"/>
                    <w:bottom w:val="single" w:sz="4" w:space="0" w:color="auto"/>
                  </w:tcBorders>
                  <w:shd w:val="clear" w:color="auto" w:fill="auto"/>
                </w:tcPr>
                <w:p w14:paraId="383B3B4A" w14:textId="77777777" w:rsidR="00E54420" w:rsidRPr="001602CB" w:rsidRDefault="00E54420" w:rsidP="00157A08">
                  <w:pPr>
                    <w:spacing w:after="120" w:line="240" w:lineRule="auto"/>
                    <w:ind w:hanging="2"/>
                    <w:rPr>
                      <w:rFonts w:ascii="Book Antiqua" w:hAnsi="Book Antiqua"/>
                      <w:color w:val="000000"/>
                      <w:sz w:val="22"/>
                      <w:szCs w:val="22"/>
                    </w:rPr>
                  </w:pPr>
                  <w:r w:rsidRPr="001602CB">
                    <w:rPr>
                      <w:rFonts w:ascii="Book Antiqua" w:hAnsi="Book Antiqua"/>
                      <w:color w:val="000000"/>
                      <w:sz w:val="22"/>
                      <w:szCs w:val="22"/>
                    </w:rPr>
                    <w:t>Wahyuni &amp; Wahyudi, 2014</w:t>
                  </w:r>
                </w:p>
              </w:tc>
              <w:tc>
                <w:tcPr>
                  <w:tcW w:w="5428" w:type="dxa"/>
                  <w:tcBorders>
                    <w:top w:val="single" w:sz="4" w:space="0" w:color="auto"/>
                    <w:bottom w:val="single" w:sz="4" w:space="0" w:color="auto"/>
                  </w:tcBorders>
                  <w:shd w:val="clear" w:color="auto" w:fill="auto"/>
                </w:tcPr>
                <w:p w14:paraId="535E5D66" w14:textId="77777777" w:rsidR="00E54420" w:rsidRPr="001602CB" w:rsidRDefault="00E54420" w:rsidP="00157A08">
                  <w:pPr>
                    <w:pStyle w:val="ListParagraph"/>
                    <w:numPr>
                      <w:ilvl w:val="0"/>
                      <w:numId w:val="3"/>
                    </w:numPr>
                    <w:suppressAutoHyphens/>
                    <w:spacing w:after="120" w:line="240" w:lineRule="auto"/>
                    <w:ind w:left="449" w:hanging="449"/>
                    <w:jc w:val="both"/>
                    <w:textAlignment w:val="top"/>
                    <w:outlineLvl w:val="0"/>
                    <w:rPr>
                      <w:rFonts w:ascii="Book Antiqua" w:hAnsi="Book Antiqua"/>
                      <w:color w:val="000000"/>
                      <w:sz w:val="22"/>
                      <w:szCs w:val="22"/>
                    </w:rPr>
                  </w:pPr>
                  <w:r w:rsidRPr="001602CB">
                    <w:rPr>
                      <w:rFonts w:ascii="Book Antiqua" w:hAnsi="Book Antiqua"/>
                      <w:color w:val="000000"/>
                      <w:sz w:val="22"/>
                      <w:szCs w:val="22"/>
                    </w:rPr>
                    <w:t>This research aims to analyze the causal relationship between gold returns and stock market returns as well as the influence between the two and the influence of the inflation variable as one of the macroeconomic variables on gold returns and stock market returns.</w:t>
                  </w:r>
                </w:p>
                <w:p w14:paraId="6631F1E3" w14:textId="77777777" w:rsidR="00E54420" w:rsidRPr="001602CB" w:rsidRDefault="00E54420" w:rsidP="00157A08">
                  <w:pPr>
                    <w:pStyle w:val="ListParagraph"/>
                    <w:numPr>
                      <w:ilvl w:val="0"/>
                      <w:numId w:val="3"/>
                    </w:numPr>
                    <w:suppressAutoHyphens/>
                    <w:spacing w:after="120" w:line="240" w:lineRule="auto"/>
                    <w:ind w:left="449" w:hanging="449"/>
                    <w:jc w:val="both"/>
                    <w:textAlignment w:val="top"/>
                    <w:outlineLvl w:val="0"/>
                    <w:rPr>
                      <w:rFonts w:ascii="Book Antiqua" w:hAnsi="Book Antiqua"/>
                      <w:color w:val="000000"/>
                      <w:sz w:val="22"/>
                      <w:szCs w:val="22"/>
                    </w:rPr>
                  </w:pPr>
                  <w:r w:rsidRPr="001602CB">
                    <w:rPr>
                      <w:rFonts w:ascii="Book Antiqua" w:hAnsi="Book Antiqua"/>
                      <w:color w:val="000000"/>
                      <w:sz w:val="22"/>
                      <w:szCs w:val="22"/>
                    </w:rPr>
                    <w:t>This research was conducted to find out the best investment choice between gold investment and stock investment during the 1994–2013 inflation period in Indonesia. The research was conducted using monthly data on gold prices, IHSG and inflation during the period January 1994 to December 2013. The analytical method used in this research is the VAR estimation model using the optimal lag test, data stationarity test, Johansen cointegration test, Granger causality test, analysis IRF and VD analysis.</w:t>
                  </w:r>
                </w:p>
                <w:p w14:paraId="25197785" w14:textId="77777777" w:rsidR="00E54420" w:rsidRPr="001602CB" w:rsidRDefault="00E54420" w:rsidP="00157A08">
                  <w:pPr>
                    <w:pStyle w:val="ListParagraph"/>
                    <w:numPr>
                      <w:ilvl w:val="0"/>
                      <w:numId w:val="3"/>
                    </w:numPr>
                    <w:suppressAutoHyphens/>
                    <w:spacing w:after="120" w:line="240" w:lineRule="auto"/>
                    <w:ind w:left="449" w:hanging="449"/>
                    <w:jc w:val="both"/>
                    <w:textAlignment w:val="top"/>
                    <w:outlineLvl w:val="0"/>
                    <w:rPr>
                      <w:rFonts w:ascii="Book Antiqua" w:hAnsi="Book Antiqua"/>
                      <w:color w:val="000000"/>
                      <w:sz w:val="22"/>
                      <w:szCs w:val="22"/>
                    </w:rPr>
                  </w:pPr>
                  <w:r w:rsidRPr="001602CB">
                    <w:rPr>
                      <w:rFonts w:ascii="Book Antiqua" w:hAnsi="Book Antiqua"/>
                      <w:color w:val="000000"/>
                      <w:sz w:val="22"/>
                      <w:szCs w:val="22"/>
                    </w:rPr>
                    <w:t>The results of this research show that there is no causal relationship between gold returns and stock market returns. Based on the VAR estimation model, it is known that in the short term gold returns have no influence on stock market returns and vice versa and the inflation variable has no effect on gold returns and stock market returns. In the end, it is known that investing in gold is the best choice compared to investing in shares during times of inflation.</w:t>
                  </w:r>
                </w:p>
              </w:tc>
            </w:tr>
            <w:tr w:rsidR="00E54420" w:rsidRPr="001602CB" w14:paraId="2D1E2746" w14:textId="77777777" w:rsidTr="007A653A">
              <w:trPr>
                <w:trHeight w:val="426"/>
                <w:jc w:val="right"/>
              </w:trPr>
              <w:tc>
                <w:tcPr>
                  <w:tcW w:w="556" w:type="dxa"/>
                  <w:tcBorders>
                    <w:top w:val="single" w:sz="4" w:space="0" w:color="auto"/>
                    <w:bottom w:val="single" w:sz="4" w:space="0" w:color="auto"/>
                  </w:tcBorders>
                  <w:shd w:val="clear" w:color="auto" w:fill="auto"/>
                </w:tcPr>
                <w:p w14:paraId="0709CF4C" w14:textId="77777777" w:rsidR="00E54420" w:rsidRPr="001602CB" w:rsidRDefault="00E54420" w:rsidP="00157A08">
                  <w:pPr>
                    <w:spacing w:after="120" w:line="240" w:lineRule="auto"/>
                    <w:ind w:hanging="2"/>
                    <w:jc w:val="center"/>
                    <w:rPr>
                      <w:rFonts w:ascii="Book Antiqua" w:hAnsi="Book Antiqua"/>
                      <w:color w:val="000000"/>
                      <w:sz w:val="22"/>
                      <w:szCs w:val="22"/>
                    </w:rPr>
                  </w:pPr>
                  <w:r w:rsidRPr="001602CB">
                    <w:rPr>
                      <w:rFonts w:ascii="Book Antiqua" w:hAnsi="Book Antiqua"/>
                      <w:color w:val="000000"/>
                      <w:sz w:val="22"/>
                      <w:szCs w:val="22"/>
                    </w:rPr>
                    <w:lastRenderedPageBreak/>
                    <w:t>6</w:t>
                  </w:r>
                </w:p>
              </w:tc>
              <w:tc>
                <w:tcPr>
                  <w:tcW w:w="1804" w:type="dxa"/>
                  <w:tcBorders>
                    <w:top w:val="single" w:sz="4" w:space="0" w:color="auto"/>
                    <w:bottom w:val="single" w:sz="4" w:space="0" w:color="auto"/>
                  </w:tcBorders>
                  <w:shd w:val="clear" w:color="auto" w:fill="auto"/>
                </w:tcPr>
                <w:p w14:paraId="1E62552D" w14:textId="77777777" w:rsidR="00E54420" w:rsidRPr="001602CB" w:rsidRDefault="00E54420" w:rsidP="00157A08">
                  <w:pPr>
                    <w:spacing w:after="120" w:line="240" w:lineRule="auto"/>
                    <w:ind w:hanging="2"/>
                    <w:rPr>
                      <w:rFonts w:ascii="Book Antiqua" w:hAnsi="Book Antiqua"/>
                      <w:color w:val="000000"/>
                      <w:sz w:val="22"/>
                      <w:szCs w:val="22"/>
                    </w:rPr>
                  </w:pPr>
                  <w:r w:rsidRPr="001602CB">
                    <w:rPr>
                      <w:rFonts w:ascii="Book Antiqua" w:hAnsi="Book Antiqua"/>
                      <w:color w:val="000000"/>
                      <w:sz w:val="22"/>
                      <w:szCs w:val="22"/>
                    </w:rPr>
                    <w:t>Optimizing Hajj Fund Investment in the Covid-19 Pandemic Era</w:t>
                  </w:r>
                </w:p>
              </w:tc>
              <w:tc>
                <w:tcPr>
                  <w:tcW w:w="1319" w:type="dxa"/>
                  <w:tcBorders>
                    <w:top w:val="single" w:sz="4" w:space="0" w:color="auto"/>
                    <w:bottom w:val="single" w:sz="4" w:space="0" w:color="auto"/>
                  </w:tcBorders>
                  <w:shd w:val="clear" w:color="auto" w:fill="auto"/>
                </w:tcPr>
                <w:p w14:paraId="3D6A6C86" w14:textId="77777777" w:rsidR="00E54420" w:rsidRPr="001602CB" w:rsidRDefault="00E54420" w:rsidP="00157A08">
                  <w:pPr>
                    <w:spacing w:after="120" w:line="240" w:lineRule="auto"/>
                    <w:ind w:hanging="2"/>
                    <w:rPr>
                      <w:rFonts w:ascii="Book Antiqua" w:hAnsi="Book Antiqua"/>
                      <w:color w:val="000000"/>
                      <w:sz w:val="22"/>
                      <w:szCs w:val="22"/>
                    </w:rPr>
                  </w:pPr>
                  <w:bookmarkStart w:id="9" w:name="_Hlk149402066"/>
                  <w:proofErr w:type="spellStart"/>
                  <w:r w:rsidRPr="001602CB">
                    <w:rPr>
                      <w:rFonts w:ascii="Book Antiqua" w:hAnsi="Book Antiqua"/>
                      <w:color w:val="000000"/>
                      <w:sz w:val="22"/>
                      <w:szCs w:val="22"/>
                    </w:rPr>
                    <w:t>Junaedi</w:t>
                  </w:r>
                  <w:proofErr w:type="spellEnd"/>
                  <w:r w:rsidRPr="001602CB">
                    <w:rPr>
                      <w:rFonts w:ascii="Book Antiqua" w:hAnsi="Book Antiqua"/>
                      <w:color w:val="000000"/>
                      <w:sz w:val="22"/>
                      <w:szCs w:val="22"/>
                    </w:rPr>
                    <w:t xml:space="preserve">, Arsyad, &amp; </w:t>
                  </w:r>
                  <w:proofErr w:type="spellStart"/>
                  <w:r w:rsidRPr="001602CB">
                    <w:rPr>
                      <w:rFonts w:ascii="Book Antiqua" w:hAnsi="Book Antiqua"/>
                      <w:color w:val="000000"/>
                      <w:sz w:val="22"/>
                      <w:szCs w:val="22"/>
                    </w:rPr>
                    <w:t>Aurijah</w:t>
                  </w:r>
                  <w:proofErr w:type="spellEnd"/>
                  <w:r w:rsidRPr="001602CB">
                    <w:rPr>
                      <w:rFonts w:ascii="Book Antiqua" w:hAnsi="Book Antiqua"/>
                      <w:color w:val="000000"/>
                      <w:sz w:val="22"/>
                      <w:szCs w:val="22"/>
                    </w:rPr>
                    <w:t>, 2020</w:t>
                  </w:r>
                  <w:bookmarkEnd w:id="9"/>
                </w:p>
              </w:tc>
              <w:tc>
                <w:tcPr>
                  <w:tcW w:w="5428" w:type="dxa"/>
                  <w:tcBorders>
                    <w:top w:val="single" w:sz="4" w:space="0" w:color="auto"/>
                    <w:bottom w:val="single" w:sz="4" w:space="0" w:color="auto"/>
                  </w:tcBorders>
                  <w:shd w:val="clear" w:color="auto" w:fill="auto"/>
                </w:tcPr>
                <w:p w14:paraId="36D22DF7" w14:textId="77777777" w:rsidR="00E54420" w:rsidRPr="001602CB" w:rsidRDefault="00E54420" w:rsidP="00157A08">
                  <w:pPr>
                    <w:pStyle w:val="ListParagraph"/>
                    <w:numPr>
                      <w:ilvl w:val="0"/>
                      <w:numId w:val="5"/>
                    </w:numPr>
                    <w:suppressAutoHyphens/>
                    <w:spacing w:after="120" w:line="240" w:lineRule="auto"/>
                    <w:ind w:left="449" w:hanging="449"/>
                    <w:jc w:val="both"/>
                    <w:textAlignment w:val="top"/>
                    <w:outlineLvl w:val="0"/>
                    <w:rPr>
                      <w:rFonts w:ascii="Book Antiqua" w:hAnsi="Book Antiqua"/>
                      <w:color w:val="000000"/>
                      <w:sz w:val="22"/>
                      <w:szCs w:val="22"/>
                    </w:rPr>
                  </w:pPr>
                  <w:r w:rsidRPr="001602CB">
                    <w:rPr>
                      <w:rFonts w:ascii="Book Antiqua" w:hAnsi="Book Antiqua"/>
                      <w:color w:val="000000"/>
                      <w:sz w:val="22"/>
                      <w:szCs w:val="22"/>
                    </w:rPr>
                    <w:t>This research aims to explore optimal Hajj financial investment options through analyzing the relationship between investment prospects in gold, sharia shares and rice agribusiness investment with exchange rate dynamics, inflation, BI-rate, pandemic cases and policy differences in handling the Covid-19 pandemic. The method used is a mixed method of qualitative description and quantitative analysis. The data used is primary data and secondary data for the period January-August 2020. The analysis technique used is multiple regression with the summy variable of pandemic policy.</w:t>
                  </w:r>
                </w:p>
                <w:p w14:paraId="383A3C0A" w14:textId="77777777" w:rsidR="00E54420" w:rsidRPr="001602CB" w:rsidRDefault="00E54420" w:rsidP="00157A08">
                  <w:pPr>
                    <w:pStyle w:val="ListParagraph"/>
                    <w:numPr>
                      <w:ilvl w:val="0"/>
                      <w:numId w:val="5"/>
                    </w:numPr>
                    <w:suppressAutoHyphens/>
                    <w:spacing w:after="120" w:line="240" w:lineRule="auto"/>
                    <w:ind w:left="449" w:hanging="449"/>
                    <w:jc w:val="both"/>
                    <w:textAlignment w:val="top"/>
                    <w:outlineLvl w:val="0"/>
                    <w:rPr>
                      <w:rFonts w:ascii="Book Antiqua" w:hAnsi="Book Antiqua"/>
                      <w:color w:val="000000"/>
                      <w:sz w:val="22"/>
                      <w:szCs w:val="22"/>
                    </w:rPr>
                  </w:pPr>
                  <w:r w:rsidRPr="001602CB">
                    <w:rPr>
                      <w:rFonts w:ascii="Book Antiqua" w:hAnsi="Book Antiqua"/>
                      <w:color w:val="000000"/>
                      <w:sz w:val="22"/>
                      <w:szCs w:val="22"/>
                    </w:rPr>
                    <w:t>The results obtained show that gold investment, sharia stock investment and rice agribusiness investment can be priority choices for Hajj financial investment. The prospect of gold investment is quite bright and statistically it is not significantly affected by exchange rate fluctuations, inflation, the BI rate and pandemic cases.</w:t>
                  </w:r>
                </w:p>
              </w:tc>
            </w:tr>
            <w:tr w:rsidR="00E54420" w:rsidRPr="001602CB" w14:paraId="2FDAA6C4" w14:textId="77777777" w:rsidTr="007A653A">
              <w:trPr>
                <w:trHeight w:val="870"/>
                <w:jc w:val="right"/>
              </w:trPr>
              <w:tc>
                <w:tcPr>
                  <w:tcW w:w="556" w:type="dxa"/>
                  <w:tcBorders>
                    <w:top w:val="single" w:sz="4" w:space="0" w:color="auto"/>
                    <w:bottom w:val="single" w:sz="4" w:space="0" w:color="auto"/>
                  </w:tcBorders>
                  <w:shd w:val="clear" w:color="auto" w:fill="auto"/>
                </w:tcPr>
                <w:p w14:paraId="78D56186" w14:textId="77777777" w:rsidR="00E54420" w:rsidRPr="001602CB" w:rsidRDefault="00E54420" w:rsidP="00157A08">
                  <w:pPr>
                    <w:spacing w:after="120" w:line="240" w:lineRule="auto"/>
                    <w:ind w:hanging="2"/>
                    <w:jc w:val="center"/>
                    <w:rPr>
                      <w:rFonts w:ascii="Book Antiqua" w:hAnsi="Book Antiqua"/>
                      <w:color w:val="000000"/>
                      <w:sz w:val="22"/>
                      <w:szCs w:val="22"/>
                    </w:rPr>
                  </w:pPr>
                  <w:r w:rsidRPr="001602CB">
                    <w:rPr>
                      <w:rFonts w:ascii="Book Antiqua" w:hAnsi="Book Antiqua"/>
                      <w:color w:val="000000"/>
                      <w:sz w:val="22"/>
                      <w:szCs w:val="22"/>
                    </w:rPr>
                    <w:t>7</w:t>
                  </w:r>
                </w:p>
              </w:tc>
              <w:tc>
                <w:tcPr>
                  <w:tcW w:w="1804" w:type="dxa"/>
                  <w:tcBorders>
                    <w:top w:val="single" w:sz="4" w:space="0" w:color="auto"/>
                    <w:bottom w:val="single" w:sz="4" w:space="0" w:color="auto"/>
                  </w:tcBorders>
                  <w:shd w:val="clear" w:color="auto" w:fill="auto"/>
                </w:tcPr>
                <w:p w14:paraId="2D0B3B41" w14:textId="77777777" w:rsidR="00E54420" w:rsidRPr="001602CB" w:rsidRDefault="00E54420" w:rsidP="00157A08">
                  <w:pPr>
                    <w:spacing w:after="120" w:line="240" w:lineRule="auto"/>
                    <w:ind w:hanging="2"/>
                    <w:rPr>
                      <w:rFonts w:ascii="Book Antiqua" w:hAnsi="Book Antiqua"/>
                      <w:color w:val="000000"/>
                      <w:sz w:val="22"/>
                      <w:szCs w:val="22"/>
                    </w:rPr>
                  </w:pPr>
                  <w:r w:rsidRPr="001602CB">
                    <w:rPr>
                      <w:rFonts w:ascii="Book Antiqua" w:hAnsi="Book Antiqua"/>
                      <w:color w:val="000000"/>
                      <w:sz w:val="22"/>
                      <w:szCs w:val="22"/>
                    </w:rPr>
                    <w:t>Forecasting the price of gold:  An error correction approach</w:t>
                  </w:r>
                </w:p>
                <w:p w14:paraId="22ED03E8" w14:textId="6E44ECB3" w:rsidR="00E54420" w:rsidRPr="001602CB" w:rsidRDefault="00E54420" w:rsidP="00157A08">
                  <w:pPr>
                    <w:spacing w:after="120" w:line="240" w:lineRule="auto"/>
                    <w:ind w:hanging="2"/>
                    <w:rPr>
                      <w:rFonts w:ascii="Book Antiqua" w:hAnsi="Book Antiqua"/>
                      <w:color w:val="000000"/>
                      <w:sz w:val="22"/>
                      <w:szCs w:val="22"/>
                    </w:rPr>
                  </w:pPr>
                </w:p>
                <w:p w14:paraId="79BBA635" w14:textId="65396EC9" w:rsidR="00E54420" w:rsidRPr="001602CB" w:rsidRDefault="00E54420" w:rsidP="00157A08">
                  <w:pPr>
                    <w:spacing w:after="120" w:line="240" w:lineRule="auto"/>
                    <w:ind w:hanging="2"/>
                    <w:rPr>
                      <w:rFonts w:ascii="Book Antiqua" w:hAnsi="Book Antiqua"/>
                      <w:color w:val="000000"/>
                      <w:sz w:val="22"/>
                      <w:szCs w:val="22"/>
                    </w:rPr>
                  </w:pPr>
                </w:p>
                <w:p w14:paraId="2EE431AC" w14:textId="675BF440" w:rsidR="00E54420" w:rsidRPr="001602CB" w:rsidRDefault="00E54420" w:rsidP="00157A08">
                  <w:pPr>
                    <w:spacing w:after="120" w:line="240" w:lineRule="auto"/>
                    <w:ind w:hanging="2"/>
                    <w:rPr>
                      <w:rFonts w:ascii="Book Antiqua" w:hAnsi="Book Antiqua"/>
                      <w:color w:val="000000"/>
                      <w:sz w:val="22"/>
                      <w:szCs w:val="22"/>
                    </w:rPr>
                  </w:pPr>
                </w:p>
                <w:p w14:paraId="0352550D" w14:textId="4DB63648" w:rsidR="00E54420" w:rsidRPr="001602CB" w:rsidRDefault="00E54420" w:rsidP="00157A08">
                  <w:pPr>
                    <w:spacing w:after="120" w:line="240" w:lineRule="auto"/>
                    <w:ind w:hanging="2"/>
                    <w:rPr>
                      <w:rFonts w:ascii="Book Antiqua" w:hAnsi="Book Antiqua"/>
                      <w:color w:val="000000"/>
                      <w:sz w:val="22"/>
                      <w:szCs w:val="22"/>
                    </w:rPr>
                  </w:pPr>
                </w:p>
              </w:tc>
              <w:tc>
                <w:tcPr>
                  <w:tcW w:w="1319" w:type="dxa"/>
                  <w:tcBorders>
                    <w:top w:val="single" w:sz="4" w:space="0" w:color="auto"/>
                    <w:bottom w:val="single" w:sz="4" w:space="0" w:color="auto"/>
                  </w:tcBorders>
                  <w:shd w:val="clear" w:color="auto" w:fill="auto"/>
                </w:tcPr>
                <w:p w14:paraId="089584BB" w14:textId="77777777" w:rsidR="00E54420" w:rsidRPr="001602CB" w:rsidRDefault="00E54420" w:rsidP="00157A08">
                  <w:pPr>
                    <w:spacing w:after="120" w:line="240" w:lineRule="auto"/>
                    <w:ind w:hanging="2"/>
                    <w:rPr>
                      <w:rFonts w:ascii="Book Antiqua" w:hAnsi="Book Antiqua"/>
                      <w:color w:val="000000"/>
                      <w:sz w:val="22"/>
                      <w:szCs w:val="22"/>
                    </w:rPr>
                  </w:pPr>
                  <w:bookmarkStart w:id="10" w:name="OLE_LINK3"/>
                  <w:bookmarkStart w:id="11" w:name="OLE_LINK4"/>
                  <w:r w:rsidRPr="001602CB">
                    <w:rPr>
                      <w:rFonts w:ascii="Book Antiqua" w:hAnsi="Book Antiqua"/>
                      <w:color w:val="000000"/>
                      <w:sz w:val="22"/>
                      <w:szCs w:val="22"/>
                    </w:rPr>
                    <w:t>Gangopadhyay et al., 2016</w:t>
                  </w:r>
                </w:p>
                <w:bookmarkEnd w:id="10"/>
                <w:bookmarkEnd w:id="11"/>
                <w:p w14:paraId="6B11A578" w14:textId="624D4BBC" w:rsidR="00E54420" w:rsidRPr="001602CB" w:rsidRDefault="00E54420" w:rsidP="00157A08">
                  <w:pPr>
                    <w:spacing w:after="120" w:line="240" w:lineRule="auto"/>
                    <w:ind w:hanging="2"/>
                    <w:rPr>
                      <w:rFonts w:ascii="Book Antiqua" w:hAnsi="Book Antiqua"/>
                      <w:color w:val="000000"/>
                      <w:sz w:val="22"/>
                      <w:szCs w:val="22"/>
                    </w:rPr>
                  </w:pPr>
                </w:p>
                <w:p w14:paraId="1F05CB85" w14:textId="4A5F547F" w:rsidR="00E54420" w:rsidRPr="001602CB" w:rsidRDefault="00E54420" w:rsidP="00157A08">
                  <w:pPr>
                    <w:spacing w:after="120" w:line="240" w:lineRule="auto"/>
                    <w:ind w:hanging="2"/>
                    <w:rPr>
                      <w:rFonts w:ascii="Book Antiqua" w:hAnsi="Book Antiqua"/>
                      <w:color w:val="000000"/>
                      <w:sz w:val="22"/>
                      <w:szCs w:val="22"/>
                    </w:rPr>
                  </w:pPr>
                </w:p>
                <w:p w14:paraId="3C5D7D44" w14:textId="463966E0" w:rsidR="00E54420" w:rsidRPr="001602CB" w:rsidRDefault="00E54420" w:rsidP="00157A08">
                  <w:pPr>
                    <w:spacing w:after="120" w:line="240" w:lineRule="auto"/>
                    <w:ind w:hanging="2"/>
                    <w:rPr>
                      <w:rFonts w:ascii="Book Antiqua" w:hAnsi="Book Antiqua"/>
                      <w:color w:val="000000"/>
                      <w:sz w:val="22"/>
                      <w:szCs w:val="22"/>
                    </w:rPr>
                  </w:pPr>
                </w:p>
                <w:p w14:paraId="699B6C46" w14:textId="232C77F1" w:rsidR="00E54420" w:rsidRPr="001602CB" w:rsidRDefault="00E54420" w:rsidP="00157A08">
                  <w:pPr>
                    <w:spacing w:after="120" w:line="240" w:lineRule="auto"/>
                    <w:ind w:hanging="2"/>
                    <w:rPr>
                      <w:rFonts w:ascii="Book Antiqua" w:hAnsi="Book Antiqua"/>
                      <w:color w:val="000000"/>
                      <w:sz w:val="22"/>
                      <w:szCs w:val="22"/>
                    </w:rPr>
                  </w:pPr>
                </w:p>
              </w:tc>
              <w:tc>
                <w:tcPr>
                  <w:tcW w:w="5428" w:type="dxa"/>
                  <w:tcBorders>
                    <w:top w:val="single" w:sz="4" w:space="0" w:color="auto"/>
                    <w:bottom w:val="single" w:sz="4" w:space="0" w:color="auto"/>
                  </w:tcBorders>
                  <w:shd w:val="clear" w:color="auto" w:fill="auto"/>
                </w:tcPr>
                <w:p w14:paraId="0A9599B7" w14:textId="77777777" w:rsidR="00E54420" w:rsidRPr="001602CB" w:rsidRDefault="00E54420" w:rsidP="00157A08">
                  <w:pPr>
                    <w:pStyle w:val="ListParagraph"/>
                    <w:numPr>
                      <w:ilvl w:val="0"/>
                      <w:numId w:val="6"/>
                    </w:numPr>
                    <w:suppressAutoHyphens/>
                    <w:spacing w:after="120" w:line="240" w:lineRule="auto"/>
                    <w:ind w:left="449" w:hanging="449"/>
                    <w:jc w:val="both"/>
                    <w:textAlignment w:val="top"/>
                    <w:outlineLvl w:val="0"/>
                    <w:rPr>
                      <w:rFonts w:ascii="Book Antiqua" w:hAnsi="Book Antiqua"/>
                      <w:color w:val="000000"/>
                      <w:sz w:val="22"/>
                      <w:szCs w:val="22"/>
                    </w:rPr>
                  </w:pPr>
                  <w:r w:rsidRPr="001602CB">
                    <w:rPr>
                      <w:rFonts w:ascii="Book Antiqua" w:hAnsi="Book Antiqua"/>
                      <w:color w:val="000000"/>
                      <w:sz w:val="22"/>
                      <w:szCs w:val="22"/>
                    </w:rPr>
                    <w:t>Long-term opposite movements in gold prices and stock markets. Gold acts as a hedge for a portfolio. Furthermore, gold acts as a safe haven asset when volatility is high.</w:t>
                  </w:r>
                </w:p>
                <w:p w14:paraId="2836C49E" w14:textId="77777777" w:rsidR="00E54420" w:rsidRPr="001602CB" w:rsidRDefault="00E54420" w:rsidP="00157A08">
                  <w:pPr>
                    <w:pStyle w:val="ListParagraph"/>
                    <w:numPr>
                      <w:ilvl w:val="0"/>
                      <w:numId w:val="6"/>
                    </w:numPr>
                    <w:suppressAutoHyphens/>
                    <w:spacing w:after="120" w:line="240" w:lineRule="auto"/>
                    <w:ind w:left="449" w:hanging="449"/>
                    <w:jc w:val="both"/>
                    <w:textAlignment w:val="top"/>
                    <w:outlineLvl w:val="0"/>
                    <w:rPr>
                      <w:rFonts w:ascii="Book Antiqua" w:hAnsi="Book Antiqua"/>
                      <w:color w:val="000000"/>
                      <w:sz w:val="22"/>
                      <w:szCs w:val="22"/>
                    </w:rPr>
                  </w:pPr>
                  <w:r w:rsidRPr="001602CB">
                    <w:rPr>
                      <w:rFonts w:ascii="Book Antiqua" w:hAnsi="Book Antiqua"/>
                      <w:color w:val="000000"/>
                      <w:sz w:val="22"/>
                      <w:szCs w:val="22"/>
                    </w:rPr>
                    <w:t>Oil prices have a negative relationship with gold, which indicates that gold can act as a good hedge against commodity prices.</w:t>
                  </w:r>
                </w:p>
                <w:p w14:paraId="5821B1A5" w14:textId="77777777" w:rsidR="00E54420" w:rsidRPr="001602CB" w:rsidRDefault="00E54420" w:rsidP="00157A08">
                  <w:pPr>
                    <w:pStyle w:val="ListParagraph"/>
                    <w:numPr>
                      <w:ilvl w:val="0"/>
                      <w:numId w:val="6"/>
                    </w:numPr>
                    <w:suppressAutoHyphens/>
                    <w:spacing w:after="120" w:line="240" w:lineRule="auto"/>
                    <w:ind w:left="449" w:hanging="449"/>
                    <w:jc w:val="both"/>
                    <w:textAlignment w:val="top"/>
                    <w:outlineLvl w:val="0"/>
                    <w:rPr>
                      <w:rFonts w:ascii="Book Antiqua" w:hAnsi="Book Antiqua"/>
                      <w:color w:val="000000"/>
                      <w:sz w:val="22"/>
                      <w:szCs w:val="22"/>
                    </w:rPr>
                  </w:pPr>
                  <w:r w:rsidRPr="001602CB">
                    <w:rPr>
                      <w:rFonts w:ascii="Book Antiqua" w:hAnsi="Book Antiqua"/>
                      <w:color w:val="000000"/>
                      <w:sz w:val="22"/>
                      <w:szCs w:val="22"/>
                    </w:rPr>
                    <w:t>US bond rates have a negative relationship with gold which suggests that when returns from investments abroad are high, demand for gold in India may fall.</w:t>
                  </w:r>
                </w:p>
                <w:p w14:paraId="1FA8F563" w14:textId="77777777" w:rsidR="00E54420" w:rsidRPr="001602CB" w:rsidRDefault="00E54420" w:rsidP="00157A08">
                  <w:pPr>
                    <w:pStyle w:val="ListParagraph"/>
                    <w:numPr>
                      <w:ilvl w:val="0"/>
                      <w:numId w:val="6"/>
                    </w:numPr>
                    <w:suppressAutoHyphens/>
                    <w:spacing w:after="120" w:line="240" w:lineRule="auto"/>
                    <w:ind w:left="449" w:hanging="449"/>
                    <w:jc w:val="both"/>
                    <w:textAlignment w:val="top"/>
                    <w:outlineLvl w:val="0"/>
                    <w:rPr>
                      <w:rFonts w:ascii="Book Antiqua" w:hAnsi="Book Antiqua"/>
                      <w:color w:val="000000"/>
                      <w:sz w:val="22"/>
                      <w:szCs w:val="22"/>
                    </w:rPr>
                  </w:pPr>
                  <w:r w:rsidRPr="001602CB">
                    <w:rPr>
                      <w:rFonts w:ascii="Book Antiqua" w:hAnsi="Book Antiqua"/>
                      <w:color w:val="000000"/>
                      <w:sz w:val="22"/>
                      <w:szCs w:val="22"/>
                    </w:rPr>
                    <w:t>Gold acts as a good inflation hedge.</w:t>
                  </w:r>
                </w:p>
              </w:tc>
            </w:tr>
            <w:tr w:rsidR="00E54420" w:rsidRPr="001602CB" w14:paraId="11A86B5C" w14:textId="77777777" w:rsidTr="007A653A">
              <w:trPr>
                <w:trHeight w:val="851"/>
                <w:jc w:val="right"/>
              </w:trPr>
              <w:tc>
                <w:tcPr>
                  <w:tcW w:w="556" w:type="dxa"/>
                  <w:tcBorders>
                    <w:top w:val="single" w:sz="4" w:space="0" w:color="auto"/>
                    <w:bottom w:val="single" w:sz="4" w:space="0" w:color="auto"/>
                  </w:tcBorders>
                  <w:shd w:val="clear" w:color="auto" w:fill="auto"/>
                </w:tcPr>
                <w:p w14:paraId="723C71D6" w14:textId="77777777" w:rsidR="00E54420" w:rsidRPr="001602CB" w:rsidRDefault="00E54420" w:rsidP="00157A08">
                  <w:pPr>
                    <w:spacing w:after="120" w:line="240" w:lineRule="auto"/>
                    <w:ind w:hanging="2"/>
                    <w:jc w:val="center"/>
                    <w:rPr>
                      <w:rFonts w:ascii="Book Antiqua" w:hAnsi="Book Antiqua"/>
                      <w:color w:val="000000"/>
                      <w:sz w:val="22"/>
                      <w:szCs w:val="22"/>
                    </w:rPr>
                  </w:pPr>
                  <w:r w:rsidRPr="001602CB">
                    <w:rPr>
                      <w:rFonts w:ascii="Book Antiqua" w:hAnsi="Book Antiqua"/>
                      <w:color w:val="000000"/>
                      <w:sz w:val="22"/>
                      <w:szCs w:val="22"/>
                    </w:rPr>
                    <w:t>8</w:t>
                  </w:r>
                </w:p>
              </w:tc>
              <w:tc>
                <w:tcPr>
                  <w:tcW w:w="1804" w:type="dxa"/>
                  <w:tcBorders>
                    <w:top w:val="single" w:sz="4" w:space="0" w:color="auto"/>
                    <w:bottom w:val="single" w:sz="4" w:space="0" w:color="auto"/>
                  </w:tcBorders>
                  <w:shd w:val="clear" w:color="auto" w:fill="auto"/>
                </w:tcPr>
                <w:p w14:paraId="13E80745" w14:textId="77777777" w:rsidR="00E54420" w:rsidRPr="001602CB" w:rsidRDefault="00E54420" w:rsidP="00157A08">
                  <w:pPr>
                    <w:spacing w:after="120" w:line="240" w:lineRule="auto"/>
                    <w:ind w:hanging="2"/>
                    <w:rPr>
                      <w:rFonts w:ascii="Book Antiqua" w:hAnsi="Book Antiqua"/>
                      <w:color w:val="000000"/>
                      <w:sz w:val="22"/>
                      <w:szCs w:val="22"/>
                    </w:rPr>
                  </w:pPr>
                  <w:r w:rsidRPr="001602CB">
                    <w:rPr>
                      <w:rFonts w:ascii="Book Antiqua" w:hAnsi="Book Antiqua"/>
                      <w:color w:val="000000"/>
                      <w:sz w:val="22"/>
                      <w:szCs w:val="22"/>
                    </w:rPr>
                    <w:t>Determinants of gold price movements: An empirical investigation in the presence of multiple structural breaks</w:t>
                  </w:r>
                </w:p>
                <w:p w14:paraId="476BA487" w14:textId="7C0226D9" w:rsidR="00E54420" w:rsidRPr="001602CB" w:rsidRDefault="00E54420" w:rsidP="00157A08">
                  <w:pPr>
                    <w:spacing w:after="120" w:line="240" w:lineRule="auto"/>
                    <w:ind w:hanging="2"/>
                    <w:rPr>
                      <w:rFonts w:ascii="Book Antiqua" w:hAnsi="Book Antiqua"/>
                      <w:color w:val="000000"/>
                      <w:sz w:val="22"/>
                      <w:szCs w:val="22"/>
                    </w:rPr>
                  </w:pPr>
                </w:p>
                <w:p w14:paraId="0793AD4E" w14:textId="79994BEA" w:rsidR="00E54420" w:rsidRPr="001602CB" w:rsidRDefault="00E54420" w:rsidP="00157A08">
                  <w:pPr>
                    <w:spacing w:after="120" w:line="240" w:lineRule="auto"/>
                    <w:ind w:hanging="2"/>
                    <w:rPr>
                      <w:rFonts w:ascii="Book Antiqua" w:hAnsi="Book Antiqua"/>
                      <w:color w:val="000000"/>
                      <w:sz w:val="22"/>
                      <w:szCs w:val="22"/>
                    </w:rPr>
                  </w:pPr>
                </w:p>
                <w:p w14:paraId="476C5025" w14:textId="09023E3B" w:rsidR="00E54420" w:rsidRPr="001602CB" w:rsidRDefault="00E54420" w:rsidP="00157A08">
                  <w:pPr>
                    <w:spacing w:after="120" w:line="240" w:lineRule="auto"/>
                    <w:ind w:hanging="2"/>
                    <w:rPr>
                      <w:rFonts w:ascii="Book Antiqua" w:hAnsi="Book Antiqua"/>
                      <w:color w:val="000000"/>
                      <w:sz w:val="22"/>
                      <w:szCs w:val="22"/>
                    </w:rPr>
                  </w:pPr>
                </w:p>
              </w:tc>
              <w:tc>
                <w:tcPr>
                  <w:tcW w:w="1319" w:type="dxa"/>
                  <w:tcBorders>
                    <w:top w:val="single" w:sz="4" w:space="0" w:color="auto"/>
                    <w:bottom w:val="single" w:sz="4" w:space="0" w:color="auto"/>
                  </w:tcBorders>
                  <w:shd w:val="clear" w:color="auto" w:fill="auto"/>
                </w:tcPr>
                <w:p w14:paraId="214B67DF" w14:textId="77777777" w:rsidR="00E54420" w:rsidRPr="001602CB" w:rsidRDefault="00E54420" w:rsidP="00157A08">
                  <w:pPr>
                    <w:spacing w:after="120" w:line="240" w:lineRule="auto"/>
                    <w:ind w:hanging="2"/>
                    <w:rPr>
                      <w:rFonts w:ascii="Book Antiqua" w:hAnsi="Book Antiqua"/>
                      <w:color w:val="000000"/>
                      <w:sz w:val="22"/>
                      <w:szCs w:val="22"/>
                    </w:rPr>
                  </w:pPr>
                  <w:r w:rsidRPr="001602CB">
                    <w:rPr>
                      <w:rFonts w:ascii="Book Antiqua" w:hAnsi="Book Antiqua"/>
                      <w:color w:val="000000"/>
                      <w:sz w:val="22"/>
                      <w:szCs w:val="22"/>
                    </w:rPr>
                    <w:t>Chirwa &amp; Odhiambo, 2020</w:t>
                  </w:r>
                </w:p>
              </w:tc>
              <w:tc>
                <w:tcPr>
                  <w:tcW w:w="5428" w:type="dxa"/>
                  <w:tcBorders>
                    <w:top w:val="single" w:sz="4" w:space="0" w:color="auto"/>
                    <w:bottom w:val="single" w:sz="4" w:space="0" w:color="auto"/>
                  </w:tcBorders>
                  <w:shd w:val="clear" w:color="auto" w:fill="auto"/>
                </w:tcPr>
                <w:p w14:paraId="64DC93FA" w14:textId="77777777" w:rsidR="00E54420" w:rsidRPr="001602CB" w:rsidRDefault="00E54420" w:rsidP="00157A08">
                  <w:pPr>
                    <w:pStyle w:val="ListParagraph"/>
                    <w:numPr>
                      <w:ilvl w:val="0"/>
                      <w:numId w:val="7"/>
                    </w:numPr>
                    <w:suppressAutoHyphens/>
                    <w:spacing w:after="120" w:line="240" w:lineRule="auto"/>
                    <w:ind w:left="449" w:hanging="449"/>
                    <w:jc w:val="both"/>
                    <w:textAlignment w:val="top"/>
                    <w:outlineLvl w:val="0"/>
                    <w:rPr>
                      <w:rFonts w:ascii="Book Antiqua" w:hAnsi="Book Antiqua"/>
                      <w:color w:val="000000"/>
                      <w:sz w:val="22"/>
                      <w:szCs w:val="22"/>
                    </w:rPr>
                  </w:pPr>
                  <w:r w:rsidRPr="001602CB">
                    <w:rPr>
                      <w:rFonts w:ascii="Book Antiqua" w:hAnsi="Book Antiqua"/>
                      <w:color w:val="000000"/>
                      <w:sz w:val="22"/>
                      <w:szCs w:val="22"/>
                    </w:rPr>
                    <w:t>Using Multivariate ARDL-based error-correction analysis/method.</w:t>
                  </w:r>
                </w:p>
                <w:p w14:paraId="7D25BFF9" w14:textId="77777777" w:rsidR="00E54420" w:rsidRPr="001602CB" w:rsidRDefault="00E54420" w:rsidP="00157A08">
                  <w:pPr>
                    <w:pStyle w:val="ListParagraph"/>
                    <w:numPr>
                      <w:ilvl w:val="0"/>
                      <w:numId w:val="7"/>
                    </w:numPr>
                    <w:suppressAutoHyphens/>
                    <w:spacing w:after="120" w:line="240" w:lineRule="auto"/>
                    <w:ind w:left="449" w:hanging="449"/>
                    <w:jc w:val="both"/>
                    <w:textAlignment w:val="top"/>
                    <w:outlineLvl w:val="0"/>
                    <w:rPr>
                      <w:rFonts w:ascii="Book Antiqua" w:hAnsi="Book Antiqua"/>
                      <w:color w:val="000000"/>
                      <w:sz w:val="22"/>
                      <w:szCs w:val="22"/>
                    </w:rPr>
                  </w:pPr>
                  <w:r w:rsidRPr="001602CB">
                    <w:rPr>
                      <w:rFonts w:ascii="Book Antiqua" w:hAnsi="Book Antiqua"/>
                      <w:color w:val="000000"/>
                      <w:sz w:val="22"/>
                      <w:szCs w:val="22"/>
                    </w:rPr>
                    <w:t>There is a significant and positive relationship indicating a long-term association between gold price movements, the London Stock Exchange (LSE), Nikkei (JP225) stocks, T. Rowe global multi-sector bond funds, and the CBOE volatility index in</w:t>
                  </w:r>
                </w:p>
                <w:p w14:paraId="2C42B1B6" w14:textId="77777777" w:rsidR="00E54420" w:rsidRPr="001602CB" w:rsidRDefault="00E54420" w:rsidP="00157A08">
                  <w:pPr>
                    <w:pStyle w:val="ListParagraph"/>
                    <w:suppressAutoHyphens/>
                    <w:spacing w:after="120" w:line="240" w:lineRule="auto"/>
                    <w:ind w:left="449"/>
                    <w:jc w:val="both"/>
                    <w:textAlignment w:val="top"/>
                    <w:outlineLvl w:val="0"/>
                    <w:rPr>
                      <w:rFonts w:ascii="Book Antiqua" w:hAnsi="Book Antiqua"/>
                      <w:color w:val="000000"/>
                      <w:sz w:val="22"/>
                      <w:szCs w:val="22"/>
                    </w:rPr>
                  </w:pPr>
                  <w:r w:rsidRPr="001602CB">
                    <w:rPr>
                      <w:rFonts w:ascii="Book Antiqua" w:hAnsi="Book Antiqua"/>
                      <w:color w:val="000000"/>
                      <w:sz w:val="22"/>
                      <w:szCs w:val="22"/>
                    </w:rPr>
                    <w:t>the short and long term long.</w:t>
                  </w:r>
                </w:p>
                <w:p w14:paraId="15A86F82" w14:textId="77777777" w:rsidR="00E54420" w:rsidRPr="001602CB" w:rsidRDefault="00E54420" w:rsidP="00157A08">
                  <w:pPr>
                    <w:pStyle w:val="ListParagraph"/>
                    <w:numPr>
                      <w:ilvl w:val="0"/>
                      <w:numId w:val="7"/>
                    </w:numPr>
                    <w:suppressAutoHyphens/>
                    <w:spacing w:after="120" w:line="240" w:lineRule="auto"/>
                    <w:ind w:left="449" w:hanging="449"/>
                    <w:jc w:val="both"/>
                    <w:textAlignment w:val="top"/>
                    <w:outlineLvl w:val="0"/>
                    <w:rPr>
                      <w:rFonts w:ascii="Book Antiqua" w:hAnsi="Book Antiqua"/>
                      <w:color w:val="000000"/>
                      <w:sz w:val="22"/>
                      <w:szCs w:val="22"/>
                    </w:rPr>
                  </w:pPr>
                  <w:r w:rsidRPr="001602CB">
                    <w:rPr>
                      <w:rFonts w:ascii="Book Antiqua" w:hAnsi="Book Antiqua"/>
                      <w:color w:val="000000"/>
                      <w:sz w:val="22"/>
                      <w:szCs w:val="22"/>
                    </w:rPr>
                    <w:t>There is a significant and negative relationship between gold price movements and bond market indicators (GMO emerging country debt and Pimco emerging markets local currency bond funds) both in the short and long term.</w:t>
                  </w:r>
                </w:p>
                <w:p w14:paraId="79CA8047" w14:textId="77777777" w:rsidR="00E54420" w:rsidRPr="001602CB" w:rsidRDefault="00E54420" w:rsidP="00157A08">
                  <w:pPr>
                    <w:pStyle w:val="ListParagraph"/>
                    <w:numPr>
                      <w:ilvl w:val="0"/>
                      <w:numId w:val="7"/>
                    </w:numPr>
                    <w:suppressAutoHyphens/>
                    <w:spacing w:after="120" w:line="240" w:lineRule="auto"/>
                    <w:ind w:left="449" w:hanging="449"/>
                    <w:jc w:val="both"/>
                    <w:textAlignment w:val="top"/>
                    <w:outlineLvl w:val="0"/>
                    <w:rPr>
                      <w:rFonts w:ascii="Book Antiqua" w:hAnsi="Book Antiqua"/>
                      <w:color w:val="000000"/>
                      <w:sz w:val="22"/>
                      <w:szCs w:val="22"/>
                    </w:rPr>
                  </w:pPr>
                  <w:r w:rsidRPr="001602CB">
                    <w:rPr>
                      <w:rFonts w:ascii="Book Antiqua" w:hAnsi="Book Antiqua"/>
                      <w:color w:val="000000"/>
                      <w:sz w:val="22"/>
                      <w:szCs w:val="22"/>
                    </w:rPr>
                    <w:lastRenderedPageBreak/>
                    <w:t>NASDAQ, DJI, and S&amp;P500 have a negative relationship to gold price movements in the short term.</w:t>
                  </w:r>
                  <w:r w:rsidRPr="001602CB">
                    <w:rPr>
                      <w:rFonts w:ascii="Book Antiqua" w:hAnsi="Book Antiqua"/>
                      <w:color w:val="000000"/>
                      <w:sz w:val="22"/>
                      <w:szCs w:val="22"/>
                      <w:lang w:val="en-US"/>
                    </w:rPr>
                    <w:t xml:space="preserve"> </w:t>
                  </w:r>
                  <w:r w:rsidRPr="001602CB">
                    <w:rPr>
                      <w:rFonts w:ascii="Book Antiqua" w:eastAsia="Times New Roman" w:hAnsi="Book Antiqua"/>
                      <w:color w:val="000000"/>
                      <w:sz w:val="22"/>
                      <w:szCs w:val="22"/>
                    </w:rPr>
                    <w:t>NYSE has a positive relationship with gold price movements in the short term.</w:t>
                  </w:r>
                </w:p>
                <w:p w14:paraId="68A80A84" w14:textId="77777777" w:rsidR="00E54420" w:rsidRPr="001602CB" w:rsidRDefault="00E54420" w:rsidP="00157A08">
                  <w:pPr>
                    <w:pStyle w:val="ListParagraph"/>
                    <w:numPr>
                      <w:ilvl w:val="0"/>
                      <w:numId w:val="7"/>
                    </w:numPr>
                    <w:suppressAutoHyphens/>
                    <w:spacing w:after="120" w:line="240" w:lineRule="auto"/>
                    <w:ind w:left="449" w:hanging="449"/>
                    <w:jc w:val="both"/>
                    <w:textAlignment w:val="top"/>
                    <w:outlineLvl w:val="0"/>
                    <w:rPr>
                      <w:rFonts w:ascii="Book Antiqua" w:hAnsi="Book Antiqua"/>
                      <w:color w:val="000000"/>
                      <w:sz w:val="22"/>
                      <w:szCs w:val="22"/>
                    </w:rPr>
                  </w:pPr>
                  <w:r w:rsidRPr="001602CB">
                    <w:rPr>
                      <w:rFonts w:ascii="Book Antiqua" w:hAnsi="Book Antiqua"/>
                      <w:color w:val="000000"/>
                      <w:sz w:val="22"/>
                      <w:szCs w:val="22"/>
                    </w:rPr>
                    <w:t>Goldman Sachs bonds have a significant and positive relationship to gold prices in the long term.</w:t>
                  </w:r>
                </w:p>
              </w:tc>
            </w:tr>
            <w:tr w:rsidR="00E54420" w:rsidRPr="001602CB" w14:paraId="727E0974" w14:textId="77777777" w:rsidTr="007A653A">
              <w:trPr>
                <w:trHeight w:val="851"/>
                <w:jc w:val="right"/>
              </w:trPr>
              <w:tc>
                <w:tcPr>
                  <w:tcW w:w="556" w:type="dxa"/>
                  <w:tcBorders>
                    <w:top w:val="single" w:sz="4" w:space="0" w:color="auto"/>
                    <w:bottom w:val="single" w:sz="4" w:space="0" w:color="auto"/>
                  </w:tcBorders>
                  <w:shd w:val="clear" w:color="auto" w:fill="auto"/>
                </w:tcPr>
                <w:p w14:paraId="052B5023" w14:textId="77777777" w:rsidR="00E54420" w:rsidRPr="001602CB" w:rsidRDefault="00E54420" w:rsidP="00157A08">
                  <w:pPr>
                    <w:spacing w:after="120" w:line="240" w:lineRule="auto"/>
                    <w:ind w:hanging="2"/>
                    <w:jc w:val="center"/>
                    <w:rPr>
                      <w:rFonts w:ascii="Book Antiqua" w:hAnsi="Book Antiqua"/>
                      <w:color w:val="000000"/>
                      <w:sz w:val="22"/>
                      <w:szCs w:val="22"/>
                    </w:rPr>
                  </w:pPr>
                  <w:r w:rsidRPr="001602CB">
                    <w:rPr>
                      <w:rFonts w:ascii="Book Antiqua" w:hAnsi="Book Antiqua"/>
                      <w:color w:val="000000"/>
                      <w:sz w:val="22"/>
                      <w:szCs w:val="22"/>
                    </w:rPr>
                    <w:lastRenderedPageBreak/>
                    <w:t>9</w:t>
                  </w:r>
                </w:p>
              </w:tc>
              <w:tc>
                <w:tcPr>
                  <w:tcW w:w="1804" w:type="dxa"/>
                  <w:tcBorders>
                    <w:top w:val="single" w:sz="4" w:space="0" w:color="auto"/>
                    <w:bottom w:val="single" w:sz="4" w:space="0" w:color="auto"/>
                  </w:tcBorders>
                  <w:shd w:val="clear" w:color="auto" w:fill="auto"/>
                </w:tcPr>
                <w:p w14:paraId="69AE0C87" w14:textId="77777777" w:rsidR="00E54420" w:rsidRPr="001602CB" w:rsidRDefault="00E54420" w:rsidP="00157A08">
                  <w:pPr>
                    <w:spacing w:after="120" w:line="240" w:lineRule="auto"/>
                    <w:ind w:hanging="2"/>
                    <w:rPr>
                      <w:rFonts w:ascii="Book Antiqua" w:hAnsi="Book Antiqua"/>
                      <w:color w:val="000000"/>
                      <w:sz w:val="22"/>
                      <w:szCs w:val="22"/>
                    </w:rPr>
                  </w:pPr>
                  <w:r w:rsidRPr="001602CB">
                    <w:rPr>
                      <w:rFonts w:ascii="Book Antiqua" w:hAnsi="Book Antiqua"/>
                      <w:color w:val="000000"/>
                      <w:sz w:val="22"/>
                      <w:szCs w:val="22"/>
                    </w:rPr>
                    <w:t xml:space="preserve">Economic policy uncertainty and gold return dynamics: Evidence from </w:t>
                  </w:r>
                  <w:proofErr w:type="spellStart"/>
                  <w:r w:rsidRPr="001602CB">
                    <w:rPr>
                      <w:rFonts w:ascii="Book Antiqua" w:hAnsi="Book Antiqua"/>
                      <w:color w:val="000000"/>
                      <w:sz w:val="22"/>
                      <w:szCs w:val="22"/>
                    </w:rPr>
                    <w:t>highfrequency</w:t>
                  </w:r>
                  <w:proofErr w:type="spellEnd"/>
                  <w:r w:rsidRPr="001602CB">
                    <w:rPr>
                      <w:rFonts w:ascii="Book Antiqua" w:hAnsi="Book Antiqua"/>
                      <w:color w:val="000000"/>
                      <w:sz w:val="22"/>
                      <w:szCs w:val="22"/>
                    </w:rPr>
                    <w:t xml:space="preserve"> data</w:t>
                  </w:r>
                </w:p>
              </w:tc>
              <w:tc>
                <w:tcPr>
                  <w:tcW w:w="1319" w:type="dxa"/>
                  <w:tcBorders>
                    <w:top w:val="single" w:sz="4" w:space="0" w:color="auto"/>
                    <w:bottom w:val="single" w:sz="4" w:space="0" w:color="auto"/>
                  </w:tcBorders>
                  <w:shd w:val="clear" w:color="auto" w:fill="auto"/>
                </w:tcPr>
                <w:p w14:paraId="552391A0" w14:textId="77777777" w:rsidR="00E54420" w:rsidRPr="001602CB" w:rsidRDefault="00E54420" w:rsidP="00157A08">
                  <w:pPr>
                    <w:spacing w:after="120" w:line="240" w:lineRule="auto"/>
                    <w:ind w:hanging="2"/>
                    <w:rPr>
                      <w:rFonts w:ascii="Book Antiqua" w:hAnsi="Book Antiqua"/>
                      <w:color w:val="000000"/>
                      <w:sz w:val="22"/>
                      <w:szCs w:val="22"/>
                    </w:rPr>
                  </w:pPr>
                  <w:r w:rsidRPr="001602CB">
                    <w:rPr>
                      <w:rFonts w:ascii="Book Antiqua" w:hAnsi="Book Antiqua"/>
                      <w:color w:val="000000"/>
                      <w:sz w:val="22"/>
                      <w:szCs w:val="22"/>
                    </w:rPr>
                    <w:t>Zhang et al., 2021</w:t>
                  </w:r>
                </w:p>
              </w:tc>
              <w:tc>
                <w:tcPr>
                  <w:tcW w:w="5428" w:type="dxa"/>
                  <w:tcBorders>
                    <w:top w:val="single" w:sz="4" w:space="0" w:color="auto"/>
                    <w:bottom w:val="single" w:sz="4" w:space="0" w:color="auto"/>
                  </w:tcBorders>
                  <w:shd w:val="clear" w:color="auto" w:fill="auto"/>
                </w:tcPr>
                <w:p w14:paraId="50968742" w14:textId="77777777" w:rsidR="00E54420" w:rsidRPr="001602CB" w:rsidRDefault="00E54420" w:rsidP="00157A08">
                  <w:pPr>
                    <w:pStyle w:val="ListParagraph"/>
                    <w:numPr>
                      <w:ilvl w:val="0"/>
                      <w:numId w:val="8"/>
                    </w:numPr>
                    <w:suppressAutoHyphens/>
                    <w:spacing w:after="120" w:line="240" w:lineRule="auto"/>
                    <w:ind w:left="307" w:hanging="307"/>
                    <w:jc w:val="both"/>
                    <w:textAlignment w:val="top"/>
                    <w:outlineLvl w:val="0"/>
                    <w:rPr>
                      <w:rFonts w:ascii="Book Antiqua" w:hAnsi="Book Antiqua"/>
                      <w:color w:val="000000"/>
                      <w:sz w:val="22"/>
                      <w:szCs w:val="22"/>
                    </w:rPr>
                  </w:pPr>
                  <w:r w:rsidRPr="001602CB">
                    <w:rPr>
                      <w:rFonts w:ascii="Book Antiqua" w:hAnsi="Book Antiqua"/>
                      <w:color w:val="000000"/>
                      <w:sz w:val="22"/>
                      <w:szCs w:val="22"/>
                    </w:rPr>
                    <w:t>Using Time varying parameter VAR analysis/method (TVP-VAR).</w:t>
                  </w:r>
                </w:p>
                <w:p w14:paraId="39CFCA8A" w14:textId="77777777" w:rsidR="00E54420" w:rsidRPr="001602CB" w:rsidRDefault="00E54420" w:rsidP="00157A08">
                  <w:pPr>
                    <w:pStyle w:val="ListParagraph"/>
                    <w:numPr>
                      <w:ilvl w:val="0"/>
                      <w:numId w:val="8"/>
                    </w:numPr>
                    <w:suppressAutoHyphens/>
                    <w:spacing w:after="120" w:line="240" w:lineRule="auto"/>
                    <w:ind w:left="307" w:hanging="307"/>
                    <w:jc w:val="both"/>
                    <w:textAlignment w:val="top"/>
                    <w:outlineLvl w:val="0"/>
                    <w:rPr>
                      <w:rFonts w:ascii="Book Antiqua" w:hAnsi="Book Antiqua"/>
                      <w:color w:val="000000"/>
                      <w:sz w:val="22"/>
                      <w:szCs w:val="22"/>
                    </w:rPr>
                  </w:pPr>
                  <w:r w:rsidRPr="001602CB">
                    <w:rPr>
                      <w:rFonts w:ascii="Book Antiqua" w:hAnsi="Book Antiqua"/>
                      <w:color w:val="000000"/>
                      <w:sz w:val="22"/>
                      <w:szCs w:val="22"/>
                    </w:rPr>
                    <w:t>The effects of shocks on uncertainty are more consistent and significant in the case of realized gold volatility than gold returns and are stronger in the medium to long term, indicating that uncertainty shocks have additional effects on gold market volatility that can persist in the long term.</w:t>
                  </w:r>
                </w:p>
                <w:p w14:paraId="7399E89F" w14:textId="77777777" w:rsidR="00E54420" w:rsidRPr="001602CB" w:rsidRDefault="00E54420" w:rsidP="00157A08">
                  <w:pPr>
                    <w:pStyle w:val="ListParagraph"/>
                    <w:numPr>
                      <w:ilvl w:val="0"/>
                      <w:numId w:val="8"/>
                    </w:numPr>
                    <w:suppressAutoHyphens/>
                    <w:spacing w:after="120" w:line="240" w:lineRule="auto"/>
                    <w:ind w:left="307" w:hanging="307"/>
                    <w:jc w:val="both"/>
                    <w:textAlignment w:val="top"/>
                    <w:outlineLvl w:val="0"/>
                    <w:rPr>
                      <w:rFonts w:ascii="Book Antiqua" w:hAnsi="Book Antiqua"/>
                      <w:color w:val="000000"/>
                      <w:sz w:val="22"/>
                      <w:szCs w:val="22"/>
                    </w:rPr>
                  </w:pPr>
                  <w:r w:rsidRPr="001602CB">
                    <w:rPr>
                      <w:rFonts w:ascii="Book Antiqua" w:hAnsi="Book Antiqua"/>
                      <w:color w:val="000000"/>
                      <w:sz w:val="22"/>
                      <w:szCs w:val="22"/>
                    </w:rPr>
                    <w:t>The response of gold returns and volatility to policy uncertainty is found to be greater during major political events or crises, with many of the effects driven by the contribution of these rare events to positive volatility spikes in the gold market.</w:t>
                  </w:r>
                </w:p>
              </w:tc>
            </w:tr>
            <w:tr w:rsidR="00E54420" w:rsidRPr="001602CB" w14:paraId="5B2CD591" w14:textId="77777777" w:rsidTr="007A653A">
              <w:trPr>
                <w:trHeight w:val="567"/>
                <w:jc w:val="right"/>
              </w:trPr>
              <w:tc>
                <w:tcPr>
                  <w:tcW w:w="556" w:type="dxa"/>
                  <w:tcBorders>
                    <w:top w:val="single" w:sz="4" w:space="0" w:color="auto"/>
                    <w:bottom w:val="single" w:sz="4" w:space="0" w:color="auto"/>
                  </w:tcBorders>
                  <w:shd w:val="clear" w:color="auto" w:fill="auto"/>
                </w:tcPr>
                <w:p w14:paraId="683DA458" w14:textId="77777777" w:rsidR="00E54420" w:rsidRPr="001602CB" w:rsidRDefault="00E54420" w:rsidP="00157A08">
                  <w:pPr>
                    <w:spacing w:after="120" w:line="240" w:lineRule="auto"/>
                    <w:ind w:hanging="2"/>
                    <w:jc w:val="center"/>
                    <w:rPr>
                      <w:rFonts w:ascii="Book Antiqua" w:hAnsi="Book Antiqua"/>
                      <w:color w:val="000000"/>
                      <w:sz w:val="22"/>
                      <w:szCs w:val="22"/>
                    </w:rPr>
                  </w:pPr>
                  <w:r w:rsidRPr="001602CB">
                    <w:rPr>
                      <w:rFonts w:ascii="Book Antiqua" w:hAnsi="Book Antiqua"/>
                      <w:color w:val="000000"/>
                      <w:sz w:val="22"/>
                      <w:szCs w:val="22"/>
                    </w:rPr>
                    <w:t>10</w:t>
                  </w:r>
                </w:p>
              </w:tc>
              <w:tc>
                <w:tcPr>
                  <w:tcW w:w="1804" w:type="dxa"/>
                  <w:tcBorders>
                    <w:top w:val="single" w:sz="4" w:space="0" w:color="auto"/>
                    <w:bottom w:val="single" w:sz="4" w:space="0" w:color="auto"/>
                  </w:tcBorders>
                  <w:shd w:val="clear" w:color="auto" w:fill="auto"/>
                </w:tcPr>
                <w:p w14:paraId="1FD6B1E4" w14:textId="77777777" w:rsidR="00E54420" w:rsidRPr="001602CB" w:rsidRDefault="00E54420" w:rsidP="00157A08">
                  <w:pPr>
                    <w:spacing w:after="120" w:line="240" w:lineRule="auto"/>
                    <w:ind w:hanging="2"/>
                    <w:rPr>
                      <w:rFonts w:ascii="Book Antiqua" w:hAnsi="Book Antiqua"/>
                      <w:color w:val="000000"/>
                      <w:sz w:val="22"/>
                      <w:szCs w:val="22"/>
                    </w:rPr>
                  </w:pPr>
                  <w:r w:rsidRPr="001602CB">
                    <w:rPr>
                      <w:rFonts w:ascii="Book Antiqua" w:hAnsi="Book Antiqua"/>
                      <w:color w:val="000000"/>
                      <w:sz w:val="22"/>
                      <w:szCs w:val="22"/>
                    </w:rPr>
                    <w:t>The analysis of factors affecting global gold price</w:t>
                  </w:r>
                </w:p>
                <w:p w14:paraId="0A733D37" w14:textId="361A1867" w:rsidR="00E54420" w:rsidRPr="001602CB" w:rsidRDefault="00E54420" w:rsidP="00157A08">
                  <w:pPr>
                    <w:spacing w:after="120" w:line="240" w:lineRule="auto"/>
                    <w:ind w:hanging="2"/>
                    <w:rPr>
                      <w:rFonts w:ascii="Book Antiqua" w:hAnsi="Book Antiqua"/>
                      <w:color w:val="000000"/>
                      <w:sz w:val="22"/>
                      <w:szCs w:val="22"/>
                    </w:rPr>
                  </w:pPr>
                </w:p>
              </w:tc>
              <w:tc>
                <w:tcPr>
                  <w:tcW w:w="1319" w:type="dxa"/>
                  <w:tcBorders>
                    <w:top w:val="single" w:sz="4" w:space="0" w:color="auto"/>
                    <w:bottom w:val="single" w:sz="4" w:space="0" w:color="auto"/>
                  </w:tcBorders>
                  <w:shd w:val="clear" w:color="auto" w:fill="auto"/>
                </w:tcPr>
                <w:p w14:paraId="0200221A" w14:textId="77777777" w:rsidR="00E54420" w:rsidRPr="001602CB" w:rsidRDefault="00E54420" w:rsidP="00157A08">
                  <w:pPr>
                    <w:spacing w:after="120" w:line="240" w:lineRule="auto"/>
                    <w:ind w:hanging="2"/>
                    <w:rPr>
                      <w:rFonts w:ascii="Book Antiqua" w:hAnsi="Book Antiqua"/>
                      <w:color w:val="000000"/>
                      <w:sz w:val="22"/>
                      <w:szCs w:val="22"/>
                    </w:rPr>
                  </w:pPr>
                  <w:r w:rsidRPr="001602CB">
                    <w:rPr>
                      <w:rFonts w:ascii="Book Antiqua" w:hAnsi="Book Antiqua"/>
                      <w:color w:val="000000"/>
                      <w:sz w:val="22"/>
                      <w:szCs w:val="22"/>
                    </w:rPr>
                    <w:t>Qian et al., 2019</w:t>
                  </w:r>
                </w:p>
                <w:p w14:paraId="5A28FEFC" w14:textId="2226FF63" w:rsidR="00E54420" w:rsidRPr="001602CB" w:rsidRDefault="00E54420" w:rsidP="00157A08">
                  <w:pPr>
                    <w:spacing w:after="120" w:line="240" w:lineRule="auto"/>
                    <w:ind w:hanging="2"/>
                    <w:rPr>
                      <w:rFonts w:ascii="Book Antiqua" w:hAnsi="Book Antiqua"/>
                      <w:color w:val="000000"/>
                      <w:sz w:val="22"/>
                      <w:szCs w:val="22"/>
                    </w:rPr>
                  </w:pPr>
                </w:p>
              </w:tc>
              <w:tc>
                <w:tcPr>
                  <w:tcW w:w="5428" w:type="dxa"/>
                  <w:tcBorders>
                    <w:top w:val="single" w:sz="4" w:space="0" w:color="auto"/>
                    <w:bottom w:val="single" w:sz="4" w:space="0" w:color="auto"/>
                  </w:tcBorders>
                  <w:shd w:val="clear" w:color="auto" w:fill="auto"/>
                </w:tcPr>
                <w:p w14:paraId="71CAE496" w14:textId="77777777" w:rsidR="00E54420" w:rsidRPr="001602CB" w:rsidRDefault="00E54420" w:rsidP="00157A08">
                  <w:pPr>
                    <w:pStyle w:val="ListParagraph"/>
                    <w:numPr>
                      <w:ilvl w:val="0"/>
                      <w:numId w:val="9"/>
                    </w:numPr>
                    <w:suppressAutoHyphens/>
                    <w:spacing w:after="120" w:line="240" w:lineRule="auto"/>
                    <w:ind w:left="449" w:hanging="449"/>
                    <w:jc w:val="both"/>
                    <w:textAlignment w:val="top"/>
                    <w:outlineLvl w:val="0"/>
                    <w:rPr>
                      <w:rFonts w:ascii="Book Antiqua" w:hAnsi="Book Antiqua"/>
                      <w:color w:val="000000"/>
                      <w:sz w:val="22"/>
                      <w:szCs w:val="22"/>
                    </w:rPr>
                  </w:pPr>
                  <w:r w:rsidRPr="001602CB">
                    <w:rPr>
                      <w:rFonts w:ascii="Book Antiqua" w:hAnsi="Book Antiqua"/>
                      <w:color w:val="000000"/>
                      <w:sz w:val="22"/>
                      <w:szCs w:val="22"/>
                    </w:rPr>
                    <w:t>Using Response Surface Methodology (RSM) analysis/method.</w:t>
                  </w:r>
                </w:p>
                <w:p w14:paraId="0FB03393" w14:textId="77777777" w:rsidR="00E54420" w:rsidRPr="001602CB" w:rsidRDefault="00E54420" w:rsidP="00157A08">
                  <w:pPr>
                    <w:pStyle w:val="ListParagraph"/>
                    <w:numPr>
                      <w:ilvl w:val="0"/>
                      <w:numId w:val="9"/>
                    </w:numPr>
                    <w:suppressAutoHyphens/>
                    <w:spacing w:after="120" w:line="240" w:lineRule="auto"/>
                    <w:ind w:left="449" w:hanging="449"/>
                    <w:jc w:val="both"/>
                    <w:textAlignment w:val="top"/>
                    <w:outlineLvl w:val="0"/>
                    <w:rPr>
                      <w:rFonts w:ascii="Book Antiqua" w:hAnsi="Book Antiqua"/>
                      <w:color w:val="000000"/>
                      <w:sz w:val="22"/>
                      <w:szCs w:val="22"/>
                    </w:rPr>
                  </w:pPr>
                  <w:r w:rsidRPr="001602CB">
                    <w:rPr>
                      <w:rFonts w:ascii="Book Antiqua" w:hAnsi="Book Antiqua"/>
                      <w:color w:val="000000"/>
                      <w:sz w:val="22"/>
                      <w:szCs w:val="22"/>
                    </w:rPr>
                    <w:t>Dollar index, federal funds rate, exchange rate, oil prices and S&amp;P 500 have a negative impact on gold prices.</w:t>
                  </w:r>
                  <w:r w:rsidRPr="001602CB">
                    <w:rPr>
                      <w:rFonts w:ascii="Book Antiqua" w:hAnsi="Book Antiqua"/>
                      <w:color w:val="000000"/>
                      <w:sz w:val="22"/>
                      <w:szCs w:val="22"/>
                      <w:lang w:val="en-US"/>
                    </w:rPr>
                    <w:t xml:space="preserve"> </w:t>
                  </w:r>
                  <w:r w:rsidRPr="001602CB">
                    <w:rPr>
                      <w:rFonts w:ascii="Book Antiqua" w:eastAsia="Times New Roman" w:hAnsi="Book Antiqua"/>
                      <w:color w:val="000000"/>
                      <w:sz w:val="22"/>
                      <w:szCs w:val="22"/>
                    </w:rPr>
                    <w:t>The Consumer Price Index has a positive impact on gold prices.</w:t>
                  </w:r>
                </w:p>
                <w:p w14:paraId="75B74339" w14:textId="77777777" w:rsidR="00E54420" w:rsidRPr="001602CB" w:rsidRDefault="00E54420" w:rsidP="00157A08">
                  <w:pPr>
                    <w:pStyle w:val="ListParagraph"/>
                    <w:numPr>
                      <w:ilvl w:val="0"/>
                      <w:numId w:val="9"/>
                    </w:numPr>
                    <w:suppressAutoHyphens/>
                    <w:spacing w:after="120" w:line="240" w:lineRule="auto"/>
                    <w:ind w:left="449" w:hanging="449"/>
                    <w:jc w:val="both"/>
                    <w:textAlignment w:val="top"/>
                    <w:outlineLvl w:val="0"/>
                    <w:rPr>
                      <w:rFonts w:ascii="Book Antiqua" w:hAnsi="Book Antiqua"/>
                      <w:color w:val="000000"/>
                      <w:sz w:val="22"/>
                      <w:szCs w:val="22"/>
                    </w:rPr>
                  </w:pPr>
                  <w:r w:rsidRPr="001602CB">
                    <w:rPr>
                      <w:rFonts w:ascii="Book Antiqua" w:hAnsi="Book Antiqua"/>
                      <w:color w:val="000000"/>
                      <w:sz w:val="22"/>
                      <w:szCs w:val="22"/>
                    </w:rPr>
                    <w:t>The interaction between the US dollar index and oil prices, the federal funds rate and the exchange rate, the CPI and the exchange rate, the CPI and the oil price have a significant impact on the price of gold.</w:t>
                  </w:r>
                </w:p>
                <w:p w14:paraId="129AE416" w14:textId="77777777" w:rsidR="00E54420" w:rsidRPr="001602CB" w:rsidRDefault="00E54420" w:rsidP="00157A08">
                  <w:pPr>
                    <w:pStyle w:val="ListParagraph"/>
                    <w:numPr>
                      <w:ilvl w:val="0"/>
                      <w:numId w:val="9"/>
                    </w:numPr>
                    <w:suppressAutoHyphens/>
                    <w:spacing w:after="120" w:line="240" w:lineRule="auto"/>
                    <w:ind w:left="449" w:hanging="449"/>
                    <w:jc w:val="both"/>
                    <w:textAlignment w:val="top"/>
                    <w:outlineLvl w:val="0"/>
                    <w:rPr>
                      <w:rFonts w:ascii="Book Antiqua" w:hAnsi="Book Antiqua"/>
                      <w:color w:val="000000"/>
                      <w:sz w:val="22"/>
                      <w:szCs w:val="22"/>
                    </w:rPr>
                  </w:pPr>
                  <w:r w:rsidRPr="001602CB">
                    <w:rPr>
                      <w:rFonts w:ascii="Book Antiqua" w:hAnsi="Book Antiqua"/>
                      <w:color w:val="000000"/>
                      <w:sz w:val="22"/>
                      <w:szCs w:val="22"/>
                    </w:rPr>
                    <w:t>The square value of the dollar index, CPI and S&amp;P 500 has a significant impact on the price of gold.</w:t>
                  </w:r>
                </w:p>
              </w:tc>
            </w:tr>
          </w:tbl>
          <w:p w14:paraId="18C88913" w14:textId="77777777" w:rsidR="00157A08" w:rsidRPr="00A872D3" w:rsidRDefault="00157A08" w:rsidP="00A872D3">
            <w:pPr>
              <w:spacing w:after="120" w:line="240" w:lineRule="auto"/>
              <w:rPr>
                <w:rFonts w:ascii="Book Antiqua" w:eastAsiaTheme="minorEastAsia" w:hAnsi="Book Antiqua"/>
                <w:b/>
                <w:bCs/>
                <w:sz w:val="24"/>
                <w:szCs w:val="24"/>
              </w:rPr>
            </w:pPr>
          </w:p>
          <w:p w14:paraId="3261C308" w14:textId="15FA8D9B" w:rsidR="00E54420" w:rsidRPr="00E54420" w:rsidRDefault="00E54420" w:rsidP="00157A08">
            <w:pPr>
              <w:pStyle w:val="ListParagraph"/>
              <w:numPr>
                <w:ilvl w:val="1"/>
                <w:numId w:val="2"/>
              </w:numPr>
              <w:spacing w:after="120" w:line="240" w:lineRule="auto"/>
              <w:rPr>
                <w:rFonts w:ascii="Book Antiqua" w:eastAsiaTheme="minorEastAsia" w:hAnsi="Book Antiqua"/>
                <w:b/>
                <w:bCs/>
                <w:sz w:val="24"/>
                <w:szCs w:val="24"/>
              </w:rPr>
            </w:pPr>
            <w:r w:rsidRPr="00E54420">
              <w:rPr>
                <w:rFonts w:ascii="Book Antiqua" w:eastAsiaTheme="minorEastAsia" w:hAnsi="Book Antiqua"/>
                <w:b/>
                <w:bCs/>
                <w:sz w:val="24"/>
                <w:szCs w:val="24"/>
              </w:rPr>
              <w:t xml:space="preserve">Theoretical </w:t>
            </w:r>
            <w:r w:rsidRPr="00E54420">
              <w:rPr>
                <w:rFonts w:ascii="Book Antiqua" w:eastAsiaTheme="minorEastAsia" w:hAnsi="Book Antiqua"/>
                <w:b/>
                <w:bCs/>
                <w:sz w:val="24"/>
                <w:szCs w:val="24"/>
                <w:lang w:val="en-US"/>
              </w:rPr>
              <w:t>framework</w:t>
            </w:r>
          </w:p>
          <w:p w14:paraId="6B83E29E" w14:textId="77777777" w:rsidR="00E54420" w:rsidRPr="001602CB" w:rsidRDefault="00E54420" w:rsidP="00157A08">
            <w:pPr>
              <w:spacing w:after="120" w:line="240" w:lineRule="auto"/>
              <w:ind w:left="360"/>
              <w:rPr>
                <w:rFonts w:ascii="Book Antiqua" w:eastAsiaTheme="minorEastAsia" w:hAnsi="Book Antiqua"/>
                <w:sz w:val="24"/>
                <w:szCs w:val="24"/>
              </w:rPr>
            </w:pPr>
            <w:r w:rsidRPr="001602CB">
              <w:rPr>
                <w:rFonts w:ascii="Book Antiqua" w:eastAsiaTheme="minorEastAsia" w:hAnsi="Book Antiqua"/>
                <w:sz w:val="24"/>
                <w:szCs w:val="24"/>
              </w:rPr>
              <w:t>This research uses two frameworks, as follows:</w:t>
            </w:r>
          </w:p>
          <w:p w14:paraId="3D99CA00" w14:textId="77777777" w:rsidR="00E54420" w:rsidRPr="00E54420" w:rsidRDefault="00E54420" w:rsidP="00157A08">
            <w:pPr>
              <w:pStyle w:val="ListParagraph"/>
              <w:numPr>
                <w:ilvl w:val="3"/>
                <w:numId w:val="26"/>
              </w:numPr>
              <w:spacing w:after="120" w:line="240" w:lineRule="auto"/>
              <w:ind w:left="1056" w:hanging="425"/>
              <w:jc w:val="both"/>
              <w:rPr>
                <w:rFonts w:ascii="Book Antiqua" w:eastAsiaTheme="minorEastAsia" w:hAnsi="Book Antiqua"/>
                <w:sz w:val="24"/>
                <w:szCs w:val="24"/>
              </w:rPr>
            </w:pPr>
            <w:r w:rsidRPr="00E54420">
              <w:rPr>
                <w:rFonts w:ascii="Book Antiqua" w:eastAsiaTheme="minorEastAsia" w:hAnsi="Book Antiqua"/>
                <w:sz w:val="24"/>
                <w:szCs w:val="24"/>
              </w:rPr>
              <w:t>This research aims to analyze the influence of macroeconomic factors on price movements of Pegadaian gold accounts using the multiple linear regression analysis method, because it has more than one independent variable. The variable that influences is called the independent (free) variable, and the variable that is influenced is called the dependent (bound) variable. This research consists of five independent variables, namely the international gold price, inflation rate, rupiah exchange rate against the USD, reference interest rate, and economic growth rate, while the dependent variable is the price of the Pegadaian Gold Account.</w:t>
            </w:r>
          </w:p>
          <w:p w14:paraId="4FE72C8E" w14:textId="77777777" w:rsidR="00E54420" w:rsidRPr="00E54420" w:rsidRDefault="00E54420" w:rsidP="00157A08">
            <w:pPr>
              <w:pStyle w:val="ListParagraph"/>
              <w:spacing w:after="120" w:line="240" w:lineRule="auto"/>
              <w:ind w:left="1276"/>
              <w:jc w:val="both"/>
              <w:rPr>
                <w:rFonts w:ascii="Book Antiqua" w:eastAsiaTheme="minorEastAsia" w:hAnsi="Book Antiqua"/>
                <w:sz w:val="24"/>
                <w:szCs w:val="24"/>
                <w:lang w:val="en-US"/>
              </w:rPr>
            </w:pPr>
          </w:p>
          <w:p w14:paraId="41DCE1FD" w14:textId="77777777" w:rsidR="00E54420" w:rsidRPr="00E54420" w:rsidRDefault="00E54420" w:rsidP="00157A08">
            <w:pPr>
              <w:pStyle w:val="ListParagraph"/>
              <w:spacing w:after="120" w:line="240" w:lineRule="auto"/>
              <w:ind w:left="1276"/>
              <w:jc w:val="both"/>
              <w:rPr>
                <w:rFonts w:ascii="Book Antiqua" w:eastAsiaTheme="minorEastAsia" w:hAnsi="Book Antiqua"/>
                <w:sz w:val="24"/>
                <w:szCs w:val="24"/>
              </w:rPr>
            </w:pPr>
            <w:r w:rsidRPr="00E54420">
              <w:rPr>
                <w:rFonts w:ascii="Book Antiqua" w:eastAsiaTheme="minorEastAsia" w:hAnsi="Book Antiqua"/>
                <w:noProof/>
                <w:sz w:val="24"/>
                <w:szCs w:val="24"/>
              </w:rPr>
              <w:drawing>
                <wp:inline distT="0" distB="0" distL="0" distR="0" wp14:anchorId="4E59ECB4" wp14:editId="6ADA90CD">
                  <wp:extent cx="4961436" cy="2562225"/>
                  <wp:effectExtent l="0" t="0" r="0" b="0"/>
                  <wp:docPr id="1591023781" name="Picture 1" descr="A diagram of a pr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023781" name="Picture 1" descr="A diagram of a price&#10;&#10;Description automatically generated"/>
                          <pic:cNvPicPr/>
                        </pic:nvPicPr>
                        <pic:blipFill>
                          <a:blip r:embed="rId8"/>
                          <a:stretch>
                            <a:fillRect/>
                          </a:stretch>
                        </pic:blipFill>
                        <pic:spPr>
                          <a:xfrm>
                            <a:off x="0" y="0"/>
                            <a:ext cx="4981877" cy="2572781"/>
                          </a:xfrm>
                          <a:prstGeom prst="rect">
                            <a:avLst/>
                          </a:prstGeom>
                        </pic:spPr>
                      </pic:pic>
                    </a:graphicData>
                  </a:graphic>
                </wp:inline>
              </w:drawing>
            </w:r>
          </w:p>
          <w:p w14:paraId="184E5189" w14:textId="77777777" w:rsidR="00157A08" w:rsidRDefault="00157A08" w:rsidP="00157A08">
            <w:pPr>
              <w:pStyle w:val="ListParagraph"/>
              <w:spacing w:after="120" w:line="240" w:lineRule="auto"/>
              <w:ind w:left="1276"/>
              <w:rPr>
                <w:rFonts w:ascii="Book Antiqua" w:eastAsiaTheme="minorEastAsia" w:hAnsi="Book Antiqua"/>
                <w:sz w:val="24"/>
                <w:szCs w:val="24"/>
              </w:rPr>
            </w:pPr>
          </w:p>
          <w:p w14:paraId="061CD206" w14:textId="3187357E" w:rsidR="00157A08" w:rsidRPr="00157A08" w:rsidRDefault="00157A08" w:rsidP="00157A08">
            <w:pPr>
              <w:pStyle w:val="ListParagraph"/>
              <w:spacing w:after="120" w:line="240" w:lineRule="auto"/>
              <w:ind w:left="1056"/>
              <w:jc w:val="center"/>
              <w:rPr>
                <w:rFonts w:ascii="Book Antiqua" w:eastAsiaTheme="minorEastAsia" w:hAnsi="Book Antiqua"/>
                <w:b/>
                <w:bCs/>
                <w:sz w:val="24"/>
                <w:szCs w:val="24"/>
                <w:lang w:val="en-US"/>
              </w:rPr>
            </w:pPr>
            <w:r>
              <w:rPr>
                <w:rFonts w:ascii="Book Antiqua" w:eastAsiaTheme="minorEastAsia" w:hAnsi="Book Antiqua"/>
                <w:b/>
                <w:bCs/>
                <w:sz w:val="24"/>
                <w:szCs w:val="24"/>
                <w:lang w:val="en-US"/>
              </w:rPr>
              <w:t>Figure</w:t>
            </w:r>
            <w:r w:rsidRPr="00157A08">
              <w:rPr>
                <w:rFonts w:ascii="Book Antiqua" w:eastAsiaTheme="minorEastAsia" w:hAnsi="Book Antiqua"/>
                <w:b/>
                <w:bCs/>
                <w:sz w:val="24"/>
                <w:szCs w:val="24"/>
                <w:lang w:val="en-US"/>
              </w:rPr>
              <w:t xml:space="preserve"> 1. Theoretical Framework</w:t>
            </w:r>
          </w:p>
          <w:p w14:paraId="3D65D157" w14:textId="77777777" w:rsidR="00157A08" w:rsidRDefault="00157A08" w:rsidP="00157A08">
            <w:pPr>
              <w:pStyle w:val="ListParagraph"/>
              <w:spacing w:after="120" w:line="240" w:lineRule="auto"/>
              <w:ind w:left="1276"/>
              <w:rPr>
                <w:rFonts w:ascii="Book Antiqua" w:eastAsiaTheme="minorEastAsia" w:hAnsi="Book Antiqua"/>
                <w:sz w:val="24"/>
                <w:szCs w:val="24"/>
              </w:rPr>
            </w:pPr>
          </w:p>
          <w:p w14:paraId="51D67582" w14:textId="0F9AB6DC" w:rsidR="00E54420" w:rsidRPr="00E54420" w:rsidRDefault="00E54420" w:rsidP="00157A08">
            <w:pPr>
              <w:pStyle w:val="ListParagraph"/>
              <w:spacing w:after="120" w:line="240" w:lineRule="auto"/>
              <w:ind w:left="1276"/>
              <w:contextualSpacing w:val="0"/>
              <w:rPr>
                <w:rFonts w:ascii="Book Antiqua" w:eastAsiaTheme="minorEastAsia" w:hAnsi="Book Antiqua"/>
                <w:sz w:val="24"/>
                <w:szCs w:val="24"/>
              </w:rPr>
            </w:pPr>
            <w:r w:rsidRPr="00E54420">
              <w:rPr>
                <w:rFonts w:ascii="Book Antiqua" w:eastAsiaTheme="minorEastAsia" w:hAnsi="Book Antiqua"/>
                <w:sz w:val="24"/>
                <w:szCs w:val="24"/>
              </w:rPr>
              <w:t>With the following regression equation</w:t>
            </w:r>
          </w:p>
          <w:p w14:paraId="2B66EAD3" w14:textId="77777777" w:rsidR="00E54420" w:rsidRPr="00E54420" w:rsidRDefault="00E54420" w:rsidP="00157A08">
            <w:pPr>
              <w:pStyle w:val="ListParagraph"/>
              <w:spacing w:after="120" w:line="240" w:lineRule="auto"/>
              <w:ind w:left="3039"/>
              <w:contextualSpacing w:val="0"/>
              <w:rPr>
                <w:rFonts w:ascii="Book Antiqua" w:eastAsiaTheme="minorEastAsia" w:hAnsi="Book Antiqua"/>
                <w:sz w:val="24"/>
                <w:szCs w:val="24"/>
              </w:rPr>
            </w:pPr>
            <w:r w:rsidRPr="00E54420">
              <w:rPr>
                <w:rFonts w:ascii="Book Antiqua" w:eastAsiaTheme="minorEastAsia" w:hAnsi="Book Antiqua"/>
                <w:sz w:val="24"/>
                <w:szCs w:val="24"/>
              </w:rPr>
              <w:t>Y  = α + βX1 + βX2 + βX3 + β X4 + βX5</w:t>
            </w:r>
          </w:p>
          <w:p w14:paraId="264B5807" w14:textId="77777777" w:rsidR="00E54420" w:rsidRPr="00E54420" w:rsidRDefault="00E54420" w:rsidP="00157A08">
            <w:pPr>
              <w:pStyle w:val="ListParagraph"/>
              <w:spacing w:after="120" w:line="240" w:lineRule="auto"/>
              <w:ind w:left="1276"/>
              <w:rPr>
                <w:rFonts w:ascii="Book Antiqua" w:eastAsiaTheme="minorEastAsia" w:hAnsi="Book Antiqua"/>
                <w:sz w:val="24"/>
                <w:szCs w:val="24"/>
                <w:lang w:val="en-US"/>
              </w:rPr>
            </w:pPr>
            <w:r w:rsidRPr="00E54420">
              <w:rPr>
                <w:rFonts w:ascii="Book Antiqua" w:eastAsiaTheme="minorEastAsia" w:hAnsi="Book Antiqua"/>
                <w:sz w:val="24"/>
                <w:szCs w:val="24"/>
              </w:rPr>
              <w:t xml:space="preserve">Y </w:t>
            </w:r>
            <w:r w:rsidRPr="00E54420">
              <w:rPr>
                <w:rFonts w:ascii="Book Antiqua" w:eastAsiaTheme="minorEastAsia" w:hAnsi="Book Antiqua"/>
                <w:sz w:val="24"/>
                <w:szCs w:val="24"/>
                <w:lang w:val="en-US"/>
              </w:rPr>
              <w:t xml:space="preserve"> </w:t>
            </w:r>
            <w:r w:rsidRPr="00E54420">
              <w:rPr>
                <w:rFonts w:ascii="Book Antiqua" w:eastAsiaTheme="minorEastAsia" w:hAnsi="Book Antiqua"/>
                <w:sz w:val="24"/>
                <w:szCs w:val="24"/>
              </w:rPr>
              <w:t xml:space="preserve">= </w:t>
            </w:r>
            <w:r w:rsidRPr="00E54420">
              <w:rPr>
                <w:rFonts w:ascii="Book Antiqua" w:eastAsiaTheme="minorEastAsia" w:hAnsi="Book Antiqua"/>
                <w:sz w:val="24"/>
                <w:szCs w:val="24"/>
                <w:lang w:val="en-US"/>
              </w:rPr>
              <w:t xml:space="preserve">Prices of </w:t>
            </w:r>
            <w:proofErr w:type="spellStart"/>
            <w:r w:rsidRPr="00E54420">
              <w:rPr>
                <w:rFonts w:ascii="Book Antiqua" w:eastAsiaTheme="minorEastAsia" w:hAnsi="Book Antiqua"/>
                <w:sz w:val="24"/>
                <w:szCs w:val="24"/>
                <w:lang w:val="en-US"/>
              </w:rPr>
              <w:t>Pegadaian</w:t>
            </w:r>
            <w:proofErr w:type="spellEnd"/>
            <w:r w:rsidRPr="00E54420">
              <w:rPr>
                <w:rFonts w:ascii="Book Antiqua" w:eastAsiaTheme="minorEastAsia" w:hAnsi="Book Antiqua"/>
                <w:sz w:val="24"/>
                <w:szCs w:val="24"/>
                <w:lang w:val="en-US"/>
              </w:rPr>
              <w:t xml:space="preserve"> Gold Account</w:t>
            </w:r>
          </w:p>
          <w:p w14:paraId="337CC0F0" w14:textId="4D2035E2" w:rsidR="00E54420" w:rsidRPr="00E54420" w:rsidRDefault="00E54420" w:rsidP="00157A08">
            <w:pPr>
              <w:pStyle w:val="ListParagraph"/>
              <w:spacing w:after="120" w:line="240" w:lineRule="auto"/>
              <w:ind w:left="1276"/>
              <w:rPr>
                <w:rFonts w:ascii="Book Antiqua" w:eastAsiaTheme="minorEastAsia" w:hAnsi="Book Antiqua"/>
                <w:sz w:val="24"/>
                <w:szCs w:val="24"/>
                <w:lang w:val="en-US"/>
              </w:rPr>
            </w:pPr>
            <w:r w:rsidRPr="00E54420">
              <w:rPr>
                <w:rFonts w:ascii="Book Antiqua" w:eastAsiaTheme="minorEastAsia" w:hAnsi="Book Antiqua"/>
                <w:sz w:val="24"/>
                <w:szCs w:val="24"/>
              </w:rPr>
              <w:t>X1 = Infl</w:t>
            </w:r>
            <w:proofErr w:type="spellStart"/>
            <w:r w:rsidRPr="00E54420">
              <w:rPr>
                <w:rFonts w:ascii="Book Antiqua" w:eastAsiaTheme="minorEastAsia" w:hAnsi="Book Antiqua"/>
                <w:sz w:val="24"/>
                <w:szCs w:val="24"/>
                <w:lang w:val="en-US"/>
              </w:rPr>
              <w:t>ation</w:t>
            </w:r>
            <w:proofErr w:type="spellEnd"/>
            <w:r w:rsidRPr="00E54420">
              <w:rPr>
                <w:rFonts w:ascii="Book Antiqua" w:eastAsiaTheme="minorEastAsia" w:hAnsi="Book Antiqua"/>
                <w:sz w:val="24"/>
                <w:szCs w:val="24"/>
                <w:lang w:val="en-US"/>
              </w:rPr>
              <w:t xml:space="preserve"> Rates</w:t>
            </w:r>
          </w:p>
          <w:p w14:paraId="54027A19" w14:textId="77777777" w:rsidR="00E54420" w:rsidRPr="00E54420" w:rsidRDefault="00E54420" w:rsidP="00157A08">
            <w:pPr>
              <w:pStyle w:val="ListParagraph"/>
              <w:spacing w:after="120" w:line="240" w:lineRule="auto"/>
              <w:ind w:left="1276"/>
              <w:rPr>
                <w:rFonts w:ascii="Book Antiqua" w:eastAsiaTheme="minorEastAsia" w:hAnsi="Book Antiqua"/>
                <w:sz w:val="24"/>
                <w:szCs w:val="24"/>
                <w:lang w:val="en-US"/>
              </w:rPr>
            </w:pPr>
            <w:r w:rsidRPr="00E54420">
              <w:rPr>
                <w:rFonts w:ascii="Book Antiqua" w:eastAsiaTheme="minorEastAsia" w:hAnsi="Book Antiqua"/>
                <w:sz w:val="24"/>
                <w:szCs w:val="24"/>
              </w:rPr>
              <w:t xml:space="preserve">X2 = </w:t>
            </w:r>
            <w:r w:rsidRPr="00E54420">
              <w:rPr>
                <w:rFonts w:ascii="Book Antiqua" w:eastAsiaTheme="minorEastAsia" w:hAnsi="Book Antiqua"/>
                <w:sz w:val="24"/>
                <w:szCs w:val="24"/>
                <w:lang w:val="en-US"/>
              </w:rPr>
              <w:t>Rupiah Exchange Rates against USD</w:t>
            </w:r>
          </w:p>
          <w:p w14:paraId="7E12F2C9" w14:textId="77777777" w:rsidR="00E54420" w:rsidRPr="00E54420" w:rsidRDefault="00E54420" w:rsidP="00157A08">
            <w:pPr>
              <w:pStyle w:val="ListParagraph"/>
              <w:spacing w:after="120" w:line="240" w:lineRule="auto"/>
              <w:ind w:left="1276"/>
              <w:rPr>
                <w:rFonts w:ascii="Book Antiqua" w:eastAsiaTheme="minorEastAsia" w:hAnsi="Book Antiqua"/>
                <w:sz w:val="24"/>
                <w:szCs w:val="24"/>
                <w:lang w:val="en-US"/>
              </w:rPr>
            </w:pPr>
            <w:r w:rsidRPr="00E54420">
              <w:rPr>
                <w:rFonts w:ascii="Book Antiqua" w:eastAsiaTheme="minorEastAsia" w:hAnsi="Book Antiqua"/>
                <w:sz w:val="24"/>
                <w:szCs w:val="24"/>
              </w:rPr>
              <w:t xml:space="preserve">X3 = </w:t>
            </w:r>
            <w:r w:rsidRPr="00E54420">
              <w:rPr>
                <w:rFonts w:ascii="Book Antiqua" w:eastAsiaTheme="minorEastAsia" w:hAnsi="Book Antiqua"/>
                <w:sz w:val="24"/>
                <w:szCs w:val="24"/>
                <w:lang w:val="en-US"/>
              </w:rPr>
              <w:t>Reference Interest Rates</w:t>
            </w:r>
          </w:p>
          <w:p w14:paraId="37F903D4" w14:textId="77777777" w:rsidR="00E54420" w:rsidRPr="00E54420" w:rsidRDefault="00E54420" w:rsidP="00157A08">
            <w:pPr>
              <w:pStyle w:val="ListParagraph"/>
              <w:spacing w:after="120" w:line="240" w:lineRule="auto"/>
              <w:ind w:left="1276"/>
              <w:rPr>
                <w:rFonts w:ascii="Book Antiqua" w:eastAsiaTheme="minorEastAsia" w:hAnsi="Book Antiqua"/>
                <w:sz w:val="24"/>
                <w:szCs w:val="24"/>
                <w:lang w:val="en-US"/>
              </w:rPr>
            </w:pPr>
            <w:r w:rsidRPr="00E54420">
              <w:rPr>
                <w:rFonts w:ascii="Book Antiqua" w:eastAsiaTheme="minorEastAsia" w:hAnsi="Book Antiqua"/>
                <w:sz w:val="24"/>
                <w:szCs w:val="24"/>
              </w:rPr>
              <w:t xml:space="preserve">X4 = </w:t>
            </w:r>
            <w:r w:rsidRPr="00E54420">
              <w:rPr>
                <w:rFonts w:ascii="Book Antiqua" w:eastAsiaTheme="minorEastAsia" w:hAnsi="Book Antiqua"/>
                <w:sz w:val="24"/>
                <w:szCs w:val="24"/>
                <w:lang w:val="en-US"/>
              </w:rPr>
              <w:t>Economic Growth Rates</w:t>
            </w:r>
          </w:p>
          <w:p w14:paraId="046E249C" w14:textId="18BFA7C2" w:rsidR="007A653A" w:rsidRPr="00427373" w:rsidRDefault="00E54420" w:rsidP="00427373">
            <w:pPr>
              <w:pStyle w:val="ListParagraph"/>
              <w:spacing w:after="120" w:line="240" w:lineRule="auto"/>
              <w:ind w:left="1276"/>
              <w:contextualSpacing w:val="0"/>
              <w:jc w:val="both"/>
              <w:rPr>
                <w:rFonts w:ascii="Book Antiqua" w:eastAsiaTheme="minorEastAsia" w:hAnsi="Book Antiqua"/>
                <w:sz w:val="24"/>
                <w:szCs w:val="24"/>
                <w:lang w:val="en-US"/>
              </w:rPr>
            </w:pPr>
            <w:r w:rsidRPr="00E54420">
              <w:rPr>
                <w:rFonts w:ascii="Book Antiqua" w:eastAsiaTheme="minorEastAsia" w:hAnsi="Book Antiqua"/>
                <w:sz w:val="24"/>
                <w:szCs w:val="24"/>
              </w:rPr>
              <w:t xml:space="preserve">X5 = </w:t>
            </w:r>
            <w:r w:rsidRPr="00E54420">
              <w:rPr>
                <w:rFonts w:ascii="Book Antiqua" w:eastAsiaTheme="minorEastAsia" w:hAnsi="Book Antiqua"/>
                <w:sz w:val="24"/>
                <w:szCs w:val="24"/>
                <w:lang w:val="en-US"/>
              </w:rPr>
              <w:t>International Prices of Gold</w:t>
            </w:r>
          </w:p>
          <w:p w14:paraId="1EE7F75F" w14:textId="312B08FB" w:rsidR="00E54420" w:rsidRDefault="00E54420" w:rsidP="00157A08">
            <w:pPr>
              <w:pStyle w:val="ListParagraph"/>
              <w:numPr>
                <w:ilvl w:val="3"/>
                <w:numId w:val="26"/>
              </w:numPr>
              <w:spacing w:after="120" w:line="240" w:lineRule="auto"/>
              <w:ind w:left="1054" w:hanging="425"/>
              <w:contextualSpacing w:val="0"/>
              <w:jc w:val="both"/>
              <w:rPr>
                <w:rFonts w:ascii="Book Antiqua" w:eastAsiaTheme="minorEastAsia" w:hAnsi="Book Antiqua"/>
                <w:sz w:val="24"/>
                <w:szCs w:val="24"/>
              </w:rPr>
            </w:pPr>
            <w:r w:rsidRPr="00E54420">
              <w:rPr>
                <w:rFonts w:ascii="Book Antiqua" w:eastAsiaTheme="minorEastAsia" w:hAnsi="Book Antiqua"/>
                <w:sz w:val="24"/>
                <w:szCs w:val="24"/>
              </w:rPr>
              <w:t xml:space="preserve">This research also aims to analyze the factors that BPKH must pay attention to when investing in gold and the gold instrument that </w:t>
            </w:r>
            <w:r w:rsidRPr="00E54420">
              <w:rPr>
                <w:rFonts w:ascii="Book Antiqua" w:eastAsiaTheme="minorEastAsia" w:hAnsi="Book Antiqua"/>
                <w:sz w:val="24"/>
                <w:szCs w:val="24"/>
                <w:lang w:val="en-US"/>
              </w:rPr>
              <w:t>is</w:t>
            </w:r>
            <w:r w:rsidRPr="00E54420">
              <w:rPr>
                <w:rFonts w:ascii="Book Antiqua" w:eastAsiaTheme="minorEastAsia" w:hAnsi="Book Antiqua"/>
                <w:sz w:val="24"/>
                <w:szCs w:val="24"/>
              </w:rPr>
              <w:t xml:space="preserve"> more recommended for BPKH</w:t>
            </w:r>
            <w:r w:rsidRPr="00E54420">
              <w:rPr>
                <w:rFonts w:ascii="Book Antiqua" w:eastAsiaTheme="minorEastAsia" w:hAnsi="Book Antiqua"/>
                <w:sz w:val="24"/>
                <w:szCs w:val="24"/>
                <w:lang w:val="en-US"/>
              </w:rPr>
              <w:t xml:space="preserve"> between</w:t>
            </w:r>
            <w:r w:rsidRPr="00E54420">
              <w:rPr>
                <w:rFonts w:ascii="Book Antiqua" w:eastAsiaTheme="minorEastAsia" w:hAnsi="Book Antiqua"/>
                <w:sz w:val="24"/>
                <w:szCs w:val="24"/>
              </w:rPr>
              <w:t xml:space="preserve"> gold bullion and gold account, through a descriptive qualitative method using the ANP (Analytic Network Process) method.</w:t>
            </w:r>
          </w:p>
          <w:p w14:paraId="7B5912C6" w14:textId="77777777" w:rsidR="007A653A" w:rsidRPr="00E54420" w:rsidRDefault="007A653A" w:rsidP="007A653A">
            <w:pPr>
              <w:pStyle w:val="ListParagraph"/>
              <w:spacing w:after="120" w:line="240" w:lineRule="auto"/>
              <w:ind w:left="1054"/>
              <w:contextualSpacing w:val="0"/>
              <w:jc w:val="both"/>
              <w:rPr>
                <w:rFonts w:ascii="Book Antiqua" w:eastAsiaTheme="minorEastAsia" w:hAnsi="Book Antiqua"/>
                <w:sz w:val="24"/>
                <w:szCs w:val="24"/>
              </w:rPr>
            </w:pPr>
          </w:p>
          <w:p w14:paraId="470A82DE" w14:textId="77777777" w:rsidR="00E54420" w:rsidRPr="00E54420" w:rsidRDefault="00E54420" w:rsidP="00157A08">
            <w:pPr>
              <w:spacing w:after="120" w:line="240" w:lineRule="auto"/>
              <w:ind w:leftChars="415" w:left="913" w:firstLine="142"/>
              <w:jc w:val="center"/>
              <w:rPr>
                <w:rFonts w:ascii="Book Antiqua" w:eastAsiaTheme="minorEastAsia" w:hAnsi="Book Antiqua"/>
                <w:sz w:val="24"/>
                <w:szCs w:val="24"/>
              </w:rPr>
            </w:pPr>
            <w:r w:rsidRPr="00E54420">
              <w:rPr>
                <w:rFonts w:ascii="Book Antiqua" w:eastAsiaTheme="minorEastAsia" w:hAnsi="Book Antiqua"/>
                <w:noProof/>
                <w:sz w:val="24"/>
                <w:szCs w:val="24"/>
              </w:rPr>
              <w:drawing>
                <wp:inline distT="0" distB="0" distL="0" distR="0" wp14:anchorId="5DF1F963" wp14:editId="0B003BC0">
                  <wp:extent cx="4019550" cy="2425270"/>
                  <wp:effectExtent l="0" t="0" r="0" b="0"/>
                  <wp:docPr id="1684787733" name="Picture 1" descr="A diagram of a gold inves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787733" name="Picture 1" descr="A diagram of a gold investment&#10;&#10;Description automatically generated"/>
                          <pic:cNvPicPr/>
                        </pic:nvPicPr>
                        <pic:blipFill rotWithShape="1">
                          <a:blip r:embed="rId9"/>
                          <a:srcRect l="1819"/>
                          <a:stretch/>
                        </pic:blipFill>
                        <pic:spPr bwMode="auto">
                          <a:xfrm>
                            <a:off x="0" y="0"/>
                            <a:ext cx="4043317" cy="2439610"/>
                          </a:xfrm>
                          <a:prstGeom prst="rect">
                            <a:avLst/>
                          </a:prstGeom>
                          <a:ln>
                            <a:noFill/>
                          </a:ln>
                          <a:extLst>
                            <a:ext uri="{53640926-AAD7-44D8-BBD7-CCE9431645EC}">
                              <a14:shadowObscured xmlns:a14="http://schemas.microsoft.com/office/drawing/2010/main"/>
                            </a:ext>
                          </a:extLst>
                        </pic:spPr>
                      </pic:pic>
                    </a:graphicData>
                  </a:graphic>
                </wp:inline>
              </w:drawing>
            </w:r>
          </w:p>
          <w:p w14:paraId="794B60E0" w14:textId="77777777" w:rsidR="00E54420" w:rsidRPr="00157A08" w:rsidRDefault="00E54420" w:rsidP="00157A08">
            <w:pPr>
              <w:spacing w:after="120" w:line="240" w:lineRule="auto"/>
              <w:ind w:left="1907"/>
              <w:rPr>
                <w:rFonts w:ascii="Book Antiqua" w:hAnsi="Book Antiqua"/>
                <w:i/>
                <w:iCs/>
                <w:color w:val="000000"/>
                <w:sz w:val="20"/>
                <w:szCs w:val="20"/>
              </w:rPr>
            </w:pPr>
            <w:r w:rsidRPr="00157A08">
              <w:rPr>
                <w:rFonts w:ascii="Book Antiqua" w:hAnsi="Book Antiqua"/>
                <w:i/>
                <w:iCs/>
                <w:color w:val="000000"/>
                <w:sz w:val="20"/>
                <w:szCs w:val="20"/>
              </w:rPr>
              <w:t>Source: Author’s Framework</w:t>
            </w:r>
          </w:p>
          <w:p w14:paraId="4AD32A84" w14:textId="22AF42D8" w:rsidR="00157A08" w:rsidRPr="00157A08" w:rsidRDefault="00157A08" w:rsidP="00157A08">
            <w:pPr>
              <w:spacing w:after="120" w:line="240" w:lineRule="auto"/>
              <w:ind w:left="556" w:firstLine="2343"/>
              <w:rPr>
                <w:rFonts w:ascii="Book Antiqua" w:eastAsiaTheme="minorEastAsia" w:hAnsi="Book Antiqua"/>
                <w:b/>
                <w:bCs/>
                <w:sz w:val="24"/>
                <w:szCs w:val="24"/>
              </w:rPr>
            </w:pPr>
            <w:r w:rsidRPr="00157A08">
              <w:rPr>
                <w:rFonts w:ascii="Book Antiqua" w:eastAsiaTheme="minorEastAsia" w:hAnsi="Book Antiqua"/>
                <w:b/>
                <w:bCs/>
                <w:sz w:val="24"/>
                <w:szCs w:val="24"/>
              </w:rPr>
              <w:t>Figure 2. Theoretical Framework of ANP</w:t>
            </w:r>
          </w:p>
          <w:p w14:paraId="1B669E4A" w14:textId="77777777" w:rsidR="00157A08" w:rsidRPr="00E54420" w:rsidRDefault="00157A08" w:rsidP="00157A08">
            <w:pPr>
              <w:spacing w:after="120" w:line="240" w:lineRule="auto"/>
              <w:ind w:left="1276"/>
              <w:rPr>
                <w:rFonts w:ascii="Book Antiqua" w:hAnsi="Book Antiqua"/>
                <w:color w:val="000000"/>
                <w:sz w:val="24"/>
                <w:szCs w:val="24"/>
              </w:rPr>
            </w:pPr>
          </w:p>
          <w:p w14:paraId="5BD07699" w14:textId="77777777" w:rsidR="00E54420" w:rsidRPr="00E54420" w:rsidRDefault="00E54420" w:rsidP="00157A08">
            <w:pPr>
              <w:spacing w:after="120" w:line="240" w:lineRule="auto"/>
              <w:ind w:left="1056" w:firstLine="709"/>
              <w:rPr>
                <w:rFonts w:ascii="Book Antiqua" w:eastAsiaTheme="minorEastAsia" w:hAnsi="Book Antiqua"/>
                <w:sz w:val="24"/>
                <w:szCs w:val="24"/>
              </w:rPr>
            </w:pPr>
            <w:r w:rsidRPr="00E54420">
              <w:rPr>
                <w:rFonts w:ascii="Book Antiqua" w:eastAsiaTheme="minorEastAsia" w:hAnsi="Book Antiqua"/>
                <w:sz w:val="24"/>
                <w:szCs w:val="24"/>
              </w:rPr>
              <w:t>The hierarchical structure of the Analytical Network Process (ANP) in this research has Goal, Criteria, Sub-Criteria and Alternative Levels. At the Goal level, the aim of this research is to find out the recommended Gold Instruments for BPKH between Gold Bars or Gold Accounts. At the criteria level, the approach used is macroeconomic factors, gold investment risk, sharia compliance, and exit strategy. Meanwhile, the sub-criteria in the ANP hierarchical structure are criteria for each aspect as follows:</w:t>
            </w:r>
          </w:p>
          <w:p w14:paraId="6762A3EC" w14:textId="77777777" w:rsidR="00E54420" w:rsidRPr="00E54420" w:rsidRDefault="00E54420" w:rsidP="00157A08">
            <w:pPr>
              <w:spacing w:after="120" w:line="240" w:lineRule="auto"/>
              <w:ind w:left="1765" w:hanging="425"/>
              <w:rPr>
                <w:rFonts w:ascii="Book Antiqua" w:eastAsiaTheme="minorEastAsia" w:hAnsi="Book Antiqua"/>
                <w:sz w:val="24"/>
                <w:szCs w:val="24"/>
              </w:rPr>
            </w:pPr>
            <w:r w:rsidRPr="00E54420">
              <w:rPr>
                <w:rFonts w:ascii="Book Antiqua" w:eastAsiaTheme="minorEastAsia" w:hAnsi="Book Antiqua"/>
                <w:sz w:val="24"/>
                <w:szCs w:val="24"/>
              </w:rPr>
              <w:t>a.</w:t>
            </w:r>
            <w:r w:rsidRPr="00E54420">
              <w:rPr>
                <w:rFonts w:ascii="Book Antiqua" w:eastAsiaTheme="minorEastAsia" w:hAnsi="Book Antiqua"/>
                <w:sz w:val="24"/>
                <w:szCs w:val="24"/>
              </w:rPr>
              <w:tab/>
              <w:t>The Macroeconomic Aspect has criteria for international gold prices, exchange rates, inflation rates, economic growth rates, and reference interest rates.</w:t>
            </w:r>
          </w:p>
          <w:p w14:paraId="4E37747E" w14:textId="77777777" w:rsidR="00E54420" w:rsidRPr="00E54420" w:rsidRDefault="00E54420" w:rsidP="00157A08">
            <w:pPr>
              <w:spacing w:after="120" w:line="240" w:lineRule="auto"/>
              <w:ind w:left="1765" w:hanging="425"/>
              <w:rPr>
                <w:rFonts w:ascii="Book Antiqua" w:eastAsiaTheme="minorEastAsia" w:hAnsi="Book Antiqua"/>
                <w:sz w:val="24"/>
                <w:szCs w:val="24"/>
              </w:rPr>
            </w:pPr>
            <w:r w:rsidRPr="00E54420">
              <w:rPr>
                <w:rFonts w:ascii="Book Antiqua" w:eastAsiaTheme="minorEastAsia" w:hAnsi="Book Antiqua"/>
                <w:sz w:val="24"/>
                <w:szCs w:val="24"/>
              </w:rPr>
              <w:t>b.</w:t>
            </w:r>
            <w:r w:rsidRPr="00E54420">
              <w:rPr>
                <w:rFonts w:ascii="Book Antiqua" w:eastAsiaTheme="minorEastAsia" w:hAnsi="Book Antiqua"/>
                <w:sz w:val="24"/>
                <w:szCs w:val="24"/>
              </w:rPr>
              <w:tab/>
              <w:t>The Risk Aspect consists of yield, market, liquidity and operational risks.</w:t>
            </w:r>
          </w:p>
          <w:p w14:paraId="407CE4DC" w14:textId="77777777" w:rsidR="00E54420" w:rsidRPr="00E54420" w:rsidRDefault="00E54420" w:rsidP="00157A08">
            <w:pPr>
              <w:spacing w:after="120" w:line="240" w:lineRule="auto"/>
              <w:ind w:left="1765" w:hanging="425"/>
              <w:rPr>
                <w:rFonts w:ascii="Book Antiqua" w:eastAsiaTheme="minorEastAsia" w:hAnsi="Book Antiqua"/>
                <w:sz w:val="24"/>
                <w:szCs w:val="24"/>
              </w:rPr>
            </w:pPr>
            <w:r w:rsidRPr="00E54420">
              <w:rPr>
                <w:rFonts w:ascii="Book Antiqua" w:eastAsiaTheme="minorEastAsia" w:hAnsi="Book Antiqua"/>
                <w:sz w:val="24"/>
                <w:szCs w:val="24"/>
              </w:rPr>
              <w:t>c.</w:t>
            </w:r>
            <w:r w:rsidRPr="00E54420">
              <w:rPr>
                <w:rFonts w:ascii="Book Antiqua" w:eastAsiaTheme="minorEastAsia" w:hAnsi="Book Antiqua"/>
                <w:sz w:val="24"/>
                <w:szCs w:val="24"/>
              </w:rPr>
              <w:tab/>
              <w:t>The Sharia Comply aspect includes sharia compliance in gold bullion instruments and gold account instruments.</w:t>
            </w:r>
          </w:p>
          <w:p w14:paraId="670794C2" w14:textId="77777777" w:rsidR="00157A08" w:rsidRDefault="00E54420" w:rsidP="00157A08">
            <w:pPr>
              <w:spacing w:after="120" w:line="240" w:lineRule="auto"/>
              <w:ind w:left="1765" w:hanging="425"/>
              <w:rPr>
                <w:rFonts w:ascii="Book Antiqua" w:eastAsiaTheme="minorEastAsia" w:hAnsi="Book Antiqua"/>
                <w:sz w:val="24"/>
                <w:szCs w:val="24"/>
              </w:rPr>
            </w:pPr>
            <w:r w:rsidRPr="00E54420">
              <w:rPr>
                <w:rFonts w:ascii="Book Antiqua" w:eastAsiaTheme="minorEastAsia" w:hAnsi="Book Antiqua"/>
                <w:sz w:val="24"/>
                <w:szCs w:val="24"/>
              </w:rPr>
              <w:t>d.</w:t>
            </w:r>
            <w:r w:rsidRPr="00E54420">
              <w:rPr>
                <w:rFonts w:ascii="Book Antiqua" w:eastAsiaTheme="minorEastAsia" w:hAnsi="Book Antiqua"/>
                <w:sz w:val="24"/>
                <w:szCs w:val="24"/>
              </w:rPr>
              <w:tab/>
              <w:t xml:space="preserve">The Exit Strategy aspect includes selling gold bullion to the free market and buying back gold accounts by PT </w:t>
            </w:r>
            <w:proofErr w:type="spellStart"/>
            <w:r w:rsidRPr="00E54420">
              <w:rPr>
                <w:rFonts w:ascii="Book Antiqua" w:eastAsiaTheme="minorEastAsia" w:hAnsi="Book Antiqua"/>
                <w:sz w:val="24"/>
                <w:szCs w:val="24"/>
              </w:rPr>
              <w:t>Pegadaian</w:t>
            </w:r>
            <w:proofErr w:type="spellEnd"/>
            <w:r w:rsidRPr="00E54420">
              <w:rPr>
                <w:rFonts w:ascii="Book Antiqua" w:eastAsiaTheme="minorEastAsia" w:hAnsi="Book Antiqua"/>
                <w:sz w:val="24"/>
                <w:szCs w:val="24"/>
              </w:rPr>
              <w:t>.</w:t>
            </w:r>
          </w:p>
          <w:p w14:paraId="1B7436D7" w14:textId="046873AB" w:rsidR="007A653A" w:rsidRPr="00427373" w:rsidRDefault="00E54420" w:rsidP="00427373">
            <w:pPr>
              <w:spacing w:after="120" w:line="240" w:lineRule="auto"/>
              <w:ind w:left="1056" w:firstLine="709"/>
              <w:rPr>
                <w:rFonts w:ascii="Book Antiqua" w:eastAsiaTheme="minorEastAsia" w:hAnsi="Book Antiqua"/>
                <w:sz w:val="24"/>
                <w:szCs w:val="24"/>
              </w:rPr>
            </w:pPr>
            <w:r w:rsidRPr="00E54420">
              <w:rPr>
                <w:rFonts w:ascii="Book Antiqua" w:eastAsiaTheme="minorEastAsia" w:hAnsi="Book Antiqua"/>
                <w:sz w:val="24"/>
                <w:szCs w:val="24"/>
              </w:rPr>
              <w:t>The alternative level has two model options: gold bullion and gold account.</w:t>
            </w:r>
          </w:p>
          <w:p w14:paraId="7CC1A620" w14:textId="233221D4" w:rsidR="00157A08" w:rsidRPr="00E54420" w:rsidRDefault="00157A08" w:rsidP="00157A08">
            <w:pPr>
              <w:pStyle w:val="ListParagraph"/>
              <w:numPr>
                <w:ilvl w:val="1"/>
                <w:numId w:val="2"/>
              </w:numPr>
              <w:spacing w:after="120" w:line="240" w:lineRule="auto"/>
              <w:rPr>
                <w:rFonts w:ascii="Book Antiqua" w:eastAsiaTheme="minorEastAsia" w:hAnsi="Book Antiqua"/>
                <w:b/>
                <w:bCs/>
                <w:sz w:val="24"/>
                <w:szCs w:val="24"/>
              </w:rPr>
            </w:pPr>
            <w:r w:rsidRPr="00E54420">
              <w:rPr>
                <w:rFonts w:ascii="Book Antiqua" w:eastAsiaTheme="minorEastAsia" w:hAnsi="Book Antiqua"/>
                <w:b/>
                <w:bCs/>
                <w:sz w:val="24"/>
                <w:szCs w:val="24"/>
                <w:lang w:val="en-US"/>
              </w:rPr>
              <w:t>Hypothetical Development</w:t>
            </w:r>
          </w:p>
          <w:p w14:paraId="01B60371" w14:textId="77777777" w:rsidR="00A872D3" w:rsidRDefault="00157A08" w:rsidP="00A872D3">
            <w:pPr>
              <w:spacing w:after="120" w:line="240" w:lineRule="auto"/>
              <w:ind w:left="345"/>
              <w:rPr>
                <w:rFonts w:ascii="Book Antiqua" w:eastAsiaTheme="minorEastAsia" w:hAnsi="Book Antiqua"/>
                <w:sz w:val="24"/>
                <w:szCs w:val="24"/>
              </w:rPr>
            </w:pPr>
            <w:r w:rsidRPr="00E54420">
              <w:rPr>
                <w:rFonts w:ascii="Book Antiqua" w:eastAsiaTheme="minorEastAsia" w:hAnsi="Book Antiqua"/>
                <w:sz w:val="24"/>
                <w:szCs w:val="24"/>
              </w:rPr>
              <w:t>According to Financial Services Authority (OJK), domestic gold price refers to the international gold price converted from United States (US) dollars into rupiah, so we developed the following hypothesis:</w:t>
            </w:r>
          </w:p>
          <w:p w14:paraId="50823CE1" w14:textId="331301E0" w:rsidR="00A872D3" w:rsidRPr="00DB387A" w:rsidRDefault="00157A08" w:rsidP="00A872D3">
            <w:pPr>
              <w:spacing w:after="120" w:line="240" w:lineRule="auto"/>
              <w:ind w:left="345"/>
              <w:rPr>
                <w:rFonts w:ascii="Book Antiqua" w:eastAsiaTheme="minorEastAsia" w:hAnsi="Book Antiqua"/>
                <w:sz w:val="24"/>
                <w:szCs w:val="24"/>
              </w:rPr>
            </w:pPr>
            <w:r w:rsidRPr="00DB387A">
              <w:rPr>
                <w:rFonts w:ascii="Book Antiqua" w:eastAsiaTheme="minorEastAsia" w:hAnsi="Book Antiqua"/>
                <w:sz w:val="24"/>
                <w:szCs w:val="24"/>
              </w:rPr>
              <w:t xml:space="preserve">Hypothesis 1: International gold prices have a significant effect on the price of </w:t>
            </w:r>
            <w:proofErr w:type="spellStart"/>
            <w:r w:rsidRPr="00DB387A">
              <w:rPr>
                <w:rFonts w:ascii="Book Antiqua" w:eastAsiaTheme="minorEastAsia" w:hAnsi="Book Antiqua"/>
                <w:sz w:val="24"/>
                <w:szCs w:val="24"/>
              </w:rPr>
              <w:t>Pegadaian</w:t>
            </w:r>
            <w:proofErr w:type="spellEnd"/>
            <w:r w:rsidRPr="00DB387A">
              <w:rPr>
                <w:rFonts w:ascii="Book Antiqua" w:eastAsiaTheme="minorEastAsia" w:hAnsi="Book Antiqua"/>
                <w:sz w:val="24"/>
                <w:szCs w:val="24"/>
              </w:rPr>
              <w:t xml:space="preserve"> gold accounts</w:t>
            </w:r>
            <w:r w:rsidR="00DB387A">
              <w:rPr>
                <w:rFonts w:ascii="Book Antiqua" w:eastAsiaTheme="minorEastAsia" w:hAnsi="Book Antiqua"/>
                <w:sz w:val="24"/>
                <w:szCs w:val="24"/>
              </w:rPr>
              <w:t>.</w:t>
            </w:r>
          </w:p>
          <w:p w14:paraId="30FF2523" w14:textId="546887B5" w:rsidR="00A872D3" w:rsidRDefault="00157A08" w:rsidP="007A653A">
            <w:pPr>
              <w:spacing w:after="120" w:line="240" w:lineRule="auto"/>
              <w:ind w:left="345" w:firstLine="709"/>
              <w:rPr>
                <w:rFonts w:ascii="Book Antiqua" w:eastAsiaTheme="minorEastAsia" w:hAnsi="Book Antiqua"/>
                <w:sz w:val="24"/>
                <w:szCs w:val="24"/>
              </w:rPr>
            </w:pPr>
            <w:r w:rsidRPr="00E54420">
              <w:rPr>
                <w:rFonts w:ascii="Book Antiqua" w:eastAsiaTheme="minorEastAsia" w:hAnsi="Book Antiqua"/>
                <w:sz w:val="24"/>
                <w:szCs w:val="24"/>
              </w:rPr>
              <w:t xml:space="preserve">The price of gold is also greatly influenced by the movement of the rupiah against the US dollar. If the rupiah exchange rate against the US dollar weakens, the local gold price will strengthen or rise. Conversely, if the rupiah exchange rate strengthens, local gold prices tend to fall (Financial Services Authority, 2019). Research by Cristy et al in 2014 found that the exchange rate variable had a significant positive influence on the price of gold. Meanwhile Erdoğdu (2017), Ibrahim et al (2014), and </w:t>
            </w:r>
            <w:proofErr w:type="spellStart"/>
            <w:r w:rsidRPr="00E54420">
              <w:rPr>
                <w:rFonts w:ascii="Book Antiqua" w:eastAsiaTheme="minorEastAsia" w:hAnsi="Book Antiqua"/>
                <w:sz w:val="24"/>
                <w:szCs w:val="24"/>
              </w:rPr>
              <w:t>Sukri</w:t>
            </w:r>
            <w:proofErr w:type="spellEnd"/>
            <w:r w:rsidRPr="00E54420">
              <w:rPr>
                <w:rFonts w:ascii="Book Antiqua" w:eastAsiaTheme="minorEastAsia" w:hAnsi="Book Antiqua"/>
                <w:sz w:val="24"/>
                <w:szCs w:val="24"/>
              </w:rPr>
              <w:t xml:space="preserve"> et al (2015) found that the exchange rate variable had a significant negative influence on the price of gold (Sunaryo, 2022). Based on the explanation above, we develop the following hypothesis:</w:t>
            </w:r>
          </w:p>
          <w:p w14:paraId="7B800369" w14:textId="7B3BBF98" w:rsidR="00A872D3" w:rsidRPr="00DB387A" w:rsidRDefault="00157A08" w:rsidP="00A872D3">
            <w:pPr>
              <w:spacing w:after="120" w:line="240" w:lineRule="auto"/>
              <w:ind w:left="345"/>
              <w:rPr>
                <w:rFonts w:ascii="Book Antiqua" w:eastAsiaTheme="minorEastAsia" w:hAnsi="Book Antiqua"/>
                <w:sz w:val="24"/>
                <w:szCs w:val="24"/>
              </w:rPr>
            </w:pPr>
            <w:r w:rsidRPr="00DB387A">
              <w:rPr>
                <w:rFonts w:ascii="Book Antiqua" w:eastAsiaTheme="minorEastAsia" w:hAnsi="Book Antiqua"/>
                <w:sz w:val="24"/>
                <w:szCs w:val="24"/>
              </w:rPr>
              <w:t>Hypothesis 2: The Rupiah exchange rate against the USD has a significant effect on the price of gold accounts</w:t>
            </w:r>
            <w:r w:rsidR="00DB387A">
              <w:rPr>
                <w:rFonts w:ascii="Book Antiqua" w:eastAsiaTheme="minorEastAsia" w:hAnsi="Book Antiqua"/>
                <w:sz w:val="24"/>
                <w:szCs w:val="24"/>
              </w:rPr>
              <w:t>.</w:t>
            </w:r>
          </w:p>
          <w:p w14:paraId="07C9D714" w14:textId="77777777" w:rsidR="00427373" w:rsidRDefault="00427373" w:rsidP="00A872D3">
            <w:pPr>
              <w:spacing w:after="120" w:line="240" w:lineRule="auto"/>
              <w:ind w:left="345" w:firstLine="709"/>
              <w:rPr>
                <w:rFonts w:ascii="Book Antiqua" w:eastAsiaTheme="minorEastAsia" w:hAnsi="Book Antiqua"/>
                <w:sz w:val="24"/>
                <w:szCs w:val="24"/>
              </w:rPr>
            </w:pPr>
          </w:p>
          <w:p w14:paraId="4D782F77" w14:textId="77777777" w:rsidR="00427373" w:rsidRDefault="00427373" w:rsidP="00A872D3">
            <w:pPr>
              <w:spacing w:after="120" w:line="240" w:lineRule="auto"/>
              <w:ind w:left="345" w:firstLine="709"/>
              <w:rPr>
                <w:rFonts w:ascii="Book Antiqua" w:eastAsiaTheme="minorEastAsia" w:hAnsi="Book Antiqua"/>
                <w:sz w:val="24"/>
                <w:szCs w:val="24"/>
              </w:rPr>
            </w:pPr>
          </w:p>
          <w:p w14:paraId="20E32DDD" w14:textId="77777777" w:rsidR="00427373" w:rsidRDefault="00427373" w:rsidP="00A872D3">
            <w:pPr>
              <w:spacing w:after="120" w:line="240" w:lineRule="auto"/>
              <w:ind w:left="345" w:firstLine="709"/>
              <w:rPr>
                <w:rFonts w:ascii="Book Antiqua" w:eastAsiaTheme="minorEastAsia" w:hAnsi="Book Antiqua"/>
                <w:sz w:val="24"/>
                <w:szCs w:val="24"/>
              </w:rPr>
            </w:pPr>
          </w:p>
          <w:p w14:paraId="65582D6A" w14:textId="77777777" w:rsidR="00427373" w:rsidRDefault="00427373" w:rsidP="00A872D3">
            <w:pPr>
              <w:spacing w:after="120" w:line="240" w:lineRule="auto"/>
              <w:ind w:left="345" w:firstLine="709"/>
              <w:rPr>
                <w:rFonts w:ascii="Book Antiqua" w:eastAsiaTheme="minorEastAsia" w:hAnsi="Book Antiqua"/>
                <w:sz w:val="24"/>
                <w:szCs w:val="24"/>
              </w:rPr>
            </w:pPr>
          </w:p>
          <w:p w14:paraId="06B7A094" w14:textId="46632A3D" w:rsidR="00157A08" w:rsidRPr="00E54420" w:rsidRDefault="00157A08" w:rsidP="00A872D3">
            <w:pPr>
              <w:spacing w:after="120" w:line="240" w:lineRule="auto"/>
              <w:ind w:left="345" w:firstLine="709"/>
              <w:rPr>
                <w:rFonts w:ascii="Book Antiqua" w:eastAsiaTheme="minorEastAsia" w:hAnsi="Book Antiqua"/>
                <w:sz w:val="24"/>
                <w:szCs w:val="24"/>
              </w:rPr>
            </w:pPr>
            <w:r w:rsidRPr="00E54420">
              <w:rPr>
                <w:rFonts w:ascii="Book Antiqua" w:eastAsiaTheme="minorEastAsia" w:hAnsi="Book Antiqua"/>
                <w:sz w:val="24"/>
                <w:szCs w:val="24"/>
              </w:rPr>
              <w:lastRenderedPageBreak/>
              <w:t xml:space="preserve">Inflation is one of the main factors that makes the prices of goods increase, this also has an impact on the price of gold. The higher the inflation rate, the more expensive the price of gold. This is because people are reluctant to save assets in the form of money which easily loses value and prefer to invest in gold whose prices tend to be more stable when inflation occurs. Because it is increasingly in demand, the price of gold will increase (Financial Services Authority, 2019). </w:t>
            </w:r>
            <w:bookmarkStart w:id="12" w:name="OLE_LINK1"/>
            <w:bookmarkStart w:id="13" w:name="OLE_LINK2"/>
            <w:r w:rsidRPr="00E54420">
              <w:rPr>
                <w:rFonts w:ascii="Book Antiqua" w:eastAsiaTheme="minorEastAsia" w:hAnsi="Book Antiqua"/>
                <w:sz w:val="24"/>
                <w:szCs w:val="24"/>
              </w:rPr>
              <w:t xml:space="preserve">the inflation variable had a positive and significant effect on the price of gold </w:t>
            </w:r>
            <w:bookmarkEnd w:id="12"/>
            <w:bookmarkEnd w:id="13"/>
            <w:r w:rsidRPr="00E54420">
              <w:rPr>
                <w:rFonts w:ascii="Book Antiqua" w:eastAsiaTheme="minorEastAsia" w:hAnsi="Book Antiqua"/>
                <w:sz w:val="24"/>
                <w:szCs w:val="24"/>
              </w:rPr>
              <w:t>(</w:t>
            </w:r>
            <w:proofErr w:type="spellStart"/>
            <w:r w:rsidRPr="00E54420">
              <w:rPr>
                <w:rFonts w:ascii="Book Antiqua" w:eastAsiaTheme="minorEastAsia" w:hAnsi="Book Antiqua"/>
                <w:sz w:val="24"/>
                <w:szCs w:val="24"/>
              </w:rPr>
              <w:t>Wicaksono</w:t>
            </w:r>
            <w:proofErr w:type="spellEnd"/>
            <w:r w:rsidRPr="00E54420">
              <w:rPr>
                <w:rFonts w:ascii="Book Antiqua" w:eastAsiaTheme="minorEastAsia" w:hAnsi="Book Antiqua"/>
                <w:sz w:val="24"/>
                <w:szCs w:val="24"/>
              </w:rPr>
              <w:t>, 2016). The variables inflation, dollar exchange rate and BI rate simultaneously influence the price of gold. Based on this explanation, we developed the following hypothesis:</w:t>
            </w:r>
          </w:p>
          <w:p w14:paraId="41DA9BC5" w14:textId="24FCC9B5" w:rsidR="00A872D3" w:rsidRPr="00DB387A" w:rsidRDefault="00157A08" w:rsidP="00A872D3">
            <w:pPr>
              <w:spacing w:after="120" w:line="240" w:lineRule="auto"/>
              <w:ind w:left="346"/>
              <w:rPr>
                <w:rFonts w:ascii="Book Antiqua" w:eastAsiaTheme="minorEastAsia" w:hAnsi="Book Antiqua"/>
                <w:sz w:val="24"/>
                <w:szCs w:val="24"/>
              </w:rPr>
            </w:pPr>
            <w:r w:rsidRPr="00DB387A">
              <w:rPr>
                <w:rFonts w:ascii="Book Antiqua" w:eastAsiaTheme="minorEastAsia" w:hAnsi="Book Antiqua"/>
                <w:sz w:val="24"/>
                <w:szCs w:val="24"/>
              </w:rPr>
              <w:t>Hypothesis 3: The inflation rate has a significant effect on the price of gold accounts</w:t>
            </w:r>
            <w:r w:rsidR="00DB387A">
              <w:rPr>
                <w:rFonts w:ascii="Book Antiqua" w:eastAsiaTheme="minorEastAsia" w:hAnsi="Book Antiqua"/>
                <w:sz w:val="24"/>
                <w:szCs w:val="24"/>
              </w:rPr>
              <w:t>.</w:t>
            </w:r>
          </w:p>
          <w:p w14:paraId="36999230" w14:textId="10D2F53B" w:rsidR="007A653A" w:rsidRPr="00DB387A" w:rsidRDefault="00157A08" w:rsidP="00DB387A">
            <w:pPr>
              <w:spacing w:after="120" w:line="240" w:lineRule="auto"/>
              <w:ind w:left="346" w:firstLine="708"/>
              <w:rPr>
                <w:rFonts w:ascii="Book Antiqua" w:eastAsiaTheme="minorEastAsia" w:hAnsi="Book Antiqua"/>
                <w:sz w:val="24"/>
                <w:szCs w:val="24"/>
              </w:rPr>
            </w:pPr>
            <w:r w:rsidRPr="00E54420">
              <w:rPr>
                <w:rFonts w:ascii="Book Antiqua" w:eastAsiaTheme="minorEastAsia" w:hAnsi="Book Antiqua"/>
                <w:sz w:val="24"/>
                <w:szCs w:val="24"/>
              </w:rPr>
              <w:t xml:space="preserve">The price of gold really depends on the monetary policy taken by the United States central bank (Federal System or informally called The Fed). The monetary policy in question is the policy of increasing or decreasing interest rates. If the Fed lowers interest rates, gold has the potential to rise in price. Because the dollar has become unattractive as an investment option and people tend to put their money in gold (Financial Services Authority, 2019). </w:t>
            </w:r>
            <w:proofErr w:type="spellStart"/>
            <w:r w:rsidRPr="00E54420">
              <w:rPr>
                <w:rFonts w:ascii="Book Antiqua" w:eastAsiaTheme="minorEastAsia" w:hAnsi="Book Antiqua"/>
                <w:sz w:val="24"/>
                <w:szCs w:val="24"/>
              </w:rPr>
              <w:t>Wicaksono's</w:t>
            </w:r>
            <w:proofErr w:type="spellEnd"/>
            <w:r w:rsidRPr="00E54420">
              <w:rPr>
                <w:rFonts w:ascii="Book Antiqua" w:eastAsiaTheme="minorEastAsia" w:hAnsi="Book Antiqua"/>
                <w:sz w:val="24"/>
                <w:szCs w:val="24"/>
              </w:rPr>
              <w:t xml:space="preserve"> research results in 2016 also showed that the BI rate variable had a negative and significant effect on the price of gold. The variables inflation, dollar exchange rate and BI rate simultaneously influence the price of gold. Based on the explanation above, we develop the following hypothesis:</w:t>
            </w:r>
          </w:p>
          <w:p w14:paraId="0F08ED4B" w14:textId="02D331C0" w:rsidR="00DB387A" w:rsidRDefault="00157A08" w:rsidP="00427373">
            <w:pPr>
              <w:spacing w:after="120" w:line="240" w:lineRule="auto"/>
              <w:ind w:left="346"/>
              <w:rPr>
                <w:rFonts w:ascii="Book Antiqua" w:eastAsiaTheme="minorEastAsia" w:hAnsi="Book Antiqua"/>
                <w:sz w:val="24"/>
                <w:szCs w:val="24"/>
              </w:rPr>
            </w:pPr>
            <w:r w:rsidRPr="00DB387A">
              <w:rPr>
                <w:rFonts w:ascii="Book Antiqua" w:eastAsiaTheme="minorEastAsia" w:hAnsi="Book Antiqua"/>
                <w:sz w:val="24"/>
                <w:szCs w:val="24"/>
              </w:rPr>
              <w:t>Hypothesis 4: The reference interest rate has a significant effect on the price of gold accounts</w:t>
            </w:r>
            <w:r w:rsidR="00DB387A">
              <w:rPr>
                <w:rFonts w:ascii="Book Antiqua" w:eastAsiaTheme="minorEastAsia" w:hAnsi="Book Antiqua"/>
                <w:sz w:val="24"/>
                <w:szCs w:val="24"/>
              </w:rPr>
              <w:t>.</w:t>
            </w:r>
          </w:p>
          <w:p w14:paraId="44C08E20" w14:textId="5528887C" w:rsidR="00157A08" w:rsidRPr="00E54420" w:rsidRDefault="00157A08" w:rsidP="00A872D3">
            <w:pPr>
              <w:spacing w:after="120" w:line="240" w:lineRule="auto"/>
              <w:ind w:left="346" w:firstLine="708"/>
              <w:rPr>
                <w:rFonts w:ascii="Book Antiqua" w:eastAsiaTheme="minorEastAsia" w:hAnsi="Book Antiqua"/>
                <w:sz w:val="24"/>
                <w:szCs w:val="24"/>
              </w:rPr>
            </w:pPr>
            <w:r w:rsidRPr="00E54420">
              <w:rPr>
                <w:rFonts w:ascii="Book Antiqua" w:eastAsiaTheme="minorEastAsia" w:hAnsi="Book Antiqua"/>
                <w:sz w:val="24"/>
                <w:szCs w:val="24"/>
              </w:rPr>
              <w:t>According to OJK (2019), macroeconomic factors that influence gold price movements include global conditions. Various political, economic situations, crises, recessions or wars are one of the triggers for the rise and fall of gold prices. In unstable economic and political conditions, gold is often seen as a savior. That's why when a crisis or war occurs, usually the price of gold will soar. Before the Covid pandemic occurred, news of the increase in gold prices was caused by the trade war situation between the United States and China. This situation has encouraged global investors to flock to invest in safe assets, one of which is gold. When the situation begins to stabilize, safe haven assets will lack interest because investors' risk appetite will return to hunting for riskier assets. There are three reasons gold is chosen when the economy is uncertain or there is geopolitical turmoil. First, the value of gold is maintained even if inflation or deflation occurs. Second, the value of gold is maintained even if an economic crisis or war occurs. Third, demand for gold does not decrease along with limited gold availability. Based on the explanation above, we develop the following hypothesis:</w:t>
            </w:r>
          </w:p>
          <w:p w14:paraId="62B33423" w14:textId="3905896A" w:rsidR="00A872D3" w:rsidRPr="00DB387A" w:rsidRDefault="00157A08" w:rsidP="00DB387A">
            <w:pPr>
              <w:spacing w:after="240" w:line="240" w:lineRule="auto"/>
              <w:ind w:left="346"/>
              <w:rPr>
                <w:rFonts w:ascii="Book Antiqua" w:eastAsiaTheme="minorEastAsia" w:hAnsi="Book Antiqua"/>
                <w:sz w:val="24"/>
                <w:szCs w:val="24"/>
              </w:rPr>
            </w:pPr>
            <w:r w:rsidRPr="00DB387A">
              <w:rPr>
                <w:rFonts w:ascii="Book Antiqua" w:eastAsiaTheme="minorEastAsia" w:hAnsi="Book Antiqua"/>
                <w:sz w:val="24"/>
                <w:szCs w:val="24"/>
              </w:rPr>
              <w:t>Hypothesis 5: The level of economic growth has a significant effect on the price of gold accounts.</w:t>
            </w:r>
          </w:p>
          <w:p w14:paraId="50F8C951" w14:textId="77777777" w:rsidR="00427373" w:rsidRDefault="00427373" w:rsidP="00427373">
            <w:pPr>
              <w:pStyle w:val="ListParagraph"/>
              <w:spacing w:after="120" w:line="240" w:lineRule="auto"/>
              <w:ind w:left="360"/>
              <w:contextualSpacing w:val="0"/>
              <w:rPr>
                <w:rFonts w:ascii="Book Antiqua" w:hAnsi="Book Antiqua"/>
                <w:b/>
                <w:bCs/>
                <w:sz w:val="24"/>
                <w:szCs w:val="24"/>
              </w:rPr>
            </w:pPr>
          </w:p>
          <w:p w14:paraId="5F73BC60" w14:textId="77777777" w:rsidR="00427373" w:rsidRDefault="00427373" w:rsidP="00427373">
            <w:pPr>
              <w:pStyle w:val="ListParagraph"/>
              <w:spacing w:after="120" w:line="240" w:lineRule="auto"/>
              <w:ind w:left="360"/>
              <w:contextualSpacing w:val="0"/>
              <w:rPr>
                <w:rFonts w:ascii="Book Antiqua" w:hAnsi="Book Antiqua"/>
                <w:b/>
                <w:bCs/>
                <w:sz w:val="24"/>
                <w:szCs w:val="24"/>
              </w:rPr>
            </w:pPr>
          </w:p>
          <w:p w14:paraId="269426AC" w14:textId="77777777" w:rsidR="00427373" w:rsidRDefault="00427373" w:rsidP="00427373">
            <w:pPr>
              <w:pStyle w:val="ListParagraph"/>
              <w:spacing w:after="120" w:line="240" w:lineRule="auto"/>
              <w:ind w:left="360"/>
              <w:contextualSpacing w:val="0"/>
              <w:rPr>
                <w:rFonts w:ascii="Book Antiqua" w:hAnsi="Book Antiqua"/>
                <w:b/>
                <w:bCs/>
                <w:sz w:val="24"/>
                <w:szCs w:val="24"/>
              </w:rPr>
            </w:pPr>
          </w:p>
          <w:p w14:paraId="34EE5E1B" w14:textId="77777777" w:rsidR="00427373" w:rsidRPr="00427373" w:rsidRDefault="00427373" w:rsidP="00427373">
            <w:pPr>
              <w:pStyle w:val="ListParagraph"/>
              <w:spacing w:after="120" w:line="240" w:lineRule="auto"/>
              <w:ind w:left="360"/>
              <w:contextualSpacing w:val="0"/>
              <w:rPr>
                <w:rFonts w:ascii="Book Antiqua" w:hAnsi="Book Antiqua"/>
                <w:b/>
                <w:bCs/>
                <w:sz w:val="24"/>
                <w:szCs w:val="24"/>
              </w:rPr>
            </w:pPr>
          </w:p>
          <w:p w14:paraId="2F9F6C1E" w14:textId="7B2837FC" w:rsidR="00157A08" w:rsidRPr="00E54420" w:rsidRDefault="00157A08" w:rsidP="00157A08">
            <w:pPr>
              <w:pStyle w:val="ListParagraph"/>
              <w:numPr>
                <w:ilvl w:val="0"/>
                <w:numId w:val="1"/>
              </w:numPr>
              <w:spacing w:after="120" w:line="240" w:lineRule="auto"/>
              <w:ind w:left="360"/>
              <w:contextualSpacing w:val="0"/>
              <w:rPr>
                <w:rFonts w:ascii="Book Antiqua" w:hAnsi="Book Antiqua"/>
                <w:b/>
                <w:bCs/>
                <w:sz w:val="24"/>
                <w:szCs w:val="24"/>
              </w:rPr>
            </w:pPr>
            <w:r w:rsidRPr="00E54420">
              <w:rPr>
                <w:rFonts w:ascii="Book Antiqua" w:hAnsi="Book Antiqua"/>
                <w:b/>
                <w:bCs/>
                <w:sz w:val="24"/>
                <w:szCs w:val="24"/>
                <w:lang w:val="en-US"/>
              </w:rPr>
              <w:lastRenderedPageBreak/>
              <w:t>Research Methodology</w:t>
            </w:r>
          </w:p>
          <w:p w14:paraId="12038707" w14:textId="77777777" w:rsidR="00157A08" w:rsidRPr="00E54420" w:rsidRDefault="00157A08" w:rsidP="00157A08">
            <w:pPr>
              <w:pStyle w:val="ListParagraph"/>
              <w:spacing w:after="120" w:line="240" w:lineRule="auto"/>
              <w:ind w:left="0"/>
              <w:contextualSpacing w:val="0"/>
              <w:jc w:val="both"/>
              <w:rPr>
                <w:rFonts w:ascii="Book Antiqua" w:hAnsi="Book Antiqua"/>
                <w:sz w:val="24"/>
                <w:szCs w:val="24"/>
              </w:rPr>
            </w:pPr>
            <w:r w:rsidRPr="00E54420">
              <w:rPr>
                <w:rFonts w:ascii="Book Antiqua" w:hAnsi="Book Antiqua"/>
                <w:sz w:val="24"/>
                <w:szCs w:val="24"/>
              </w:rPr>
              <w:t>This research is a combination of quantitative methods via multiple linear regression analysis and qualitative methods via the ANP method.</w:t>
            </w:r>
          </w:p>
          <w:p w14:paraId="2C5FE000" w14:textId="77777777" w:rsidR="00157A08" w:rsidRPr="00E54420" w:rsidRDefault="00157A08" w:rsidP="00157A08">
            <w:pPr>
              <w:pStyle w:val="ListParagraph"/>
              <w:numPr>
                <w:ilvl w:val="0"/>
                <w:numId w:val="27"/>
              </w:numPr>
              <w:spacing w:after="240" w:line="240" w:lineRule="auto"/>
              <w:ind w:left="850" w:hanging="425"/>
              <w:contextualSpacing w:val="0"/>
              <w:jc w:val="both"/>
              <w:rPr>
                <w:rFonts w:ascii="Book Antiqua" w:eastAsiaTheme="minorEastAsia" w:hAnsi="Book Antiqua"/>
                <w:sz w:val="24"/>
                <w:szCs w:val="24"/>
              </w:rPr>
            </w:pPr>
            <w:r w:rsidRPr="00E54420">
              <w:rPr>
                <w:rFonts w:ascii="Book Antiqua" w:eastAsiaTheme="minorEastAsia" w:hAnsi="Book Antiqua"/>
                <w:sz w:val="24"/>
                <w:szCs w:val="24"/>
              </w:rPr>
              <w:t>This research aims to analyze the influence of macroeconomic factors on price movements of Pegadaian gold accounts using the multiple linear regression analysis method. The variable that influences is called the independent (free) variable, and the variable that is influenced is called the dependent (bound) variable. This research consists of five independent variables, namely the international gold price, inflation rate, rupiah exchange rate against the USD, reference interest rate, and economic growth rate, while the dependent variable is the price of the Pegadaian Gold Account.</w:t>
            </w:r>
            <w:r w:rsidRPr="00E54420">
              <w:rPr>
                <w:rFonts w:ascii="Book Antiqua" w:eastAsiaTheme="minorEastAsia" w:hAnsi="Book Antiqua"/>
                <w:sz w:val="24"/>
                <w:szCs w:val="24"/>
                <w:lang w:val="en-US"/>
              </w:rPr>
              <w:t xml:space="preserve"> </w:t>
            </w:r>
            <w:r w:rsidRPr="00E54420">
              <w:rPr>
                <w:rFonts w:ascii="Book Antiqua" w:eastAsiaTheme="minorEastAsia" w:hAnsi="Book Antiqua"/>
                <w:sz w:val="24"/>
                <w:szCs w:val="24"/>
              </w:rPr>
              <w:t>The data used in quantitative analysis uses secondary data from various sources as follows:</w:t>
            </w:r>
          </w:p>
          <w:p w14:paraId="75212C46" w14:textId="77777777" w:rsidR="00157A08" w:rsidRPr="00157A08" w:rsidRDefault="00157A08" w:rsidP="00DB387A">
            <w:pPr>
              <w:spacing w:after="120" w:line="240" w:lineRule="auto"/>
              <w:ind w:left="720" w:firstLine="130"/>
              <w:jc w:val="center"/>
              <w:rPr>
                <w:rFonts w:ascii="Book Antiqua" w:hAnsi="Book Antiqua"/>
                <w:b/>
                <w:sz w:val="24"/>
                <w:szCs w:val="24"/>
              </w:rPr>
            </w:pPr>
            <w:r w:rsidRPr="00157A08">
              <w:rPr>
                <w:rFonts w:ascii="Book Antiqua" w:hAnsi="Book Antiqua"/>
                <w:b/>
                <w:sz w:val="24"/>
                <w:szCs w:val="24"/>
              </w:rPr>
              <w:t>Tabel 5. Data Sources</w:t>
            </w:r>
          </w:p>
          <w:tbl>
            <w:tblPr>
              <w:tblW w:w="8222" w:type="dxa"/>
              <w:tblInd w:w="846" w:type="dxa"/>
              <w:tblBorders>
                <w:top w:val="single" w:sz="4" w:space="0" w:color="auto"/>
                <w:bottom w:val="single" w:sz="4" w:space="0" w:color="auto"/>
              </w:tblBorders>
              <w:tblLayout w:type="fixed"/>
              <w:tblLook w:val="04A0" w:firstRow="1" w:lastRow="0" w:firstColumn="1" w:lastColumn="0" w:noHBand="0" w:noVBand="1"/>
            </w:tblPr>
            <w:tblGrid>
              <w:gridCol w:w="567"/>
              <w:gridCol w:w="2977"/>
              <w:gridCol w:w="4678"/>
            </w:tblGrid>
            <w:tr w:rsidR="00157A08" w:rsidRPr="00157A08" w14:paraId="2BA82C54" w14:textId="77777777" w:rsidTr="00157A08">
              <w:trPr>
                <w:trHeight w:val="320"/>
              </w:trPr>
              <w:tc>
                <w:tcPr>
                  <w:tcW w:w="567" w:type="dxa"/>
                  <w:tcBorders>
                    <w:top w:val="single" w:sz="4" w:space="0" w:color="auto"/>
                    <w:bottom w:val="single" w:sz="4" w:space="0" w:color="auto"/>
                  </w:tcBorders>
                  <w:shd w:val="clear" w:color="auto" w:fill="auto"/>
                  <w:noWrap/>
                </w:tcPr>
                <w:p w14:paraId="14AC7630" w14:textId="77777777" w:rsidR="00157A08" w:rsidRPr="00157A08" w:rsidRDefault="00157A08" w:rsidP="00157A08">
                  <w:pPr>
                    <w:spacing w:after="0" w:line="240" w:lineRule="auto"/>
                    <w:jc w:val="center"/>
                    <w:rPr>
                      <w:rFonts w:ascii="Book Antiqua" w:hAnsi="Book Antiqua"/>
                      <w:b/>
                      <w:bCs/>
                      <w:color w:val="000000"/>
                      <w:lang w:val="zh-CN" w:eastAsia="zh-CN"/>
                    </w:rPr>
                  </w:pPr>
                  <w:r w:rsidRPr="00157A08">
                    <w:rPr>
                      <w:rFonts w:ascii="Book Antiqua" w:hAnsi="Book Antiqua"/>
                      <w:b/>
                      <w:bCs/>
                      <w:color w:val="000000"/>
                      <w:lang w:val="zh-CN" w:eastAsia="zh-CN"/>
                    </w:rPr>
                    <w:t>No</w:t>
                  </w:r>
                </w:p>
              </w:tc>
              <w:tc>
                <w:tcPr>
                  <w:tcW w:w="2977" w:type="dxa"/>
                  <w:tcBorders>
                    <w:top w:val="single" w:sz="4" w:space="0" w:color="auto"/>
                    <w:bottom w:val="single" w:sz="4" w:space="0" w:color="auto"/>
                  </w:tcBorders>
                  <w:shd w:val="clear" w:color="auto" w:fill="auto"/>
                </w:tcPr>
                <w:p w14:paraId="373ED38C" w14:textId="77777777" w:rsidR="00157A08" w:rsidRPr="00157A08" w:rsidRDefault="00157A08" w:rsidP="00157A08">
                  <w:pPr>
                    <w:spacing w:after="0" w:line="240" w:lineRule="auto"/>
                    <w:jc w:val="center"/>
                    <w:rPr>
                      <w:rFonts w:ascii="Book Antiqua" w:hAnsi="Book Antiqua"/>
                      <w:b/>
                      <w:bCs/>
                      <w:color w:val="000000"/>
                      <w:lang w:val="zh-CN" w:eastAsia="zh-CN"/>
                    </w:rPr>
                  </w:pPr>
                  <w:r w:rsidRPr="00157A08">
                    <w:rPr>
                      <w:rFonts w:ascii="Book Antiqua" w:hAnsi="Book Antiqua"/>
                      <w:b/>
                      <w:bCs/>
                      <w:color w:val="000000"/>
                      <w:lang w:val="zh-CN" w:eastAsia="zh-CN"/>
                    </w:rPr>
                    <w:t>Data</w:t>
                  </w:r>
                </w:p>
              </w:tc>
              <w:tc>
                <w:tcPr>
                  <w:tcW w:w="4678" w:type="dxa"/>
                  <w:tcBorders>
                    <w:top w:val="single" w:sz="4" w:space="0" w:color="auto"/>
                    <w:bottom w:val="single" w:sz="4" w:space="0" w:color="auto"/>
                  </w:tcBorders>
                  <w:shd w:val="clear" w:color="auto" w:fill="auto"/>
                </w:tcPr>
                <w:p w14:paraId="00467FF9" w14:textId="48DDFCD2" w:rsidR="00157A08" w:rsidRPr="00157A08" w:rsidRDefault="00157A08" w:rsidP="00157A08">
                  <w:pPr>
                    <w:spacing w:after="0" w:line="240" w:lineRule="auto"/>
                    <w:jc w:val="center"/>
                    <w:rPr>
                      <w:rFonts w:ascii="Book Antiqua" w:hAnsi="Book Antiqua"/>
                      <w:b/>
                      <w:bCs/>
                      <w:color w:val="000000"/>
                      <w:lang w:eastAsia="zh-CN"/>
                    </w:rPr>
                  </w:pPr>
                  <w:r w:rsidRPr="00157A08">
                    <w:rPr>
                      <w:rFonts w:ascii="Book Antiqua" w:hAnsi="Book Antiqua"/>
                      <w:b/>
                      <w:bCs/>
                      <w:color w:val="000000"/>
                      <w:lang w:eastAsia="zh-CN"/>
                    </w:rPr>
                    <w:t>Source</w:t>
                  </w:r>
                </w:p>
              </w:tc>
            </w:tr>
            <w:tr w:rsidR="00157A08" w:rsidRPr="00157A08" w14:paraId="2E59C639" w14:textId="77777777" w:rsidTr="00157A08">
              <w:trPr>
                <w:trHeight w:val="747"/>
              </w:trPr>
              <w:tc>
                <w:tcPr>
                  <w:tcW w:w="567" w:type="dxa"/>
                  <w:tcBorders>
                    <w:top w:val="single" w:sz="4" w:space="0" w:color="auto"/>
                  </w:tcBorders>
                  <w:shd w:val="clear" w:color="auto" w:fill="auto"/>
                  <w:noWrap/>
                </w:tcPr>
                <w:p w14:paraId="6DB9672F" w14:textId="77777777" w:rsidR="00157A08" w:rsidRPr="00157A08" w:rsidRDefault="00157A08" w:rsidP="00157A08">
                  <w:pPr>
                    <w:spacing w:after="0" w:line="240" w:lineRule="auto"/>
                    <w:jc w:val="center"/>
                    <w:rPr>
                      <w:rFonts w:ascii="Book Antiqua" w:hAnsi="Book Antiqua"/>
                      <w:color w:val="000000"/>
                      <w:lang w:val="zh-CN" w:eastAsia="zh-CN"/>
                    </w:rPr>
                  </w:pPr>
                  <w:r w:rsidRPr="00157A08">
                    <w:rPr>
                      <w:rFonts w:ascii="Book Antiqua" w:hAnsi="Book Antiqua"/>
                      <w:color w:val="000000"/>
                      <w:lang w:val="zh-CN" w:eastAsia="zh-CN"/>
                    </w:rPr>
                    <w:t>1</w:t>
                  </w:r>
                </w:p>
              </w:tc>
              <w:tc>
                <w:tcPr>
                  <w:tcW w:w="2977" w:type="dxa"/>
                  <w:tcBorders>
                    <w:top w:val="single" w:sz="4" w:space="0" w:color="auto"/>
                  </w:tcBorders>
                  <w:shd w:val="clear" w:color="auto" w:fill="auto"/>
                </w:tcPr>
                <w:p w14:paraId="7CB86809" w14:textId="77777777" w:rsidR="00157A08" w:rsidRPr="00157A08" w:rsidRDefault="00157A08" w:rsidP="00157A08">
                  <w:pPr>
                    <w:spacing w:after="0" w:line="240" w:lineRule="auto"/>
                    <w:rPr>
                      <w:rFonts w:ascii="Book Antiqua" w:hAnsi="Book Antiqua"/>
                      <w:color w:val="000000"/>
                      <w:lang w:eastAsia="zh-CN"/>
                    </w:rPr>
                  </w:pPr>
                  <w:r w:rsidRPr="00157A08">
                    <w:rPr>
                      <w:rFonts w:ascii="Book Antiqua" w:hAnsi="Book Antiqua"/>
                      <w:color w:val="000000"/>
                      <w:lang w:eastAsia="zh-CN"/>
                    </w:rPr>
                    <w:t xml:space="preserve">Prices of </w:t>
                  </w:r>
                  <w:proofErr w:type="spellStart"/>
                  <w:r w:rsidRPr="00157A08">
                    <w:rPr>
                      <w:rFonts w:ascii="Book Antiqua" w:hAnsi="Book Antiqua"/>
                      <w:color w:val="000000"/>
                      <w:lang w:eastAsia="zh-CN"/>
                    </w:rPr>
                    <w:t>Pegadaian</w:t>
                  </w:r>
                  <w:proofErr w:type="spellEnd"/>
                  <w:r w:rsidRPr="00157A08">
                    <w:rPr>
                      <w:rFonts w:ascii="Book Antiqua" w:hAnsi="Book Antiqua"/>
                      <w:color w:val="000000"/>
                      <w:lang w:eastAsia="zh-CN"/>
                    </w:rPr>
                    <w:t xml:space="preserve"> Gold-Account</w:t>
                  </w:r>
                  <w:r w:rsidRPr="00157A08">
                    <w:rPr>
                      <w:rFonts w:ascii="Book Antiqua" w:hAnsi="Book Antiqua"/>
                      <w:color w:val="000000"/>
                      <w:lang w:val="zh-CN" w:eastAsia="zh-CN"/>
                    </w:rPr>
                    <w:t xml:space="preserve"> </w:t>
                  </w:r>
                  <w:r w:rsidRPr="00157A08">
                    <w:rPr>
                      <w:rFonts w:ascii="Book Antiqua" w:hAnsi="Book Antiqua"/>
                      <w:color w:val="000000"/>
                      <w:lang w:eastAsia="zh-CN"/>
                    </w:rPr>
                    <w:t>Year</w:t>
                  </w:r>
                  <w:r w:rsidRPr="00157A08">
                    <w:rPr>
                      <w:rFonts w:ascii="Book Antiqua" w:hAnsi="Book Antiqua"/>
                      <w:color w:val="000000"/>
                      <w:lang w:val="zh-CN" w:eastAsia="zh-CN"/>
                    </w:rPr>
                    <w:t xml:space="preserve"> 2017</w:t>
                  </w:r>
                  <w:r w:rsidRPr="00157A08">
                    <w:rPr>
                      <w:rFonts w:ascii="Book Antiqua" w:hAnsi="Book Antiqua"/>
                      <w:color w:val="000000"/>
                      <w:lang w:eastAsia="zh-CN"/>
                    </w:rPr>
                    <w:t>-</w:t>
                  </w:r>
                  <w:r w:rsidRPr="00157A08">
                    <w:rPr>
                      <w:rFonts w:ascii="Book Antiqua" w:hAnsi="Book Antiqua"/>
                      <w:color w:val="000000"/>
                      <w:lang w:val="zh-CN" w:eastAsia="zh-CN"/>
                    </w:rPr>
                    <w:t>2022</w:t>
                  </w:r>
                </w:p>
              </w:tc>
              <w:tc>
                <w:tcPr>
                  <w:tcW w:w="4678" w:type="dxa"/>
                  <w:tcBorders>
                    <w:top w:val="single" w:sz="4" w:space="0" w:color="auto"/>
                  </w:tcBorders>
                  <w:shd w:val="clear" w:color="auto" w:fill="auto"/>
                </w:tcPr>
                <w:p w14:paraId="497C2C1D" w14:textId="0738DB5C" w:rsidR="00157A08" w:rsidRPr="00157A08" w:rsidRDefault="00157A08" w:rsidP="00157A08">
                  <w:pPr>
                    <w:pStyle w:val="ListParagraph"/>
                    <w:numPr>
                      <w:ilvl w:val="0"/>
                      <w:numId w:val="28"/>
                    </w:numPr>
                    <w:spacing w:after="0" w:line="240" w:lineRule="auto"/>
                    <w:ind w:left="322" w:hanging="322"/>
                    <w:rPr>
                      <w:rFonts w:ascii="Book Antiqua" w:hAnsi="Book Antiqua"/>
                      <w:color w:val="000000"/>
                      <w:lang w:val="zh-CN" w:eastAsia="zh-CN"/>
                    </w:rPr>
                  </w:pPr>
                  <w:r w:rsidRPr="00157A08">
                    <w:rPr>
                      <w:rFonts w:ascii="Book Antiqua" w:hAnsi="Book Antiqua"/>
                      <w:color w:val="000000"/>
                      <w:lang w:eastAsia="zh-CN"/>
                    </w:rPr>
                    <w:t>Direct from</w:t>
                  </w:r>
                  <w:r w:rsidRPr="00157A08">
                    <w:rPr>
                      <w:rFonts w:ascii="Book Antiqua" w:hAnsi="Book Antiqua"/>
                      <w:color w:val="000000"/>
                      <w:lang w:val="zh-CN" w:eastAsia="zh-CN"/>
                    </w:rPr>
                    <w:t xml:space="preserve"> PT Pegadaian,</w:t>
                  </w:r>
                </w:p>
                <w:p w14:paraId="3BB51E57" w14:textId="2B440E72" w:rsidR="00157A08" w:rsidRPr="00157A08" w:rsidRDefault="00157A08" w:rsidP="00157A08">
                  <w:pPr>
                    <w:pStyle w:val="ListParagraph"/>
                    <w:numPr>
                      <w:ilvl w:val="0"/>
                      <w:numId w:val="28"/>
                    </w:numPr>
                    <w:spacing w:after="0" w:line="240" w:lineRule="auto"/>
                    <w:ind w:left="322" w:hanging="322"/>
                    <w:rPr>
                      <w:rFonts w:ascii="Book Antiqua" w:hAnsi="Book Antiqua"/>
                      <w:color w:val="000000"/>
                      <w:lang w:val="zh-CN" w:eastAsia="zh-CN"/>
                    </w:rPr>
                  </w:pPr>
                  <w:r w:rsidRPr="00157A08">
                    <w:rPr>
                      <w:rFonts w:ascii="Book Antiqua" w:hAnsi="Book Antiqua"/>
                      <w:color w:val="000000"/>
                      <w:lang w:val="en-US" w:eastAsia="zh-CN"/>
                    </w:rPr>
                    <w:t>Some of the</w:t>
                  </w:r>
                  <w:r w:rsidRPr="00157A08">
                    <w:rPr>
                      <w:rFonts w:ascii="Book Antiqua" w:hAnsi="Book Antiqua"/>
                      <w:color w:val="000000"/>
                      <w:lang w:val="zh-CN" w:eastAsia="zh-CN"/>
                    </w:rPr>
                    <w:t xml:space="preserve"> data </w:t>
                  </w:r>
                  <w:r w:rsidRPr="00157A08">
                    <w:rPr>
                      <w:rFonts w:ascii="Book Antiqua" w:hAnsi="Book Antiqua"/>
                      <w:color w:val="000000"/>
                      <w:lang w:val="en-US" w:eastAsia="zh-CN"/>
                    </w:rPr>
                    <w:t>are downloaded from</w:t>
                  </w:r>
                  <w:r w:rsidRPr="00157A08">
                    <w:rPr>
                      <w:rFonts w:ascii="Book Antiqua" w:hAnsi="Book Antiqua"/>
                      <w:color w:val="000000"/>
                      <w:lang w:val="zh-CN" w:eastAsia="zh-CN"/>
                    </w:rPr>
                    <w:t xml:space="preserve">  </w:t>
                  </w:r>
                  <w:hyperlink r:id="rId10" w:history="1">
                    <w:r w:rsidRPr="00427373">
                      <w:rPr>
                        <w:rStyle w:val="Hyperlink"/>
                        <w:rFonts w:ascii="Book Antiqua" w:hAnsi="Book Antiqua"/>
                        <w:i/>
                        <w:iCs/>
                        <w:lang w:val="zh-CN" w:eastAsia="zh-CN"/>
                      </w:rPr>
                      <w:t>https://www</w:t>
                    </w:r>
                  </w:hyperlink>
                  <w:r w:rsidRPr="00427373">
                    <w:rPr>
                      <w:rFonts w:ascii="Book Antiqua" w:hAnsi="Book Antiqua"/>
                      <w:i/>
                      <w:iCs/>
                      <w:color w:val="000000"/>
                      <w:lang w:val="zh-CN" w:eastAsia="zh-CN"/>
                    </w:rPr>
                    <w:t>.pegadaian.co.id/harga.</w:t>
                  </w:r>
                </w:p>
              </w:tc>
            </w:tr>
            <w:tr w:rsidR="00157A08" w:rsidRPr="00157A08" w14:paraId="6AB9EE91" w14:textId="77777777" w:rsidTr="00157A08">
              <w:trPr>
                <w:trHeight w:val="426"/>
              </w:trPr>
              <w:tc>
                <w:tcPr>
                  <w:tcW w:w="567" w:type="dxa"/>
                  <w:shd w:val="clear" w:color="auto" w:fill="auto"/>
                  <w:noWrap/>
                </w:tcPr>
                <w:p w14:paraId="451651A6" w14:textId="77777777" w:rsidR="00157A08" w:rsidRPr="00157A08" w:rsidRDefault="00157A08" w:rsidP="00157A08">
                  <w:pPr>
                    <w:spacing w:after="0" w:line="240" w:lineRule="auto"/>
                    <w:jc w:val="center"/>
                    <w:rPr>
                      <w:rFonts w:ascii="Book Antiqua" w:hAnsi="Book Antiqua"/>
                      <w:color w:val="000000"/>
                      <w:lang w:val="zh-CN" w:eastAsia="zh-CN"/>
                    </w:rPr>
                  </w:pPr>
                  <w:r w:rsidRPr="00157A08">
                    <w:rPr>
                      <w:rFonts w:ascii="Book Antiqua" w:hAnsi="Book Antiqua"/>
                      <w:color w:val="000000"/>
                      <w:lang w:val="zh-CN" w:eastAsia="zh-CN"/>
                    </w:rPr>
                    <w:t>2</w:t>
                  </w:r>
                </w:p>
              </w:tc>
              <w:tc>
                <w:tcPr>
                  <w:tcW w:w="2977" w:type="dxa"/>
                  <w:shd w:val="clear" w:color="auto" w:fill="auto"/>
                </w:tcPr>
                <w:p w14:paraId="04471816" w14:textId="77777777" w:rsidR="00157A08" w:rsidRPr="00157A08" w:rsidRDefault="00157A08" w:rsidP="00157A08">
                  <w:pPr>
                    <w:spacing w:after="0" w:line="240" w:lineRule="auto"/>
                    <w:rPr>
                      <w:rFonts w:ascii="Book Antiqua" w:hAnsi="Book Antiqua"/>
                      <w:color w:val="000000"/>
                      <w:lang w:val="zh-CN" w:eastAsia="zh-CN"/>
                    </w:rPr>
                  </w:pPr>
                  <w:r w:rsidRPr="00157A08">
                    <w:rPr>
                      <w:rFonts w:ascii="Book Antiqua" w:hAnsi="Book Antiqua"/>
                      <w:color w:val="000000"/>
                      <w:lang w:eastAsia="zh-CN"/>
                    </w:rPr>
                    <w:t>Prices of Antam Gold-Bar</w:t>
                  </w:r>
                  <w:r w:rsidRPr="00157A08">
                    <w:rPr>
                      <w:rFonts w:ascii="Book Antiqua" w:hAnsi="Book Antiqua"/>
                      <w:color w:val="000000"/>
                      <w:lang w:val="zh-CN" w:eastAsia="zh-CN"/>
                    </w:rPr>
                    <w:t xml:space="preserve"> </w:t>
                  </w:r>
                  <w:r w:rsidRPr="00157A08">
                    <w:rPr>
                      <w:rFonts w:ascii="Book Antiqua" w:hAnsi="Book Antiqua"/>
                      <w:color w:val="000000"/>
                      <w:lang w:eastAsia="zh-CN"/>
                    </w:rPr>
                    <w:t>Year</w:t>
                  </w:r>
                  <w:r w:rsidRPr="00157A08">
                    <w:rPr>
                      <w:rFonts w:ascii="Book Antiqua" w:hAnsi="Book Antiqua"/>
                      <w:color w:val="000000"/>
                      <w:lang w:val="zh-CN" w:eastAsia="zh-CN"/>
                    </w:rPr>
                    <w:t xml:space="preserve"> 2017</w:t>
                  </w:r>
                  <w:r w:rsidRPr="00157A08">
                    <w:rPr>
                      <w:rFonts w:ascii="Book Antiqua" w:hAnsi="Book Antiqua"/>
                      <w:color w:val="000000"/>
                      <w:lang w:eastAsia="zh-CN"/>
                    </w:rPr>
                    <w:t>-</w:t>
                  </w:r>
                  <w:r w:rsidRPr="00157A08">
                    <w:rPr>
                      <w:rFonts w:ascii="Book Antiqua" w:hAnsi="Book Antiqua"/>
                      <w:color w:val="000000"/>
                      <w:lang w:val="zh-CN" w:eastAsia="zh-CN"/>
                    </w:rPr>
                    <w:t>2022</w:t>
                  </w:r>
                </w:p>
              </w:tc>
              <w:tc>
                <w:tcPr>
                  <w:tcW w:w="4678" w:type="dxa"/>
                  <w:shd w:val="clear" w:color="auto" w:fill="auto"/>
                </w:tcPr>
                <w:p w14:paraId="3673C21C" w14:textId="77777777" w:rsidR="00157A08" w:rsidRPr="00157A08" w:rsidRDefault="00157A08" w:rsidP="00157A08">
                  <w:pPr>
                    <w:spacing w:after="0" w:line="240" w:lineRule="auto"/>
                    <w:rPr>
                      <w:rFonts w:ascii="Book Antiqua" w:hAnsi="Book Antiqua"/>
                      <w:color w:val="000000"/>
                      <w:lang w:val="zh-CN" w:eastAsia="zh-CN"/>
                    </w:rPr>
                  </w:pPr>
                  <w:r w:rsidRPr="00157A08">
                    <w:rPr>
                      <w:rFonts w:ascii="Book Antiqua" w:hAnsi="Book Antiqua"/>
                      <w:color w:val="000000"/>
                      <w:lang w:val="zh-CN" w:eastAsia="zh-CN"/>
                    </w:rPr>
                    <w:t>pusatdata.kontan.co.id</w:t>
                  </w:r>
                </w:p>
                <w:p w14:paraId="11EA75E8" w14:textId="77777777" w:rsidR="00157A08" w:rsidRPr="00157A08" w:rsidRDefault="00157A08" w:rsidP="00157A08">
                  <w:pPr>
                    <w:spacing w:after="0" w:line="240" w:lineRule="auto"/>
                    <w:rPr>
                      <w:rFonts w:ascii="Book Antiqua" w:hAnsi="Book Antiqua"/>
                      <w:color w:val="000000"/>
                      <w:lang w:val="zh-CN" w:eastAsia="zh-CN"/>
                    </w:rPr>
                  </w:pPr>
                </w:p>
              </w:tc>
            </w:tr>
            <w:tr w:rsidR="00157A08" w:rsidRPr="00157A08" w14:paraId="390EE8C5" w14:textId="77777777" w:rsidTr="00157A08">
              <w:trPr>
                <w:trHeight w:val="660"/>
              </w:trPr>
              <w:tc>
                <w:tcPr>
                  <w:tcW w:w="567" w:type="dxa"/>
                  <w:shd w:val="clear" w:color="auto" w:fill="auto"/>
                  <w:noWrap/>
                </w:tcPr>
                <w:p w14:paraId="7A020DBC" w14:textId="77777777" w:rsidR="00157A08" w:rsidRPr="00157A08" w:rsidRDefault="00157A08" w:rsidP="00157A08">
                  <w:pPr>
                    <w:spacing w:after="0" w:line="240" w:lineRule="auto"/>
                    <w:jc w:val="center"/>
                    <w:rPr>
                      <w:rFonts w:ascii="Book Antiqua" w:hAnsi="Book Antiqua"/>
                      <w:color w:val="000000"/>
                      <w:lang w:val="zh-CN" w:eastAsia="zh-CN"/>
                    </w:rPr>
                  </w:pPr>
                  <w:r w:rsidRPr="00157A08">
                    <w:rPr>
                      <w:rFonts w:ascii="Book Antiqua" w:hAnsi="Book Antiqua"/>
                      <w:color w:val="000000"/>
                      <w:lang w:val="zh-CN" w:eastAsia="zh-CN"/>
                    </w:rPr>
                    <w:t>3</w:t>
                  </w:r>
                </w:p>
              </w:tc>
              <w:tc>
                <w:tcPr>
                  <w:tcW w:w="2977" w:type="dxa"/>
                  <w:shd w:val="clear" w:color="auto" w:fill="auto"/>
                </w:tcPr>
                <w:p w14:paraId="3BD5D611" w14:textId="77777777" w:rsidR="00157A08" w:rsidRPr="00157A08" w:rsidRDefault="00157A08" w:rsidP="00157A08">
                  <w:pPr>
                    <w:spacing w:after="0" w:line="240" w:lineRule="auto"/>
                    <w:rPr>
                      <w:rFonts w:ascii="Book Antiqua" w:hAnsi="Book Antiqua"/>
                      <w:color w:val="000000"/>
                      <w:lang w:val="zh-CN" w:eastAsia="zh-CN"/>
                    </w:rPr>
                  </w:pPr>
                  <w:r w:rsidRPr="00157A08">
                    <w:rPr>
                      <w:rFonts w:ascii="Book Antiqua" w:hAnsi="Book Antiqua"/>
                      <w:color w:val="000000"/>
                      <w:lang w:val="zh-CN" w:eastAsia="zh-CN"/>
                    </w:rPr>
                    <w:t xml:space="preserve">Harga Emas Internasional </w:t>
                  </w:r>
                  <w:r w:rsidRPr="00157A08">
                    <w:rPr>
                      <w:rFonts w:ascii="Book Antiqua" w:hAnsi="Book Antiqua"/>
                      <w:color w:val="000000"/>
                      <w:lang w:eastAsia="zh-CN"/>
                    </w:rPr>
                    <w:t>Year</w:t>
                  </w:r>
                  <w:r w:rsidRPr="00157A08">
                    <w:rPr>
                      <w:rFonts w:ascii="Book Antiqua" w:hAnsi="Book Antiqua"/>
                      <w:color w:val="000000"/>
                      <w:lang w:val="zh-CN" w:eastAsia="zh-CN"/>
                    </w:rPr>
                    <w:t xml:space="preserve"> 2017</w:t>
                  </w:r>
                  <w:r w:rsidRPr="00157A08">
                    <w:rPr>
                      <w:rFonts w:ascii="Book Antiqua" w:hAnsi="Book Antiqua"/>
                      <w:color w:val="000000"/>
                      <w:lang w:eastAsia="zh-CN"/>
                    </w:rPr>
                    <w:t>-</w:t>
                  </w:r>
                  <w:r w:rsidRPr="00157A08">
                    <w:rPr>
                      <w:rFonts w:ascii="Book Antiqua" w:hAnsi="Book Antiqua"/>
                      <w:color w:val="000000"/>
                      <w:lang w:val="zh-CN" w:eastAsia="zh-CN"/>
                    </w:rPr>
                    <w:t>2022</w:t>
                  </w:r>
                </w:p>
              </w:tc>
              <w:tc>
                <w:tcPr>
                  <w:tcW w:w="4678" w:type="dxa"/>
                  <w:shd w:val="clear" w:color="auto" w:fill="auto"/>
                </w:tcPr>
                <w:p w14:paraId="15820BE4" w14:textId="77777777" w:rsidR="00157A08" w:rsidRPr="00157A08" w:rsidRDefault="00157A08" w:rsidP="00157A08">
                  <w:pPr>
                    <w:spacing w:after="0" w:line="240" w:lineRule="auto"/>
                    <w:rPr>
                      <w:rFonts w:ascii="Book Antiqua" w:hAnsi="Book Antiqua"/>
                      <w:color w:val="000000"/>
                      <w:lang w:val="zh-CN" w:eastAsia="zh-CN"/>
                    </w:rPr>
                  </w:pPr>
                  <w:r w:rsidRPr="00157A08">
                    <w:rPr>
                      <w:rFonts w:ascii="Book Antiqua" w:hAnsi="Book Antiqua"/>
                      <w:color w:val="000000"/>
                      <w:lang w:eastAsia="zh-CN"/>
                    </w:rPr>
                    <w:t>Historical prices of</w:t>
                  </w:r>
                  <w:r w:rsidRPr="00157A08">
                    <w:rPr>
                      <w:rFonts w:ascii="Book Antiqua" w:hAnsi="Book Antiqua"/>
                      <w:color w:val="000000"/>
                      <w:lang w:val="zh-CN" w:eastAsia="zh-CN"/>
                    </w:rPr>
                    <w:t xml:space="preserve"> London Bullion Market Association (LBMA).</w:t>
                  </w:r>
                </w:p>
              </w:tc>
            </w:tr>
            <w:tr w:rsidR="00157A08" w:rsidRPr="00157A08" w14:paraId="793FC410" w14:textId="77777777" w:rsidTr="00157A08">
              <w:trPr>
                <w:trHeight w:val="553"/>
              </w:trPr>
              <w:tc>
                <w:tcPr>
                  <w:tcW w:w="567" w:type="dxa"/>
                  <w:shd w:val="clear" w:color="auto" w:fill="auto"/>
                  <w:noWrap/>
                </w:tcPr>
                <w:p w14:paraId="0C049739" w14:textId="77777777" w:rsidR="00157A08" w:rsidRPr="00157A08" w:rsidRDefault="00157A08" w:rsidP="00157A08">
                  <w:pPr>
                    <w:spacing w:after="0" w:line="240" w:lineRule="auto"/>
                    <w:jc w:val="center"/>
                    <w:rPr>
                      <w:rFonts w:ascii="Book Antiqua" w:hAnsi="Book Antiqua"/>
                      <w:color w:val="000000"/>
                      <w:lang w:val="zh-CN" w:eastAsia="zh-CN"/>
                    </w:rPr>
                  </w:pPr>
                  <w:r w:rsidRPr="00157A08">
                    <w:rPr>
                      <w:rFonts w:ascii="Book Antiqua" w:hAnsi="Book Antiqua"/>
                      <w:color w:val="000000"/>
                      <w:lang w:val="zh-CN" w:eastAsia="zh-CN"/>
                    </w:rPr>
                    <w:t>4</w:t>
                  </w:r>
                </w:p>
              </w:tc>
              <w:tc>
                <w:tcPr>
                  <w:tcW w:w="2977" w:type="dxa"/>
                  <w:shd w:val="clear" w:color="auto" w:fill="auto"/>
                </w:tcPr>
                <w:p w14:paraId="272A2E64" w14:textId="77777777" w:rsidR="00157A08" w:rsidRPr="00157A08" w:rsidRDefault="00157A08" w:rsidP="00157A08">
                  <w:pPr>
                    <w:pStyle w:val="ListParagraph"/>
                    <w:numPr>
                      <w:ilvl w:val="1"/>
                      <w:numId w:val="1"/>
                    </w:numPr>
                    <w:spacing w:after="0" w:line="240" w:lineRule="auto"/>
                    <w:ind w:left="322" w:hanging="283"/>
                    <w:rPr>
                      <w:rFonts w:ascii="Book Antiqua" w:hAnsi="Book Antiqua"/>
                      <w:color w:val="000000"/>
                      <w:lang w:val="zh-CN" w:eastAsia="zh-CN"/>
                    </w:rPr>
                  </w:pPr>
                  <w:r w:rsidRPr="00157A08">
                    <w:rPr>
                      <w:rFonts w:ascii="Book Antiqua" w:hAnsi="Book Antiqua"/>
                      <w:color w:val="000000"/>
                      <w:lang w:val="zh-CN" w:eastAsia="zh-CN"/>
                    </w:rPr>
                    <w:t>Rupiah Exchange Rate Against USD</w:t>
                  </w:r>
                </w:p>
                <w:p w14:paraId="18426D26" w14:textId="77777777" w:rsidR="00157A08" w:rsidRPr="00157A08" w:rsidRDefault="00157A08" w:rsidP="00157A08">
                  <w:pPr>
                    <w:pStyle w:val="ListParagraph"/>
                    <w:numPr>
                      <w:ilvl w:val="1"/>
                      <w:numId w:val="1"/>
                    </w:numPr>
                    <w:spacing w:after="0" w:line="240" w:lineRule="auto"/>
                    <w:ind w:left="322" w:hanging="283"/>
                    <w:rPr>
                      <w:rFonts w:ascii="Book Antiqua" w:hAnsi="Book Antiqua"/>
                      <w:color w:val="000000"/>
                      <w:lang w:val="zh-CN" w:eastAsia="zh-CN"/>
                    </w:rPr>
                  </w:pPr>
                  <w:r w:rsidRPr="00157A08">
                    <w:rPr>
                      <w:rFonts w:ascii="Book Antiqua" w:hAnsi="Book Antiqua"/>
                      <w:color w:val="000000"/>
                      <w:lang w:val="en-US" w:eastAsia="zh-CN"/>
                    </w:rPr>
                    <w:t>Inflation Rate</w:t>
                  </w:r>
                </w:p>
                <w:p w14:paraId="476214D5" w14:textId="77777777" w:rsidR="00157A08" w:rsidRPr="00157A08" w:rsidRDefault="00157A08" w:rsidP="00157A08">
                  <w:pPr>
                    <w:pStyle w:val="ListParagraph"/>
                    <w:numPr>
                      <w:ilvl w:val="1"/>
                      <w:numId w:val="1"/>
                    </w:numPr>
                    <w:spacing w:after="0" w:line="240" w:lineRule="auto"/>
                    <w:ind w:left="322" w:hanging="283"/>
                    <w:rPr>
                      <w:rFonts w:ascii="Book Antiqua" w:hAnsi="Book Antiqua"/>
                      <w:color w:val="000000"/>
                      <w:lang w:val="zh-CN" w:eastAsia="zh-CN"/>
                    </w:rPr>
                  </w:pPr>
                  <w:r w:rsidRPr="00157A08">
                    <w:rPr>
                      <w:rFonts w:ascii="Book Antiqua" w:hAnsi="Book Antiqua"/>
                      <w:color w:val="000000"/>
                      <w:lang w:val="zh-CN" w:eastAsia="zh-CN"/>
                    </w:rPr>
                    <w:t>Reference Interest Rate</w:t>
                  </w:r>
                </w:p>
                <w:p w14:paraId="18C61AE7" w14:textId="77777777" w:rsidR="00157A08" w:rsidRPr="00157A08" w:rsidRDefault="00157A08" w:rsidP="00157A08">
                  <w:pPr>
                    <w:pStyle w:val="ListParagraph"/>
                    <w:numPr>
                      <w:ilvl w:val="1"/>
                      <w:numId w:val="1"/>
                    </w:numPr>
                    <w:spacing w:after="0" w:line="240" w:lineRule="auto"/>
                    <w:ind w:left="322" w:hanging="283"/>
                    <w:rPr>
                      <w:rFonts w:ascii="Book Antiqua" w:hAnsi="Book Antiqua"/>
                      <w:color w:val="000000"/>
                      <w:lang w:val="zh-CN" w:eastAsia="zh-CN"/>
                    </w:rPr>
                  </w:pPr>
                  <w:r w:rsidRPr="00157A08">
                    <w:rPr>
                      <w:rFonts w:ascii="Book Antiqua" w:hAnsi="Book Antiqua"/>
                      <w:color w:val="000000"/>
                      <w:lang w:val="zh-CN" w:eastAsia="zh-CN"/>
                    </w:rPr>
                    <w:t>Economic Growth Rate</w:t>
                  </w:r>
                </w:p>
                <w:p w14:paraId="0302DC80" w14:textId="77777777" w:rsidR="00157A08" w:rsidRPr="00157A08" w:rsidRDefault="00157A08" w:rsidP="00157A08">
                  <w:pPr>
                    <w:spacing w:after="0" w:line="240" w:lineRule="auto"/>
                    <w:ind w:left="39"/>
                    <w:rPr>
                      <w:rFonts w:ascii="Book Antiqua" w:hAnsi="Book Antiqua"/>
                      <w:color w:val="000000"/>
                      <w:lang w:val="zh-CN" w:eastAsia="zh-CN"/>
                    </w:rPr>
                  </w:pPr>
                  <w:r w:rsidRPr="00157A08">
                    <w:rPr>
                      <w:rFonts w:ascii="Book Antiqua" w:hAnsi="Book Antiqua"/>
                      <w:color w:val="000000"/>
                      <w:lang w:eastAsia="zh-CN"/>
                    </w:rPr>
                    <w:t>Year</w:t>
                  </w:r>
                  <w:r w:rsidRPr="00157A08">
                    <w:rPr>
                      <w:rFonts w:ascii="Book Antiqua" w:hAnsi="Book Antiqua"/>
                      <w:color w:val="000000"/>
                      <w:lang w:val="zh-CN" w:eastAsia="zh-CN"/>
                    </w:rPr>
                    <w:t xml:space="preserve"> 2017</w:t>
                  </w:r>
                  <w:r w:rsidRPr="00157A08">
                    <w:rPr>
                      <w:rFonts w:ascii="Book Antiqua" w:hAnsi="Book Antiqua"/>
                      <w:color w:val="000000"/>
                      <w:lang w:eastAsia="zh-CN"/>
                    </w:rPr>
                    <w:t>-</w:t>
                  </w:r>
                  <w:r w:rsidRPr="00157A08">
                    <w:rPr>
                      <w:rFonts w:ascii="Book Antiqua" w:hAnsi="Book Antiqua"/>
                      <w:color w:val="000000"/>
                      <w:lang w:val="zh-CN" w:eastAsia="zh-CN"/>
                    </w:rPr>
                    <w:t>2022</w:t>
                  </w:r>
                </w:p>
              </w:tc>
              <w:tc>
                <w:tcPr>
                  <w:tcW w:w="4678" w:type="dxa"/>
                  <w:shd w:val="clear" w:color="auto" w:fill="auto"/>
                </w:tcPr>
                <w:p w14:paraId="1FD1C00B" w14:textId="77777777" w:rsidR="00157A08" w:rsidRPr="00427373" w:rsidRDefault="00000000" w:rsidP="00157A08">
                  <w:pPr>
                    <w:pStyle w:val="ListParagraph"/>
                    <w:numPr>
                      <w:ilvl w:val="3"/>
                      <w:numId w:val="1"/>
                    </w:numPr>
                    <w:spacing w:after="0" w:line="240" w:lineRule="auto"/>
                    <w:ind w:left="457" w:hanging="425"/>
                    <w:rPr>
                      <w:rFonts w:ascii="Book Antiqua" w:hAnsi="Book Antiqua"/>
                      <w:i/>
                      <w:iCs/>
                      <w:color w:val="000000"/>
                      <w:lang w:val="en-US" w:eastAsia="zh-CN"/>
                    </w:rPr>
                  </w:pPr>
                  <w:hyperlink r:id="rId11" w:history="1">
                    <w:r w:rsidR="00157A08" w:rsidRPr="00427373">
                      <w:rPr>
                        <w:rStyle w:val="Hyperlink"/>
                        <w:rFonts w:ascii="Book Antiqua" w:hAnsi="Book Antiqua"/>
                        <w:i/>
                        <w:iCs/>
                        <w:lang w:val="zh-CN" w:eastAsia="zh-CN"/>
                      </w:rPr>
                      <w:t>www.bi.go.id</w:t>
                    </w:r>
                  </w:hyperlink>
                </w:p>
                <w:p w14:paraId="4CC1198C" w14:textId="77777777" w:rsidR="00157A08" w:rsidRPr="00427373" w:rsidRDefault="00000000" w:rsidP="00157A08">
                  <w:pPr>
                    <w:pStyle w:val="ListParagraph"/>
                    <w:numPr>
                      <w:ilvl w:val="3"/>
                      <w:numId w:val="1"/>
                    </w:numPr>
                    <w:spacing w:after="0" w:line="240" w:lineRule="auto"/>
                    <w:ind w:left="457" w:hanging="425"/>
                    <w:rPr>
                      <w:rFonts w:ascii="Book Antiqua" w:hAnsi="Book Antiqua"/>
                      <w:i/>
                      <w:iCs/>
                      <w:color w:val="000000"/>
                      <w:lang w:val="en-US" w:eastAsia="zh-CN"/>
                    </w:rPr>
                  </w:pPr>
                  <w:hyperlink r:id="rId12" w:history="1">
                    <w:r w:rsidR="00157A08" w:rsidRPr="00427373">
                      <w:rPr>
                        <w:rStyle w:val="Hyperlink"/>
                        <w:rFonts w:ascii="Book Antiqua" w:hAnsi="Book Antiqua"/>
                        <w:i/>
                        <w:iCs/>
                        <w:lang w:val="zh-CN" w:eastAsia="zh-CN"/>
                      </w:rPr>
                      <w:t>www.bps.go.id</w:t>
                    </w:r>
                  </w:hyperlink>
                </w:p>
                <w:p w14:paraId="26FDFF81" w14:textId="77777777" w:rsidR="00157A08" w:rsidRPr="00157A08" w:rsidRDefault="00157A08" w:rsidP="00157A08">
                  <w:pPr>
                    <w:spacing w:after="0" w:line="240" w:lineRule="auto"/>
                    <w:ind w:left="2520"/>
                    <w:rPr>
                      <w:rFonts w:ascii="Book Antiqua" w:hAnsi="Book Antiqua"/>
                      <w:color w:val="000000"/>
                      <w:lang w:eastAsia="zh-CN"/>
                    </w:rPr>
                  </w:pPr>
                </w:p>
              </w:tc>
            </w:tr>
          </w:tbl>
          <w:p w14:paraId="3D0D9AA3" w14:textId="77777777" w:rsidR="00157A08" w:rsidRPr="00A872D3" w:rsidRDefault="00157A08" w:rsidP="00A872D3">
            <w:pPr>
              <w:spacing w:after="0" w:line="240" w:lineRule="auto"/>
              <w:rPr>
                <w:rFonts w:ascii="Book Antiqua" w:eastAsiaTheme="minorEastAsia" w:hAnsi="Book Antiqua"/>
                <w:sz w:val="24"/>
                <w:szCs w:val="24"/>
              </w:rPr>
            </w:pPr>
          </w:p>
          <w:p w14:paraId="6286289B" w14:textId="77777777" w:rsidR="00157A08" w:rsidRDefault="00157A08" w:rsidP="00157A08">
            <w:pPr>
              <w:pStyle w:val="ListParagraph"/>
              <w:spacing w:after="0" w:line="240" w:lineRule="auto"/>
              <w:ind w:left="851"/>
              <w:jc w:val="both"/>
              <w:rPr>
                <w:rFonts w:ascii="Book Antiqua" w:eastAsiaTheme="minorEastAsia" w:hAnsi="Book Antiqua"/>
                <w:sz w:val="24"/>
                <w:szCs w:val="24"/>
              </w:rPr>
            </w:pPr>
          </w:p>
          <w:p w14:paraId="1E518F9A" w14:textId="6B09EA31" w:rsidR="00157A08" w:rsidRPr="00E54420" w:rsidRDefault="00157A08" w:rsidP="00157A08">
            <w:pPr>
              <w:pStyle w:val="ListParagraph"/>
              <w:numPr>
                <w:ilvl w:val="0"/>
                <w:numId w:val="29"/>
              </w:numPr>
              <w:spacing w:after="120" w:line="240" w:lineRule="auto"/>
              <w:ind w:left="851" w:hanging="425"/>
              <w:contextualSpacing w:val="0"/>
              <w:jc w:val="both"/>
              <w:rPr>
                <w:rFonts w:ascii="Book Antiqua" w:eastAsiaTheme="minorEastAsia" w:hAnsi="Book Antiqua"/>
                <w:sz w:val="24"/>
                <w:szCs w:val="24"/>
              </w:rPr>
            </w:pPr>
            <w:r w:rsidRPr="00E54420">
              <w:rPr>
                <w:rFonts w:ascii="Book Antiqua" w:eastAsiaTheme="minorEastAsia" w:hAnsi="Book Antiqua"/>
                <w:sz w:val="24"/>
                <w:szCs w:val="24"/>
              </w:rPr>
              <w:t>This research also aims to analyze the factors that BPKH must pay attention to when investing in gold and the gold instruments that are more recommended for BPKH, including gold bullion instruments and gold accounts, through a descriptive qualitative method using the ANP (Analytic Network Process) method.</w:t>
            </w:r>
            <w:r w:rsidRPr="00E54420">
              <w:rPr>
                <w:rFonts w:ascii="Book Antiqua" w:eastAsiaTheme="minorEastAsia" w:hAnsi="Book Antiqua"/>
                <w:sz w:val="24"/>
                <w:szCs w:val="24"/>
                <w:lang w:val="en-US"/>
              </w:rPr>
              <w:t xml:space="preserve"> </w:t>
            </w:r>
            <w:r w:rsidRPr="00E54420">
              <w:rPr>
                <w:rFonts w:ascii="Book Antiqua" w:hAnsi="Book Antiqua"/>
                <w:sz w:val="24"/>
                <w:szCs w:val="24"/>
              </w:rPr>
              <w:t>Data collection for qualitative analysis using the ANP method is carried out in the following three steps:</w:t>
            </w:r>
          </w:p>
          <w:p w14:paraId="39FECF1A" w14:textId="77777777" w:rsidR="00157A08" w:rsidRPr="00E54420" w:rsidRDefault="00157A08" w:rsidP="00157A08">
            <w:pPr>
              <w:pStyle w:val="ListParagraph"/>
              <w:numPr>
                <w:ilvl w:val="0"/>
                <w:numId w:val="32"/>
              </w:numPr>
              <w:spacing w:after="120" w:line="240" w:lineRule="auto"/>
              <w:ind w:left="1276" w:hanging="425"/>
              <w:contextualSpacing w:val="0"/>
              <w:jc w:val="both"/>
              <w:rPr>
                <w:rFonts w:ascii="Book Antiqua" w:hAnsi="Book Antiqua"/>
                <w:sz w:val="24"/>
                <w:szCs w:val="24"/>
              </w:rPr>
            </w:pPr>
            <w:r w:rsidRPr="00E54420">
              <w:rPr>
                <w:rFonts w:ascii="Book Antiqua" w:hAnsi="Book Antiqua"/>
                <w:sz w:val="24"/>
                <w:szCs w:val="24"/>
              </w:rPr>
              <w:t>Conduct in-depth interviews with experts, practitioners and regulators to understand existing problems related to gold investment at BPKH.</w:t>
            </w:r>
          </w:p>
          <w:p w14:paraId="7F5BEF35" w14:textId="77777777" w:rsidR="00157A08" w:rsidRPr="00E54420" w:rsidRDefault="00157A08" w:rsidP="00157A08">
            <w:pPr>
              <w:pStyle w:val="ListParagraph"/>
              <w:numPr>
                <w:ilvl w:val="0"/>
                <w:numId w:val="32"/>
              </w:numPr>
              <w:spacing w:after="120" w:line="240" w:lineRule="auto"/>
              <w:ind w:left="1276" w:hanging="425"/>
              <w:contextualSpacing w:val="0"/>
              <w:jc w:val="both"/>
              <w:rPr>
                <w:rFonts w:ascii="Book Antiqua" w:hAnsi="Book Antiqua"/>
                <w:sz w:val="24"/>
                <w:szCs w:val="24"/>
              </w:rPr>
            </w:pPr>
            <w:r w:rsidRPr="00E54420">
              <w:rPr>
                <w:rFonts w:ascii="Book Antiqua" w:hAnsi="Book Antiqua"/>
                <w:sz w:val="24"/>
                <w:szCs w:val="24"/>
              </w:rPr>
              <w:t>The results of the interviews are used to create questionnaires needed to collect data from respondents.</w:t>
            </w:r>
          </w:p>
          <w:p w14:paraId="67D2EFD8" w14:textId="21697804" w:rsidR="00A872D3" w:rsidRPr="007A653A" w:rsidRDefault="00157A08" w:rsidP="007A653A">
            <w:pPr>
              <w:pStyle w:val="ListParagraph"/>
              <w:numPr>
                <w:ilvl w:val="0"/>
                <w:numId w:val="32"/>
              </w:numPr>
              <w:spacing w:after="120" w:line="240" w:lineRule="auto"/>
              <w:ind w:left="1276" w:hanging="425"/>
              <w:contextualSpacing w:val="0"/>
              <w:jc w:val="both"/>
              <w:rPr>
                <w:rFonts w:ascii="Book Antiqua" w:hAnsi="Book Antiqua"/>
                <w:sz w:val="24"/>
                <w:szCs w:val="24"/>
              </w:rPr>
            </w:pPr>
            <w:r w:rsidRPr="00E54420">
              <w:rPr>
                <w:rFonts w:ascii="Book Antiqua" w:hAnsi="Book Antiqua"/>
                <w:sz w:val="24"/>
                <w:szCs w:val="24"/>
              </w:rPr>
              <w:t>Finally, ANP analysis is used to analyze problems, solutions and strategies for implementing gold investment policies at BPKH.</w:t>
            </w:r>
          </w:p>
          <w:p w14:paraId="1D987F34" w14:textId="77777777" w:rsidR="00427373" w:rsidRDefault="00427373" w:rsidP="00157A08">
            <w:pPr>
              <w:pStyle w:val="ListParagraph"/>
              <w:spacing w:after="240" w:line="240" w:lineRule="auto"/>
              <w:ind w:left="851" w:firstLine="629"/>
              <w:contextualSpacing w:val="0"/>
              <w:jc w:val="both"/>
              <w:rPr>
                <w:rFonts w:ascii="Book Antiqua" w:hAnsi="Book Antiqua"/>
                <w:sz w:val="24"/>
                <w:szCs w:val="24"/>
              </w:rPr>
            </w:pPr>
          </w:p>
          <w:p w14:paraId="3F15B7C0" w14:textId="379D0368" w:rsidR="00157A08" w:rsidRPr="00E54420" w:rsidRDefault="00157A08" w:rsidP="00157A08">
            <w:pPr>
              <w:pStyle w:val="ListParagraph"/>
              <w:spacing w:after="240" w:line="240" w:lineRule="auto"/>
              <w:ind w:left="851" w:firstLine="629"/>
              <w:contextualSpacing w:val="0"/>
              <w:jc w:val="both"/>
              <w:rPr>
                <w:rFonts w:ascii="Book Antiqua" w:hAnsi="Book Antiqua"/>
                <w:sz w:val="24"/>
                <w:szCs w:val="24"/>
                <w:lang w:val="en-US"/>
              </w:rPr>
            </w:pPr>
            <w:r w:rsidRPr="00E54420">
              <w:rPr>
                <w:rFonts w:ascii="Book Antiqua" w:hAnsi="Book Antiqua"/>
                <w:sz w:val="24"/>
                <w:szCs w:val="24"/>
              </w:rPr>
              <w:lastRenderedPageBreak/>
              <w:t>In ANP analysis the number of respondents is not used as a benchmark for validity. The condition for valid respondents in ANP is that they are people who are masters or experts in their field (Rifka, 2016:5).</w:t>
            </w:r>
            <w:r w:rsidRPr="00E54420">
              <w:rPr>
                <w:rFonts w:ascii="Book Antiqua" w:hAnsi="Book Antiqua"/>
                <w:sz w:val="24"/>
                <w:szCs w:val="24"/>
                <w:lang w:val="en-US"/>
              </w:rPr>
              <w:t xml:space="preserve">  The population and sample in this study were ten (10) people who were considered to have the most comprehensive understanding of gold investment at BPKH, namely as follows:</w:t>
            </w:r>
          </w:p>
          <w:p w14:paraId="3F370695" w14:textId="77777777" w:rsidR="00157A08" w:rsidRPr="00157A08" w:rsidRDefault="00157A08" w:rsidP="00157A08">
            <w:pPr>
              <w:pStyle w:val="ListParagraph"/>
              <w:spacing w:after="120" w:line="240" w:lineRule="auto"/>
              <w:ind w:firstLine="130"/>
              <w:contextualSpacing w:val="0"/>
              <w:jc w:val="center"/>
              <w:rPr>
                <w:rFonts w:ascii="Book Antiqua" w:hAnsi="Book Antiqua"/>
                <w:b/>
                <w:bCs/>
                <w:sz w:val="24"/>
                <w:szCs w:val="24"/>
                <w:lang w:val="en-US"/>
              </w:rPr>
            </w:pPr>
            <w:r w:rsidRPr="00157A08">
              <w:rPr>
                <w:rFonts w:ascii="Book Antiqua" w:hAnsi="Book Antiqua"/>
                <w:b/>
                <w:bCs/>
                <w:sz w:val="24"/>
                <w:szCs w:val="24"/>
                <w:lang w:val="en-US"/>
              </w:rPr>
              <w:t>Table 6. List of Respondents in Research</w:t>
            </w:r>
          </w:p>
          <w:tbl>
            <w:tblPr>
              <w:tblW w:w="8419" w:type="dxa"/>
              <w:tblInd w:w="846" w:type="dxa"/>
              <w:tblBorders>
                <w:top w:val="single" w:sz="4" w:space="0" w:color="auto"/>
                <w:bottom w:val="single" w:sz="4" w:space="0" w:color="auto"/>
              </w:tblBorders>
              <w:tblLook w:val="04A0" w:firstRow="1" w:lastRow="0" w:firstColumn="1" w:lastColumn="0" w:noHBand="0" w:noVBand="1"/>
            </w:tblPr>
            <w:tblGrid>
              <w:gridCol w:w="550"/>
              <w:gridCol w:w="7869"/>
            </w:tblGrid>
            <w:tr w:rsidR="00157A08" w:rsidRPr="00E54420" w14:paraId="2CE4126A" w14:textId="77777777" w:rsidTr="00157A08">
              <w:trPr>
                <w:trHeight w:val="330"/>
              </w:trPr>
              <w:tc>
                <w:tcPr>
                  <w:tcW w:w="550" w:type="dxa"/>
                  <w:tcBorders>
                    <w:top w:val="single" w:sz="4" w:space="0" w:color="auto"/>
                    <w:bottom w:val="single" w:sz="4" w:space="0" w:color="auto"/>
                  </w:tcBorders>
                  <w:shd w:val="clear" w:color="auto" w:fill="auto"/>
                  <w:hideMark/>
                </w:tcPr>
                <w:p w14:paraId="3D04670F" w14:textId="77777777" w:rsidR="00157A08" w:rsidRPr="00E54420" w:rsidRDefault="00157A08" w:rsidP="00157A08">
                  <w:pPr>
                    <w:spacing w:after="0" w:line="240" w:lineRule="auto"/>
                    <w:jc w:val="center"/>
                    <w:rPr>
                      <w:rFonts w:ascii="Book Antiqua" w:hAnsi="Book Antiqua"/>
                      <w:b/>
                      <w:bCs/>
                      <w:color w:val="000000"/>
                      <w:sz w:val="23"/>
                      <w:szCs w:val="23"/>
                      <w:lang w:val="en-ID" w:eastAsia="en-ID"/>
                    </w:rPr>
                  </w:pPr>
                  <w:r w:rsidRPr="00E54420">
                    <w:rPr>
                      <w:rFonts w:ascii="Book Antiqua" w:hAnsi="Book Antiqua"/>
                      <w:b/>
                      <w:bCs/>
                      <w:color w:val="000000"/>
                      <w:sz w:val="23"/>
                      <w:szCs w:val="23"/>
                      <w:lang w:eastAsia="en-ID"/>
                    </w:rPr>
                    <w:t>No</w:t>
                  </w:r>
                </w:p>
              </w:tc>
              <w:tc>
                <w:tcPr>
                  <w:tcW w:w="7869" w:type="dxa"/>
                  <w:tcBorders>
                    <w:top w:val="single" w:sz="4" w:space="0" w:color="auto"/>
                    <w:bottom w:val="single" w:sz="4" w:space="0" w:color="auto"/>
                  </w:tcBorders>
                  <w:shd w:val="clear" w:color="auto" w:fill="auto"/>
                  <w:hideMark/>
                </w:tcPr>
                <w:p w14:paraId="6CF2779F" w14:textId="77777777" w:rsidR="00157A08" w:rsidRPr="00E54420" w:rsidRDefault="00157A08" w:rsidP="00157A08">
                  <w:pPr>
                    <w:spacing w:after="0" w:line="240" w:lineRule="auto"/>
                    <w:jc w:val="center"/>
                    <w:rPr>
                      <w:rFonts w:ascii="Book Antiqua" w:hAnsi="Book Antiqua"/>
                      <w:b/>
                      <w:bCs/>
                      <w:color w:val="000000"/>
                      <w:sz w:val="23"/>
                      <w:szCs w:val="23"/>
                      <w:lang w:val="en-ID" w:eastAsia="en-ID"/>
                    </w:rPr>
                  </w:pPr>
                  <w:r w:rsidRPr="00E54420">
                    <w:rPr>
                      <w:rFonts w:ascii="Book Antiqua" w:hAnsi="Book Antiqua"/>
                      <w:b/>
                      <w:bCs/>
                      <w:color w:val="000000"/>
                      <w:sz w:val="23"/>
                      <w:szCs w:val="23"/>
                      <w:lang w:eastAsia="en-ID"/>
                    </w:rPr>
                    <w:t>Respondents</w:t>
                  </w:r>
                </w:p>
              </w:tc>
            </w:tr>
            <w:tr w:rsidR="00157A08" w:rsidRPr="00E54420" w14:paraId="51E451A4" w14:textId="77777777" w:rsidTr="00157A08">
              <w:trPr>
                <w:trHeight w:val="314"/>
              </w:trPr>
              <w:tc>
                <w:tcPr>
                  <w:tcW w:w="550" w:type="dxa"/>
                  <w:tcBorders>
                    <w:top w:val="single" w:sz="4" w:space="0" w:color="auto"/>
                  </w:tcBorders>
                  <w:shd w:val="clear" w:color="auto" w:fill="auto"/>
                  <w:hideMark/>
                </w:tcPr>
                <w:p w14:paraId="44A32587" w14:textId="77777777" w:rsidR="00157A08" w:rsidRPr="00E54420" w:rsidRDefault="00157A08" w:rsidP="00157A08">
                  <w:pPr>
                    <w:spacing w:after="0" w:line="240" w:lineRule="auto"/>
                    <w:jc w:val="center"/>
                    <w:rPr>
                      <w:rFonts w:ascii="Book Antiqua" w:hAnsi="Book Antiqua"/>
                      <w:color w:val="000000"/>
                      <w:sz w:val="23"/>
                      <w:szCs w:val="23"/>
                      <w:lang w:val="en-ID" w:eastAsia="en-ID"/>
                    </w:rPr>
                  </w:pPr>
                  <w:r w:rsidRPr="00E54420">
                    <w:rPr>
                      <w:rFonts w:ascii="Book Antiqua" w:hAnsi="Book Antiqua"/>
                      <w:color w:val="000000"/>
                      <w:sz w:val="23"/>
                      <w:szCs w:val="23"/>
                      <w:lang w:eastAsia="en-ID"/>
                    </w:rPr>
                    <w:t>1</w:t>
                  </w:r>
                </w:p>
              </w:tc>
              <w:tc>
                <w:tcPr>
                  <w:tcW w:w="7869" w:type="dxa"/>
                  <w:tcBorders>
                    <w:top w:val="single" w:sz="4" w:space="0" w:color="auto"/>
                  </w:tcBorders>
                  <w:shd w:val="clear" w:color="auto" w:fill="auto"/>
                  <w:hideMark/>
                </w:tcPr>
                <w:p w14:paraId="41E38EA6" w14:textId="77777777" w:rsidR="00157A08" w:rsidRPr="00E54420" w:rsidRDefault="00157A08" w:rsidP="00157A08">
                  <w:pPr>
                    <w:spacing w:after="0" w:line="240" w:lineRule="auto"/>
                    <w:rPr>
                      <w:rFonts w:ascii="Book Antiqua" w:hAnsi="Book Antiqua"/>
                      <w:color w:val="000000"/>
                      <w:sz w:val="23"/>
                      <w:szCs w:val="23"/>
                      <w:lang w:val="en-ID" w:eastAsia="en-ID"/>
                    </w:rPr>
                  </w:pPr>
                  <w:r w:rsidRPr="00E54420">
                    <w:rPr>
                      <w:rFonts w:ascii="Book Antiqua" w:hAnsi="Book Antiqua"/>
                      <w:color w:val="000000"/>
                      <w:sz w:val="23"/>
                      <w:szCs w:val="23"/>
                      <w:lang w:eastAsia="en-ID"/>
                    </w:rPr>
                    <w:t>Member of the Executive Board BPKH with more than 20 years of experience</w:t>
                  </w:r>
                </w:p>
              </w:tc>
            </w:tr>
            <w:tr w:rsidR="00157A08" w:rsidRPr="00E54420" w14:paraId="5AB4F860" w14:textId="77777777" w:rsidTr="00157A08">
              <w:trPr>
                <w:trHeight w:val="311"/>
              </w:trPr>
              <w:tc>
                <w:tcPr>
                  <w:tcW w:w="550" w:type="dxa"/>
                  <w:shd w:val="clear" w:color="auto" w:fill="auto"/>
                  <w:hideMark/>
                </w:tcPr>
                <w:p w14:paraId="3F1CEA87" w14:textId="77777777" w:rsidR="00157A08" w:rsidRPr="00E54420" w:rsidRDefault="00157A08" w:rsidP="00157A08">
                  <w:pPr>
                    <w:spacing w:after="0" w:line="240" w:lineRule="auto"/>
                    <w:jc w:val="center"/>
                    <w:rPr>
                      <w:rFonts w:ascii="Book Antiqua" w:hAnsi="Book Antiqua"/>
                      <w:color w:val="000000"/>
                      <w:sz w:val="23"/>
                      <w:szCs w:val="23"/>
                      <w:lang w:val="en-ID" w:eastAsia="en-ID"/>
                    </w:rPr>
                  </w:pPr>
                  <w:r w:rsidRPr="00E54420">
                    <w:rPr>
                      <w:rFonts w:ascii="Book Antiqua" w:hAnsi="Book Antiqua"/>
                      <w:color w:val="000000"/>
                      <w:sz w:val="23"/>
                      <w:szCs w:val="23"/>
                      <w:lang w:eastAsia="en-ID"/>
                    </w:rPr>
                    <w:t>2</w:t>
                  </w:r>
                </w:p>
              </w:tc>
              <w:tc>
                <w:tcPr>
                  <w:tcW w:w="7869" w:type="dxa"/>
                  <w:shd w:val="clear" w:color="auto" w:fill="auto"/>
                  <w:hideMark/>
                </w:tcPr>
                <w:p w14:paraId="535E10BD" w14:textId="77777777" w:rsidR="00157A08" w:rsidRPr="00E54420" w:rsidRDefault="00157A08" w:rsidP="00157A08">
                  <w:pPr>
                    <w:spacing w:after="0" w:line="240" w:lineRule="auto"/>
                    <w:rPr>
                      <w:rFonts w:ascii="Book Antiqua" w:hAnsi="Book Antiqua"/>
                      <w:color w:val="000000"/>
                      <w:sz w:val="23"/>
                      <w:szCs w:val="23"/>
                      <w:lang w:val="en-ID" w:eastAsia="en-ID"/>
                    </w:rPr>
                  </w:pPr>
                  <w:r w:rsidRPr="00E54420">
                    <w:rPr>
                      <w:rFonts w:ascii="Book Antiqua" w:hAnsi="Book Antiqua"/>
                      <w:color w:val="000000"/>
                      <w:sz w:val="23"/>
                      <w:szCs w:val="23"/>
                      <w:lang w:eastAsia="en-ID"/>
                    </w:rPr>
                    <w:t>Deputy of Securities &amp; Gold Investment BPKH with more than 20 years of experience</w:t>
                  </w:r>
                </w:p>
              </w:tc>
            </w:tr>
            <w:tr w:rsidR="00157A08" w:rsidRPr="00E54420" w14:paraId="6914EF18" w14:textId="77777777" w:rsidTr="00157A08">
              <w:trPr>
                <w:trHeight w:val="187"/>
              </w:trPr>
              <w:tc>
                <w:tcPr>
                  <w:tcW w:w="550" w:type="dxa"/>
                  <w:shd w:val="clear" w:color="auto" w:fill="auto"/>
                  <w:hideMark/>
                </w:tcPr>
                <w:p w14:paraId="6BA97348" w14:textId="77777777" w:rsidR="00157A08" w:rsidRPr="00E54420" w:rsidRDefault="00157A08" w:rsidP="00157A08">
                  <w:pPr>
                    <w:spacing w:after="0" w:line="240" w:lineRule="auto"/>
                    <w:jc w:val="center"/>
                    <w:rPr>
                      <w:rFonts w:ascii="Book Antiqua" w:hAnsi="Book Antiqua"/>
                      <w:color w:val="000000"/>
                      <w:sz w:val="23"/>
                      <w:szCs w:val="23"/>
                      <w:lang w:val="en-ID" w:eastAsia="en-ID"/>
                    </w:rPr>
                  </w:pPr>
                  <w:r w:rsidRPr="00E54420">
                    <w:rPr>
                      <w:rFonts w:ascii="Book Antiqua" w:hAnsi="Book Antiqua"/>
                      <w:color w:val="000000"/>
                      <w:sz w:val="23"/>
                      <w:szCs w:val="23"/>
                      <w:lang w:eastAsia="en-ID"/>
                    </w:rPr>
                    <w:t>3</w:t>
                  </w:r>
                </w:p>
              </w:tc>
              <w:tc>
                <w:tcPr>
                  <w:tcW w:w="7869" w:type="dxa"/>
                  <w:shd w:val="clear" w:color="auto" w:fill="auto"/>
                  <w:hideMark/>
                </w:tcPr>
                <w:p w14:paraId="5EB88D63" w14:textId="77777777" w:rsidR="00157A08" w:rsidRPr="00E54420" w:rsidRDefault="00157A08" w:rsidP="00157A08">
                  <w:pPr>
                    <w:spacing w:after="0" w:line="240" w:lineRule="auto"/>
                    <w:rPr>
                      <w:rFonts w:ascii="Book Antiqua" w:hAnsi="Book Antiqua"/>
                      <w:color w:val="000000"/>
                      <w:sz w:val="23"/>
                      <w:szCs w:val="23"/>
                      <w:lang w:val="en-ID" w:eastAsia="en-ID"/>
                    </w:rPr>
                  </w:pPr>
                  <w:r w:rsidRPr="00E54420">
                    <w:rPr>
                      <w:rFonts w:ascii="Book Antiqua" w:hAnsi="Book Antiqua"/>
                      <w:color w:val="000000"/>
                      <w:sz w:val="23"/>
                      <w:szCs w:val="23"/>
                      <w:lang w:eastAsia="en-ID"/>
                    </w:rPr>
                    <w:t>Investment &amp; Bank Placement Committee Member BPKH with more than 20 years of experience</w:t>
                  </w:r>
                </w:p>
              </w:tc>
            </w:tr>
            <w:tr w:rsidR="00157A08" w:rsidRPr="00E54420" w14:paraId="584B08A8" w14:textId="77777777" w:rsidTr="00157A08">
              <w:trPr>
                <w:trHeight w:val="330"/>
              </w:trPr>
              <w:tc>
                <w:tcPr>
                  <w:tcW w:w="550" w:type="dxa"/>
                  <w:shd w:val="clear" w:color="auto" w:fill="auto"/>
                  <w:hideMark/>
                </w:tcPr>
                <w:p w14:paraId="63256DA5" w14:textId="77777777" w:rsidR="00157A08" w:rsidRPr="00E54420" w:rsidRDefault="00157A08" w:rsidP="00157A08">
                  <w:pPr>
                    <w:spacing w:after="0" w:line="240" w:lineRule="auto"/>
                    <w:jc w:val="center"/>
                    <w:rPr>
                      <w:rFonts w:ascii="Book Antiqua" w:hAnsi="Book Antiqua"/>
                      <w:color w:val="000000"/>
                      <w:sz w:val="23"/>
                      <w:szCs w:val="23"/>
                      <w:lang w:val="en-ID" w:eastAsia="en-ID"/>
                    </w:rPr>
                  </w:pPr>
                  <w:r w:rsidRPr="00E54420">
                    <w:rPr>
                      <w:rFonts w:ascii="Book Antiqua" w:hAnsi="Book Antiqua"/>
                      <w:color w:val="000000"/>
                      <w:sz w:val="23"/>
                      <w:szCs w:val="23"/>
                      <w:lang w:eastAsia="en-ID"/>
                    </w:rPr>
                    <w:t>4</w:t>
                  </w:r>
                </w:p>
              </w:tc>
              <w:tc>
                <w:tcPr>
                  <w:tcW w:w="7869" w:type="dxa"/>
                  <w:shd w:val="clear" w:color="auto" w:fill="auto"/>
                  <w:hideMark/>
                </w:tcPr>
                <w:p w14:paraId="2DEC2B6F" w14:textId="77777777" w:rsidR="00157A08" w:rsidRPr="00E54420" w:rsidRDefault="00157A08" w:rsidP="00157A08">
                  <w:pPr>
                    <w:spacing w:after="0" w:line="240" w:lineRule="auto"/>
                    <w:rPr>
                      <w:rFonts w:ascii="Book Antiqua" w:hAnsi="Book Antiqua"/>
                      <w:color w:val="000000"/>
                      <w:sz w:val="23"/>
                      <w:szCs w:val="23"/>
                      <w:lang w:val="en-ID" w:eastAsia="en-ID"/>
                    </w:rPr>
                  </w:pPr>
                  <w:r w:rsidRPr="00E54420">
                    <w:rPr>
                      <w:rFonts w:ascii="Book Antiqua" w:hAnsi="Book Antiqua"/>
                      <w:color w:val="000000"/>
                      <w:sz w:val="23"/>
                      <w:szCs w:val="23"/>
                      <w:lang w:eastAsia="en-ID"/>
                    </w:rPr>
                    <w:t>Head of IBES Division DSN MUI with more than 15 years of experience</w:t>
                  </w:r>
                </w:p>
              </w:tc>
            </w:tr>
            <w:tr w:rsidR="00157A08" w:rsidRPr="00E54420" w14:paraId="69DA3156" w14:textId="77777777" w:rsidTr="00157A08">
              <w:trPr>
                <w:trHeight w:val="73"/>
              </w:trPr>
              <w:tc>
                <w:tcPr>
                  <w:tcW w:w="550" w:type="dxa"/>
                  <w:shd w:val="clear" w:color="auto" w:fill="auto"/>
                  <w:hideMark/>
                </w:tcPr>
                <w:p w14:paraId="5197EBDF" w14:textId="77777777" w:rsidR="00157A08" w:rsidRPr="00E54420" w:rsidRDefault="00157A08" w:rsidP="00157A08">
                  <w:pPr>
                    <w:spacing w:after="0" w:line="240" w:lineRule="auto"/>
                    <w:jc w:val="center"/>
                    <w:rPr>
                      <w:rFonts w:ascii="Book Antiqua" w:hAnsi="Book Antiqua"/>
                      <w:color w:val="000000"/>
                      <w:sz w:val="23"/>
                      <w:szCs w:val="23"/>
                      <w:lang w:val="en-ID" w:eastAsia="en-ID"/>
                    </w:rPr>
                  </w:pPr>
                  <w:r w:rsidRPr="00E54420">
                    <w:rPr>
                      <w:rFonts w:ascii="Book Antiqua" w:hAnsi="Book Antiqua"/>
                      <w:color w:val="000000"/>
                      <w:sz w:val="23"/>
                      <w:szCs w:val="23"/>
                      <w:lang w:eastAsia="en-ID"/>
                    </w:rPr>
                    <w:t>5</w:t>
                  </w:r>
                </w:p>
              </w:tc>
              <w:tc>
                <w:tcPr>
                  <w:tcW w:w="7869" w:type="dxa"/>
                  <w:shd w:val="clear" w:color="auto" w:fill="auto"/>
                  <w:hideMark/>
                </w:tcPr>
                <w:p w14:paraId="4C40B7DB" w14:textId="77777777" w:rsidR="00157A08" w:rsidRPr="00E54420" w:rsidRDefault="00157A08" w:rsidP="00157A08">
                  <w:pPr>
                    <w:spacing w:after="0" w:line="240" w:lineRule="auto"/>
                    <w:rPr>
                      <w:rFonts w:ascii="Book Antiqua" w:hAnsi="Book Antiqua"/>
                      <w:color w:val="000000"/>
                      <w:sz w:val="23"/>
                      <w:szCs w:val="23"/>
                      <w:lang w:val="en-ID" w:eastAsia="en-ID"/>
                    </w:rPr>
                  </w:pPr>
                  <w:r w:rsidRPr="00E54420">
                    <w:rPr>
                      <w:rFonts w:ascii="Book Antiqua" w:hAnsi="Book Antiqua"/>
                      <w:color w:val="000000"/>
                      <w:sz w:val="23"/>
                      <w:szCs w:val="23"/>
                      <w:lang w:eastAsia="en-ID"/>
                    </w:rPr>
                    <w:t>Secretary of DSN MUI Institute with more than 15 years of experience</w:t>
                  </w:r>
                </w:p>
              </w:tc>
            </w:tr>
            <w:tr w:rsidR="00157A08" w:rsidRPr="00E54420" w14:paraId="25076946" w14:textId="77777777" w:rsidTr="00157A08">
              <w:trPr>
                <w:trHeight w:val="330"/>
              </w:trPr>
              <w:tc>
                <w:tcPr>
                  <w:tcW w:w="550" w:type="dxa"/>
                  <w:shd w:val="clear" w:color="auto" w:fill="auto"/>
                  <w:hideMark/>
                </w:tcPr>
                <w:p w14:paraId="72A395D8" w14:textId="77777777" w:rsidR="00157A08" w:rsidRPr="00E54420" w:rsidRDefault="00157A08" w:rsidP="00157A08">
                  <w:pPr>
                    <w:spacing w:after="0" w:line="240" w:lineRule="auto"/>
                    <w:jc w:val="center"/>
                    <w:rPr>
                      <w:rFonts w:ascii="Book Antiqua" w:hAnsi="Book Antiqua"/>
                      <w:color w:val="000000"/>
                      <w:sz w:val="23"/>
                      <w:szCs w:val="23"/>
                      <w:lang w:val="en-ID" w:eastAsia="en-ID"/>
                    </w:rPr>
                  </w:pPr>
                  <w:r w:rsidRPr="00E54420">
                    <w:rPr>
                      <w:rFonts w:ascii="Book Antiqua" w:hAnsi="Book Antiqua"/>
                      <w:color w:val="000000"/>
                      <w:sz w:val="23"/>
                      <w:szCs w:val="23"/>
                      <w:lang w:eastAsia="en-ID"/>
                    </w:rPr>
                    <w:t>6</w:t>
                  </w:r>
                </w:p>
              </w:tc>
              <w:tc>
                <w:tcPr>
                  <w:tcW w:w="7869" w:type="dxa"/>
                  <w:shd w:val="clear" w:color="auto" w:fill="auto"/>
                  <w:hideMark/>
                </w:tcPr>
                <w:p w14:paraId="08B86500" w14:textId="77777777" w:rsidR="00157A08" w:rsidRPr="00E54420" w:rsidRDefault="00157A08" w:rsidP="00157A08">
                  <w:pPr>
                    <w:spacing w:after="0" w:line="240" w:lineRule="auto"/>
                    <w:rPr>
                      <w:rFonts w:ascii="Book Antiqua" w:hAnsi="Book Antiqua"/>
                      <w:color w:val="000000"/>
                      <w:sz w:val="23"/>
                      <w:szCs w:val="23"/>
                      <w:lang w:val="en-ID" w:eastAsia="en-ID"/>
                    </w:rPr>
                  </w:pPr>
                  <w:r w:rsidRPr="00E54420">
                    <w:rPr>
                      <w:rFonts w:ascii="Book Antiqua" w:hAnsi="Book Antiqua"/>
                      <w:color w:val="000000"/>
                      <w:sz w:val="23"/>
                      <w:szCs w:val="23"/>
                      <w:lang w:eastAsia="en-ID"/>
                    </w:rPr>
                    <w:t xml:space="preserve">Head of Division PT </w:t>
                  </w:r>
                  <w:proofErr w:type="spellStart"/>
                  <w:r w:rsidRPr="00E54420">
                    <w:rPr>
                      <w:rFonts w:ascii="Book Antiqua" w:hAnsi="Book Antiqua"/>
                      <w:color w:val="000000"/>
                      <w:sz w:val="23"/>
                      <w:szCs w:val="23"/>
                      <w:lang w:eastAsia="en-ID"/>
                    </w:rPr>
                    <w:t>Pegadaian</w:t>
                  </w:r>
                  <w:proofErr w:type="spellEnd"/>
                  <w:r w:rsidRPr="00E54420">
                    <w:rPr>
                      <w:rFonts w:ascii="Book Antiqua" w:hAnsi="Book Antiqua"/>
                      <w:color w:val="000000"/>
                      <w:sz w:val="23"/>
                      <w:szCs w:val="23"/>
                      <w:lang w:eastAsia="en-ID"/>
                    </w:rPr>
                    <w:t xml:space="preserve"> with more than 20 years of experience</w:t>
                  </w:r>
                </w:p>
              </w:tc>
            </w:tr>
            <w:tr w:rsidR="00157A08" w:rsidRPr="00E54420" w14:paraId="31738EF6" w14:textId="77777777" w:rsidTr="00157A08">
              <w:trPr>
                <w:trHeight w:val="265"/>
              </w:trPr>
              <w:tc>
                <w:tcPr>
                  <w:tcW w:w="550" w:type="dxa"/>
                  <w:shd w:val="clear" w:color="auto" w:fill="auto"/>
                  <w:hideMark/>
                </w:tcPr>
                <w:p w14:paraId="285E65B8" w14:textId="77777777" w:rsidR="00157A08" w:rsidRPr="00E54420" w:rsidRDefault="00157A08" w:rsidP="00157A08">
                  <w:pPr>
                    <w:spacing w:after="0" w:line="240" w:lineRule="auto"/>
                    <w:jc w:val="center"/>
                    <w:rPr>
                      <w:rFonts w:ascii="Book Antiqua" w:hAnsi="Book Antiqua"/>
                      <w:color w:val="000000"/>
                      <w:sz w:val="23"/>
                      <w:szCs w:val="23"/>
                      <w:lang w:val="en-ID" w:eastAsia="en-ID"/>
                    </w:rPr>
                  </w:pPr>
                  <w:r w:rsidRPr="00E54420">
                    <w:rPr>
                      <w:rFonts w:ascii="Book Antiqua" w:hAnsi="Book Antiqua"/>
                      <w:color w:val="000000"/>
                      <w:sz w:val="23"/>
                      <w:szCs w:val="23"/>
                      <w:lang w:eastAsia="en-ID"/>
                    </w:rPr>
                    <w:t>7</w:t>
                  </w:r>
                </w:p>
              </w:tc>
              <w:tc>
                <w:tcPr>
                  <w:tcW w:w="7869" w:type="dxa"/>
                  <w:shd w:val="clear" w:color="auto" w:fill="auto"/>
                  <w:hideMark/>
                </w:tcPr>
                <w:p w14:paraId="4870FBAA" w14:textId="77777777" w:rsidR="00157A08" w:rsidRPr="00E54420" w:rsidRDefault="00157A08" w:rsidP="00157A08">
                  <w:pPr>
                    <w:spacing w:after="0" w:line="240" w:lineRule="auto"/>
                    <w:rPr>
                      <w:rFonts w:ascii="Book Antiqua" w:hAnsi="Book Antiqua"/>
                      <w:color w:val="000000"/>
                      <w:sz w:val="23"/>
                      <w:szCs w:val="23"/>
                      <w:lang w:val="en-ID" w:eastAsia="en-ID"/>
                    </w:rPr>
                  </w:pPr>
                  <w:r w:rsidRPr="00E54420">
                    <w:rPr>
                      <w:rFonts w:ascii="Book Antiqua" w:hAnsi="Book Antiqua"/>
                      <w:color w:val="000000"/>
                      <w:sz w:val="23"/>
                      <w:szCs w:val="23"/>
                      <w:lang w:eastAsia="en-ID"/>
                    </w:rPr>
                    <w:t xml:space="preserve">Head of Division PT </w:t>
                  </w:r>
                  <w:proofErr w:type="spellStart"/>
                  <w:r w:rsidRPr="00E54420">
                    <w:rPr>
                      <w:rFonts w:ascii="Book Antiqua" w:hAnsi="Book Antiqua"/>
                      <w:color w:val="000000"/>
                      <w:sz w:val="23"/>
                      <w:szCs w:val="23"/>
                      <w:lang w:eastAsia="en-ID"/>
                    </w:rPr>
                    <w:t>Pegadaian</w:t>
                  </w:r>
                  <w:proofErr w:type="spellEnd"/>
                  <w:r w:rsidRPr="00E54420">
                    <w:rPr>
                      <w:rFonts w:ascii="Book Antiqua" w:hAnsi="Book Antiqua"/>
                      <w:color w:val="000000"/>
                      <w:sz w:val="23"/>
                      <w:szCs w:val="23"/>
                      <w:lang w:eastAsia="en-ID"/>
                    </w:rPr>
                    <w:t xml:space="preserve"> </w:t>
                  </w:r>
                  <w:proofErr w:type="spellStart"/>
                  <w:r w:rsidRPr="00E54420">
                    <w:rPr>
                      <w:rFonts w:ascii="Book Antiqua" w:hAnsi="Book Antiqua"/>
                      <w:color w:val="000000"/>
                      <w:sz w:val="23"/>
                      <w:szCs w:val="23"/>
                      <w:lang w:eastAsia="en-ID"/>
                    </w:rPr>
                    <w:t>Galeri</w:t>
                  </w:r>
                  <w:proofErr w:type="spellEnd"/>
                  <w:r w:rsidRPr="00E54420">
                    <w:rPr>
                      <w:rFonts w:ascii="Book Antiqua" w:hAnsi="Book Antiqua"/>
                      <w:color w:val="000000"/>
                      <w:sz w:val="23"/>
                      <w:szCs w:val="23"/>
                      <w:lang w:eastAsia="en-ID"/>
                    </w:rPr>
                    <w:t xml:space="preserve"> 24 with more than 15 years of experience</w:t>
                  </w:r>
                </w:p>
              </w:tc>
            </w:tr>
            <w:tr w:rsidR="00157A08" w:rsidRPr="00E54420" w14:paraId="7BC1020B" w14:textId="77777777" w:rsidTr="00157A08">
              <w:trPr>
                <w:trHeight w:val="242"/>
              </w:trPr>
              <w:tc>
                <w:tcPr>
                  <w:tcW w:w="550" w:type="dxa"/>
                  <w:shd w:val="clear" w:color="auto" w:fill="auto"/>
                  <w:hideMark/>
                </w:tcPr>
                <w:p w14:paraId="394043EA" w14:textId="77777777" w:rsidR="00157A08" w:rsidRPr="00E54420" w:rsidRDefault="00157A08" w:rsidP="00157A08">
                  <w:pPr>
                    <w:spacing w:after="0" w:line="240" w:lineRule="auto"/>
                    <w:jc w:val="center"/>
                    <w:rPr>
                      <w:rFonts w:ascii="Book Antiqua" w:hAnsi="Book Antiqua"/>
                      <w:color w:val="000000"/>
                      <w:sz w:val="23"/>
                      <w:szCs w:val="23"/>
                      <w:lang w:val="en-ID" w:eastAsia="en-ID"/>
                    </w:rPr>
                  </w:pPr>
                  <w:r w:rsidRPr="00E54420">
                    <w:rPr>
                      <w:rFonts w:ascii="Book Antiqua" w:hAnsi="Book Antiqua"/>
                      <w:color w:val="000000"/>
                      <w:sz w:val="23"/>
                      <w:szCs w:val="23"/>
                      <w:lang w:eastAsia="en-ID"/>
                    </w:rPr>
                    <w:t>8</w:t>
                  </w:r>
                </w:p>
              </w:tc>
              <w:tc>
                <w:tcPr>
                  <w:tcW w:w="7869" w:type="dxa"/>
                  <w:shd w:val="clear" w:color="auto" w:fill="auto"/>
                  <w:hideMark/>
                </w:tcPr>
                <w:p w14:paraId="717A4BF6" w14:textId="77777777" w:rsidR="00157A08" w:rsidRPr="00E54420" w:rsidRDefault="00157A08" w:rsidP="00157A08">
                  <w:pPr>
                    <w:spacing w:after="0" w:line="240" w:lineRule="auto"/>
                    <w:jc w:val="left"/>
                    <w:rPr>
                      <w:rFonts w:ascii="Book Antiqua" w:hAnsi="Book Antiqua"/>
                      <w:color w:val="000000"/>
                      <w:sz w:val="23"/>
                      <w:szCs w:val="23"/>
                      <w:lang w:eastAsia="en-ID"/>
                    </w:rPr>
                  </w:pPr>
                  <w:r w:rsidRPr="00E54420">
                    <w:rPr>
                      <w:rFonts w:ascii="Book Antiqua" w:hAnsi="Book Antiqua"/>
                      <w:color w:val="000000"/>
                      <w:sz w:val="23"/>
                      <w:szCs w:val="23"/>
                      <w:lang w:eastAsia="en-ID"/>
                    </w:rPr>
                    <w:t xml:space="preserve">Lecturer of Universitas Esa </w:t>
                  </w:r>
                  <w:proofErr w:type="spellStart"/>
                  <w:r w:rsidRPr="00E54420">
                    <w:rPr>
                      <w:rFonts w:ascii="Book Antiqua" w:hAnsi="Book Antiqua"/>
                      <w:color w:val="000000"/>
                      <w:sz w:val="23"/>
                      <w:szCs w:val="23"/>
                      <w:lang w:eastAsia="en-ID"/>
                    </w:rPr>
                    <w:t>Unggul</w:t>
                  </w:r>
                  <w:proofErr w:type="spellEnd"/>
                  <w:r w:rsidRPr="00E54420">
                    <w:rPr>
                      <w:rFonts w:ascii="Book Antiqua" w:hAnsi="Book Antiqua"/>
                      <w:color w:val="000000"/>
                      <w:sz w:val="23"/>
                      <w:szCs w:val="23"/>
                      <w:lang w:eastAsia="en-ID"/>
                    </w:rPr>
                    <w:t xml:space="preserve"> with more than 25 years of experience</w:t>
                  </w:r>
                </w:p>
              </w:tc>
            </w:tr>
            <w:tr w:rsidR="00157A08" w:rsidRPr="00E54420" w14:paraId="625D3C6F" w14:textId="77777777" w:rsidTr="00157A08">
              <w:trPr>
                <w:trHeight w:val="282"/>
              </w:trPr>
              <w:tc>
                <w:tcPr>
                  <w:tcW w:w="550" w:type="dxa"/>
                  <w:shd w:val="clear" w:color="auto" w:fill="auto"/>
                  <w:hideMark/>
                </w:tcPr>
                <w:p w14:paraId="36784C91" w14:textId="77777777" w:rsidR="00157A08" w:rsidRPr="00E54420" w:rsidRDefault="00157A08" w:rsidP="00157A08">
                  <w:pPr>
                    <w:spacing w:after="0" w:line="240" w:lineRule="auto"/>
                    <w:jc w:val="center"/>
                    <w:rPr>
                      <w:rFonts w:ascii="Book Antiqua" w:hAnsi="Book Antiqua"/>
                      <w:color w:val="000000"/>
                      <w:sz w:val="23"/>
                      <w:szCs w:val="23"/>
                      <w:lang w:val="en-ID" w:eastAsia="en-ID"/>
                    </w:rPr>
                  </w:pPr>
                  <w:r w:rsidRPr="00E54420">
                    <w:rPr>
                      <w:rFonts w:ascii="Book Antiqua" w:hAnsi="Book Antiqua"/>
                      <w:color w:val="000000"/>
                      <w:sz w:val="23"/>
                      <w:szCs w:val="23"/>
                      <w:lang w:eastAsia="en-ID"/>
                    </w:rPr>
                    <w:t>9</w:t>
                  </w:r>
                </w:p>
              </w:tc>
              <w:tc>
                <w:tcPr>
                  <w:tcW w:w="7869" w:type="dxa"/>
                  <w:shd w:val="clear" w:color="auto" w:fill="auto"/>
                  <w:hideMark/>
                </w:tcPr>
                <w:p w14:paraId="401E3828" w14:textId="77777777" w:rsidR="00157A08" w:rsidRPr="00E54420" w:rsidRDefault="00157A08" w:rsidP="00157A08">
                  <w:pPr>
                    <w:spacing w:after="0" w:line="240" w:lineRule="auto"/>
                    <w:rPr>
                      <w:rFonts w:ascii="Book Antiqua" w:hAnsi="Book Antiqua"/>
                      <w:color w:val="000000"/>
                      <w:sz w:val="23"/>
                      <w:szCs w:val="23"/>
                      <w:lang w:val="en-ID" w:eastAsia="en-ID"/>
                    </w:rPr>
                  </w:pPr>
                  <w:r w:rsidRPr="00E54420">
                    <w:rPr>
                      <w:rFonts w:ascii="Book Antiqua" w:hAnsi="Book Antiqua"/>
                      <w:color w:val="000000"/>
                      <w:sz w:val="23"/>
                      <w:szCs w:val="23"/>
                      <w:lang w:eastAsia="en-ID"/>
                    </w:rPr>
                    <w:t xml:space="preserve">Risk and Compliance Manager of PT </w:t>
                  </w:r>
                  <w:proofErr w:type="spellStart"/>
                  <w:r w:rsidRPr="00E54420">
                    <w:rPr>
                      <w:rFonts w:ascii="Book Antiqua" w:hAnsi="Book Antiqua"/>
                      <w:color w:val="000000"/>
                      <w:sz w:val="23"/>
                      <w:szCs w:val="23"/>
                      <w:lang w:eastAsia="en-ID"/>
                    </w:rPr>
                    <w:t>Gemilang</w:t>
                  </w:r>
                  <w:proofErr w:type="spellEnd"/>
                  <w:r w:rsidRPr="00E54420">
                    <w:rPr>
                      <w:rFonts w:ascii="Book Antiqua" w:hAnsi="Book Antiqua"/>
                      <w:color w:val="000000"/>
                      <w:sz w:val="23"/>
                      <w:szCs w:val="23"/>
                      <w:lang w:eastAsia="en-ID"/>
                    </w:rPr>
                    <w:t xml:space="preserve"> </w:t>
                  </w:r>
                  <w:proofErr w:type="spellStart"/>
                  <w:r w:rsidRPr="00E54420">
                    <w:rPr>
                      <w:rFonts w:ascii="Book Antiqua" w:hAnsi="Book Antiqua"/>
                      <w:color w:val="000000"/>
                      <w:sz w:val="23"/>
                      <w:szCs w:val="23"/>
                      <w:lang w:eastAsia="en-ID"/>
                    </w:rPr>
                    <w:t>Hartadinata</w:t>
                  </w:r>
                  <w:proofErr w:type="spellEnd"/>
                  <w:r w:rsidRPr="00E54420">
                    <w:rPr>
                      <w:rFonts w:ascii="Book Antiqua" w:hAnsi="Book Antiqua"/>
                      <w:color w:val="000000"/>
                      <w:sz w:val="23"/>
                      <w:szCs w:val="23"/>
                      <w:lang w:eastAsia="en-ID"/>
                    </w:rPr>
                    <w:t xml:space="preserve"> Abadi with more than 10 years of experience</w:t>
                  </w:r>
                </w:p>
              </w:tc>
            </w:tr>
            <w:tr w:rsidR="00157A08" w:rsidRPr="00E54420" w14:paraId="7514D619" w14:textId="77777777" w:rsidTr="00157A08">
              <w:trPr>
                <w:trHeight w:val="330"/>
              </w:trPr>
              <w:tc>
                <w:tcPr>
                  <w:tcW w:w="550" w:type="dxa"/>
                  <w:shd w:val="clear" w:color="auto" w:fill="auto"/>
                  <w:hideMark/>
                </w:tcPr>
                <w:p w14:paraId="2DE4495D" w14:textId="77777777" w:rsidR="00157A08" w:rsidRPr="00E54420" w:rsidRDefault="00157A08" w:rsidP="00157A08">
                  <w:pPr>
                    <w:spacing w:after="0" w:line="240" w:lineRule="auto"/>
                    <w:jc w:val="center"/>
                    <w:rPr>
                      <w:rFonts w:ascii="Book Antiqua" w:hAnsi="Book Antiqua"/>
                      <w:color w:val="000000"/>
                      <w:sz w:val="23"/>
                      <w:szCs w:val="23"/>
                      <w:lang w:val="en-ID" w:eastAsia="en-ID"/>
                    </w:rPr>
                  </w:pPr>
                  <w:r w:rsidRPr="00E54420">
                    <w:rPr>
                      <w:rFonts w:ascii="Book Antiqua" w:hAnsi="Book Antiqua"/>
                      <w:color w:val="000000"/>
                      <w:sz w:val="23"/>
                      <w:szCs w:val="23"/>
                      <w:lang w:eastAsia="en-ID"/>
                    </w:rPr>
                    <w:t>10</w:t>
                  </w:r>
                </w:p>
              </w:tc>
              <w:tc>
                <w:tcPr>
                  <w:tcW w:w="7869" w:type="dxa"/>
                  <w:shd w:val="clear" w:color="auto" w:fill="auto"/>
                  <w:hideMark/>
                </w:tcPr>
                <w:p w14:paraId="29DF42DD" w14:textId="77777777" w:rsidR="00157A08" w:rsidRPr="00E54420" w:rsidRDefault="00157A08" w:rsidP="00157A08">
                  <w:pPr>
                    <w:spacing w:after="0" w:line="240" w:lineRule="auto"/>
                    <w:rPr>
                      <w:rFonts w:ascii="Book Antiqua" w:hAnsi="Book Antiqua"/>
                      <w:color w:val="000000"/>
                      <w:sz w:val="23"/>
                      <w:szCs w:val="23"/>
                      <w:lang w:val="en-ID" w:eastAsia="en-ID"/>
                    </w:rPr>
                  </w:pPr>
                  <w:r w:rsidRPr="00E54420">
                    <w:rPr>
                      <w:rFonts w:ascii="Book Antiqua" w:hAnsi="Book Antiqua"/>
                      <w:color w:val="000000"/>
                      <w:sz w:val="23"/>
                      <w:szCs w:val="23"/>
                      <w:lang w:eastAsia="en-ID"/>
                    </w:rPr>
                    <w:t xml:space="preserve">Co-Founder </w:t>
                  </w:r>
                  <w:proofErr w:type="spellStart"/>
                  <w:r w:rsidRPr="00E54420">
                    <w:rPr>
                      <w:rFonts w:ascii="Book Antiqua" w:hAnsi="Book Antiqua"/>
                      <w:color w:val="000000"/>
                      <w:sz w:val="23"/>
                      <w:szCs w:val="23"/>
                      <w:lang w:eastAsia="en-ID"/>
                    </w:rPr>
                    <w:t>PasaRDana</w:t>
                  </w:r>
                  <w:proofErr w:type="spellEnd"/>
                  <w:r w:rsidRPr="00E54420">
                    <w:rPr>
                      <w:rFonts w:ascii="Book Antiqua" w:hAnsi="Book Antiqua"/>
                      <w:color w:val="000000"/>
                      <w:sz w:val="23"/>
                      <w:szCs w:val="23"/>
                      <w:lang w:eastAsia="en-ID"/>
                    </w:rPr>
                    <w:t xml:space="preserve"> with more than 15 years of experience</w:t>
                  </w:r>
                </w:p>
              </w:tc>
            </w:tr>
          </w:tbl>
          <w:p w14:paraId="1E22635C" w14:textId="77777777" w:rsidR="00DB387A" w:rsidRPr="00427373" w:rsidRDefault="00DB387A" w:rsidP="00427373">
            <w:pPr>
              <w:spacing w:after="120" w:line="240" w:lineRule="auto"/>
              <w:rPr>
                <w:rFonts w:ascii="Book Antiqua" w:hAnsi="Book Antiqua"/>
                <w:b/>
                <w:bCs/>
                <w:sz w:val="24"/>
                <w:szCs w:val="24"/>
              </w:rPr>
            </w:pPr>
          </w:p>
          <w:p w14:paraId="19E7F39B" w14:textId="6CEB03D4" w:rsidR="00157A08" w:rsidRPr="00E54420" w:rsidRDefault="00157A08" w:rsidP="00157A08">
            <w:pPr>
              <w:pStyle w:val="ListParagraph"/>
              <w:numPr>
                <w:ilvl w:val="0"/>
                <w:numId w:val="1"/>
              </w:numPr>
              <w:spacing w:after="120" w:line="240" w:lineRule="auto"/>
              <w:ind w:left="360"/>
              <w:rPr>
                <w:rFonts w:ascii="Book Antiqua" w:hAnsi="Book Antiqua"/>
                <w:b/>
                <w:bCs/>
                <w:sz w:val="24"/>
                <w:szCs w:val="24"/>
              </w:rPr>
            </w:pPr>
            <w:r w:rsidRPr="00E54420">
              <w:rPr>
                <w:rFonts w:ascii="Book Antiqua" w:hAnsi="Book Antiqua"/>
                <w:b/>
                <w:bCs/>
                <w:sz w:val="24"/>
                <w:szCs w:val="24"/>
              </w:rPr>
              <w:t>Result &amp; Discussion</w:t>
            </w:r>
          </w:p>
          <w:p w14:paraId="6B0D2FD0" w14:textId="1146B38D" w:rsidR="00855285" w:rsidRDefault="00157A08" w:rsidP="00855285">
            <w:pPr>
              <w:spacing w:after="120" w:line="240" w:lineRule="auto"/>
              <w:ind w:firstLine="360"/>
              <w:rPr>
                <w:rFonts w:ascii="Book Antiqua" w:hAnsi="Book Antiqua"/>
                <w:b/>
                <w:bCs/>
                <w:sz w:val="24"/>
                <w:szCs w:val="24"/>
              </w:rPr>
            </w:pPr>
            <w:r w:rsidRPr="00E54420">
              <w:rPr>
                <w:rFonts w:ascii="Book Antiqua" w:hAnsi="Book Antiqua"/>
                <w:b/>
                <w:bCs/>
                <w:sz w:val="24"/>
                <w:szCs w:val="24"/>
              </w:rPr>
              <w:t>D.1 Classic Test</w:t>
            </w:r>
          </w:p>
          <w:p w14:paraId="1F0BF457" w14:textId="77777777" w:rsidR="00855285" w:rsidRPr="00E54420" w:rsidRDefault="00855285" w:rsidP="00855285">
            <w:pPr>
              <w:spacing w:after="240" w:line="240" w:lineRule="auto"/>
              <w:ind w:left="346"/>
              <w:rPr>
                <w:rFonts w:ascii="Book Antiqua" w:hAnsi="Book Antiqua"/>
                <w:sz w:val="24"/>
                <w:szCs w:val="24"/>
              </w:rPr>
            </w:pPr>
            <w:r w:rsidRPr="00E54420">
              <w:rPr>
                <w:rFonts w:ascii="Book Antiqua" w:hAnsi="Book Antiqua"/>
                <w:sz w:val="24"/>
                <w:szCs w:val="24"/>
              </w:rPr>
              <w:t xml:space="preserve">A classic test has been carried out on the regression model: Influence of international gold price, exchange rate, inflation rate, interest rate, and economic growth rate on the price of </w:t>
            </w:r>
            <w:proofErr w:type="spellStart"/>
            <w:r w:rsidRPr="00E54420">
              <w:rPr>
                <w:rFonts w:ascii="Book Antiqua" w:hAnsi="Book Antiqua"/>
                <w:sz w:val="24"/>
                <w:szCs w:val="24"/>
              </w:rPr>
              <w:t>Pegadaian</w:t>
            </w:r>
            <w:proofErr w:type="spellEnd"/>
            <w:r w:rsidRPr="00E54420">
              <w:rPr>
                <w:rFonts w:ascii="Book Antiqua" w:hAnsi="Book Antiqua"/>
                <w:sz w:val="24"/>
                <w:szCs w:val="24"/>
              </w:rPr>
              <w:t xml:space="preserve"> gold-account.</w:t>
            </w:r>
          </w:p>
          <w:p w14:paraId="28A9674D" w14:textId="77777777" w:rsidR="00855285" w:rsidRPr="00157A08" w:rsidRDefault="00855285" w:rsidP="00427373">
            <w:pPr>
              <w:spacing w:line="240" w:lineRule="auto"/>
              <w:ind w:left="131" w:firstLine="216"/>
              <w:jc w:val="center"/>
              <w:rPr>
                <w:rFonts w:ascii="Book Antiqua" w:hAnsi="Book Antiqua"/>
                <w:b/>
                <w:bCs/>
                <w:sz w:val="24"/>
                <w:szCs w:val="24"/>
              </w:rPr>
            </w:pPr>
            <w:r w:rsidRPr="00157A08">
              <w:rPr>
                <w:rFonts w:ascii="Book Antiqua" w:hAnsi="Book Antiqua"/>
                <w:b/>
                <w:bCs/>
                <w:sz w:val="24"/>
                <w:szCs w:val="24"/>
              </w:rPr>
              <w:t>Tabel 7. The Result of Classic Test</w:t>
            </w:r>
          </w:p>
          <w:tbl>
            <w:tblPr>
              <w:tblStyle w:val="TableGrid"/>
              <w:tblW w:w="6794" w:type="dxa"/>
              <w:tblInd w:w="84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2096"/>
              <w:gridCol w:w="2229"/>
              <w:gridCol w:w="1950"/>
            </w:tblGrid>
            <w:tr w:rsidR="00855285" w:rsidRPr="00E54420" w14:paraId="67FD9C49" w14:textId="77777777" w:rsidTr="007F2E78">
              <w:tc>
                <w:tcPr>
                  <w:tcW w:w="6794" w:type="dxa"/>
                  <w:gridSpan w:val="4"/>
                  <w:tcBorders>
                    <w:top w:val="single" w:sz="4" w:space="0" w:color="auto"/>
                    <w:bottom w:val="single" w:sz="4" w:space="0" w:color="auto"/>
                  </w:tcBorders>
                </w:tcPr>
                <w:p w14:paraId="05ECC992" w14:textId="77777777" w:rsidR="00855285" w:rsidRPr="00E54420" w:rsidRDefault="00855285" w:rsidP="00855285">
                  <w:pPr>
                    <w:pStyle w:val="ListParagraph"/>
                    <w:spacing w:after="0" w:line="240" w:lineRule="auto"/>
                    <w:ind w:left="0"/>
                    <w:jc w:val="center"/>
                    <w:rPr>
                      <w:rFonts w:ascii="Book Antiqua" w:hAnsi="Book Antiqua"/>
                      <w:b/>
                      <w:bCs/>
                      <w:sz w:val="24"/>
                      <w:szCs w:val="24"/>
                      <w:lang w:val="en-US"/>
                    </w:rPr>
                  </w:pPr>
                  <w:r w:rsidRPr="00E54420">
                    <w:rPr>
                      <w:rFonts w:ascii="Book Antiqua" w:hAnsi="Book Antiqua"/>
                      <w:b/>
                      <w:bCs/>
                      <w:sz w:val="24"/>
                      <w:szCs w:val="24"/>
                      <w:lang w:val="en-US"/>
                    </w:rPr>
                    <w:t>Test</w:t>
                  </w:r>
                </w:p>
              </w:tc>
            </w:tr>
            <w:tr w:rsidR="00855285" w:rsidRPr="00E54420" w14:paraId="325FAFBF" w14:textId="77777777" w:rsidTr="007F2E78">
              <w:tc>
                <w:tcPr>
                  <w:tcW w:w="1208" w:type="dxa"/>
                  <w:tcBorders>
                    <w:top w:val="single" w:sz="4" w:space="0" w:color="auto"/>
                    <w:bottom w:val="single" w:sz="4" w:space="0" w:color="auto"/>
                  </w:tcBorders>
                </w:tcPr>
                <w:p w14:paraId="076189D8" w14:textId="77777777" w:rsidR="00855285" w:rsidRPr="00E54420" w:rsidRDefault="00855285" w:rsidP="00855285">
                  <w:pPr>
                    <w:pStyle w:val="ListParagraph"/>
                    <w:spacing w:after="0" w:line="240" w:lineRule="auto"/>
                    <w:ind w:left="0"/>
                    <w:jc w:val="center"/>
                    <w:rPr>
                      <w:rFonts w:ascii="Book Antiqua" w:hAnsi="Book Antiqua"/>
                      <w:b/>
                      <w:bCs/>
                      <w:sz w:val="24"/>
                      <w:szCs w:val="24"/>
                      <w:lang w:val="en-US"/>
                    </w:rPr>
                  </w:pPr>
                  <w:r w:rsidRPr="00E54420">
                    <w:rPr>
                      <w:rFonts w:ascii="Book Antiqua" w:hAnsi="Book Antiqua"/>
                      <w:b/>
                      <w:bCs/>
                      <w:sz w:val="24"/>
                      <w:szCs w:val="24"/>
                    </w:rPr>
                    <w:t>Normalit</w:t>
                  </w:r>
                  <w:r w:rsidRPr="00E54420">
                    <w:rPr>
                      <w:rFonts w:ascii="Book Antiqua" w:hAnsi="Book Antiqua"/>
                      <w:b/>
                      <w:bCs/>
                      <w:sz w:val="24"/>
                      <w:szCs w:val="24"/>
                      <w:lang w:val="en-US"/>
                    </w:rPr>
                    <w:t>y</w:t>
                  </w:r>
                </w:p>
              </w:tc>
              <w:tc>
                <w:tcPr>
                  <w:tcW w:w="1861" w:type="dxa"/>
                  <w:tcBorders>
                    <w:top w:val="single" w:sz="4" w:space="0" w:color="auto"/>
                    <w:bottom w:val="single" w:sz="4" w:space="0" w:color="auto"/>
                  </w:tcBorders>
                </w:tcPr>
                <w:p w14:paraId="43F1D778" w14:textId="77777777" w:rsidR="00855285" w:rsidRPr="00E54420" w:rsidRDefault="00855285" w:rsidP="00855285">
                  <w:pPr>
                    <w:pStyle w:val="ListParagraph"/>
                    <w:spacing w:after="0" w:line="240" w:lineRule="auto"/>
                    <w:ind w:left="0"/>
                    <w:jc w:val="center"/>
                    <w:rPr>
                      <w:rFonts w:ascii="Book Antiqua" w:hAnsi="Book Antiqua"/>
                      <w:b/>
                      <w:bCs/>
                      <w:sz w:val="24"/>
                      <w:szCs w:val="24"/>
                      <w:lang w:val="en-US"/>
                    </w:rPr>
                  </w:pPr>
                  <w:r w:rsidRPr="00E54420">
                    <w:rPr>
                      <w:rFonts w:ascii="Book Antiqua" w:hAnsi="Book Antiqua"/>
                      <w:b/>
                      <w:bCs/>
                      <w:sz w:val="24"/>
                      <w:szCs w:val="24"/>
                    </w:rPr>
                    <w:t>Multi</w:t>
                  </w:r>
                  <w:r w:rsidRPr="00E54420">
                    <w:rPr>
                      <w:rFonts w:ascii="Book Antiqua" w:hAnsi="Book Antiqua"/>
                      <w:b/>
                      <w:bCs/>
                      <w:sz w:val="24"/>
                      <w:szCs w:val="24"/>
                      <w:lang w:val="en-US"/>
                    </w:rPr>
                    <w:t>collinearity</w:t>
                  </w:r>
                </w:p>
              </w:tc>
              <w:tc>
                <w:tcPr>
                  <w:tcW w:w="1992" w:type="dxa"/>
                  <w:tcBorders>
                    <w:top w:val="single" w:sz="4" w:space="0" w:color="auto"/>
                    <w:bottom w:val="single" w:sz="4" w:space="0" w:color="auto"/>
                  </w:tcBorders>
                </w:tcPr>
                <w:p w14:paraId="2FE3F2AF" w14:textId="77777777" w:rsidR="00855285" w:rsidRPr="00E54420" w:rsidRDefault="00855285" w:rsidP="00855285">
                  <w:pPr>
                    <w:pStyle w:val="ListParagraph"/>
                    <w:spacing w:after="0" w:line="240" w:lineRule="auto"/>
                    <w:ind w:left="0"/>
                    <w:jc w:val="center"/>
                    <w:rPr>
                      <w:rFonts w:ascii="Book Antiqua" w:hAnsi="Book Antiqua"/>
                      <w:b/>
                      <w:bCs/>
                      <w:sz w:val="24"/>
                      <w:szCs w:val="24"/>
                      <w:lang w:val="en-US"/>
                    </w:rPr>
                  </w:pPr>
                  <w:r w:rsidRPr="00E54420">
                    <w:rPr>
                      <w:rFonts w:ascii="Book Antiqua" w:hAnsi="Book Antiqua"/>
                      <w:b/>
                      <w:bCs/>
                      <w:sz w:val="24"/>
                      <w:szCs w:val="24"/>
                    </w:rPr>
                    <w:t>Heteros</w:t>
                  </w:r>
                  <w:r w:rsidRPr="00E54420">
                    <w:rPr>
                      <w:rFonts w:ascii="Book Antiqua" w:hAnsi="Book Antiqua"/>
                      <w:b/>
                      <w:bCs/>
                      <w:sz w:val="24"/>
                      <w:szCs w:val="24"/>
                      <w:lang w:val="en-US"/>
                    </w:rPr>
                    <w:t>c</w:t>
                  </w:r>
                  <w:r w:rsidRPr="00E54420">
                    <w:rPr>
                      <w:rFonts w:ascii="Book Antiqua" w:hAnsi="Book Antiqua"/>
                      <w:b/>
                      <w:bCs/>
                      <w:sz w:val="24"/>
                      <w:szCs w:val="24"/>
                    </w:rPr>
                    <w:t>edasti</w:t>
                  </w:r>
                  <w:r w:rsidRPr="00E54420">
                    <w:rPr>
                      <w:rFonts w:ascii="Book Antiqua" w:hAnsi="Book Antiqua"/>
                      <w:b/>
                      <w:bCs/>
                      <w:sz w:val="24"/>
                      <w:szCs w:val="24"/>
                      <w:lang w:val="en-US"/>
                    </w:rPr>
                    <w:t>city</w:t>
                  </w:r>
                </w:p>
              </w:tc>
              <w:tc>
                <w:tcPr>
                  <w:tcW w:w="1733" w:type="dxa"/>
                  <w:tcBorders>
                    <w:top w:val="single" w:sz="4" w:space="0" w:color="auto"/>
                    <w:bottom w:val="single" w:sz="4" w:space="0" w:color="auto"/>
                  </w:tcBorders>
                </w:tcPr>
                <w:p w14:paraId="56E1E01D" w14:textId="77777777" w:rsidR="00855285" w:rsidRPr="00E54420" w:rsidRDefault="00855285" w:rsidP="00855285">
                  <w:pPr>
                    <w:pStyle w:val="ListParagraph"/>
                    <w:spacing w:after="0" w:line="240" w:lineRule="auto"/>
                    <w:ind w:left="0"/>
                    <w:jc w:val="center"/>
                    <w:rPr>
                      <w:rFonts w:ascii="Book Antiqua" w:hAnsi="Book Antiqua"/>
                      <w:b/>
                      <w:bCs/>
                      <w:sz w:val="24"/>
                      <w:szCs w:val="24"/>
                      <w:lang w:val="en-US"/>
                    </w:rPr>
                  </w:pPr>
                  <w:r w:rsidRPr="00E54420">
                    <w:rPr>
                      <w:rFonts w:ascii="Book Antiqua" w:hAnsi="Book Antiqua"/>
                      <w:b/>
                      <w:bCs/>
                      <w:sz w:val="24"/>
                      <w:szCs w:val="24"/>
                    </w:rPr>
                    <w:t>Auto</w:t>
                  </w:r>
                  <w:r w:rsidRPr="00E54420">
                    <w:rPr>
                      <w:rFonts w:ascii="Book Antiqua" w:hAnsi="Book Antiqua"/>
                      <w:b/>
                      <w:bCs/>
                      <w:sz w:val="24"/>
                      <w:szCs w:val="24"/>
                      <w:lang w:val="en-US"/>
                    </w:rPr>
                    <w:t>correlation</w:t>
                  </w:r>
                </w:p>
              </w:tc>
            </w:tr>
            <w:tr w:rsidR="00855285" w:rsidRPr="00E54420" w14:paraId="692B6B34" w14:textId="77777777" w:rsidTr="007F2E78">
              <w:tc>
                <w:tcPr>
                  <w:tcW w:w="1208" w:type="dxa"/>
                  <w:tcBorders>
                    <w:top w:val="single" w:sz="4" w:space="0" w:color="auto"/>
                  </w:tcBorders>
                </w:tcPr>
                <w:p w14:paraId="1BE60BDB" w14:textId="77777777" w:rsidR="00855285" w:rsidRPr="00E54420" w:rsidRDefault="00855285" w:rsidP="00855285">
                  <w:pPr>
                    <w:pStyle w:val="ListParagraph"/>
                    <w:spacing w:after="0" w:line="240" w:lineRule="auto"/>
                    <w:ind w:left="0"/>
                    <w:jc w:val="center"/>
                    <w:rPr>
                      <w:rFonts w:ascii="Book Antiqua" w:hAnsi="Book Antiqua"/>
                      <w:sz w:val="24"/>
                      <w:szCs w:val="24"/>
                    </w:rPr>
                  </w:pPr>
                  <m:oMathPara>
                    <m:oMath>
                      <m:r>
                        <w:rPr>
                          <w:rFonts w:ascii="Cambria Math" w:hAnsi="Cambria Math"/>
                          <w:sz w:val="24"/>
                          <w:szCs w:val="24"/>
                        </w:rPr>
                        <m:t>√</m:t>
                      </m:r>
                    </m:oMath>
                  </m:oMathPara>
                </w:p>
              </w:tc>
              <w:tc>
                <w:tcPr>
                  <w:tcW w:w="1861" w:type="dxa"/>
                  <w:tcBorders>
                    <w:top w:val="single" w:sz="4" w:space="0" w:color="auto"/>
                  </w:tcBorders>
                </w:tcPr>
                <w:p w14:paraId="63617F63" w14:textId="77777777" w:rsidR="00855285" w:rsidRPr="00E54420" w:rsidRDefault="00855285" w:rsidP="00855285">
                  <w:pPr>
                    <w:pStyle w:val="ListParagraph"/>
                    <w:spacing w:after="0" w:line="240" w:lineRule="auto"/>
                    <w:ind w:left="0"/>
                    <w:jc w:val="center"/>
                    <w:rPr>
                      <w:rFonts w:ascii="Book Antiqua" w:hAnsi="Book Antiqua"/>
                      <w:sz w:val="24"/>
                      <w:szCs w:val="24"/>
                    </w:rPr>
                  </w:pPr>
                  <m:oMathPara>
                    <m:oMath>
                      <m:r>
                        <w:rPr>
                          <w:rFonts w:ascii="Cambria Math" w:hAnsi="Cambria Math"/>
                          <w:sz w:val="24"/>
                          <w:szCs w:val="24"/>
                        </w:rPr>
                        <m:t>√</m:t>
                      </m:r>
                    </m:oMath>
                  </m:oMathPara>
                </w:p>
              </w:tc>
              <w:tc>
                <w:tcPr>
                  <w:tcW w:w="1992" w:type="dxa"/>
                  <w:tcBorders>
                    <w:top w:val="single" w:sz="4" w:space="0" w:color="auto"/>
                  </w:tcBorders>
                </w:tcPr>
                <w:p w14:paraId="2E60E6F6" w14:textId="77777777" w:rsidR="00855285" w:rsidRPr="00E54420" w:rsidRDefault="00855285" w:rsidP="00855285">
                  <w:pPr>
                    <w:pStyle w:val="ListParagraph"/>
                    <w:spacing w:after="0" w:line="240" w:lineRule="auto"/>
                    <w:ind w:left="0"/>
                    <w:jc w:val="center"/>
                    <w:rPr>
                      <w:rFonts w:ascii="Book Antiqua" w:hAnsi="Book Antiqua"/>
                      <w:sz w:val="24"/>
                      <w:szCs w:val="24"/>
                    </w:rPr>
                  </w:pPr>
                  <m:oMathPara>
                    <m:oMath>
                      <m:r>
                        <w:rPr>
                          <w:rFonts w:ascii="Cambria Math" w:hAnsi="Cambria Math"/>
                          <w:sz w:val="24"/>
                          <w:szCs w:val="24"/>
                        </w:rPr>
                        <m:t>√</m:t>
                      </m:r>
                    </m:oMath>
                  </m:oMathPara>
                </w:p>
              </w:tc>
              <w:tc>
                <w:tcPr>
                  <w:tcW w:w="1733" w:type="dxa"/>
                  <w:tcBorders>
                    <w:top w:val="single" w:sz="4" w:space="0" w:color="auto"/>
                  </w:tcBorders>
                </w:tcPr>
                <w:p w14:paraId="568937B8" w14:textId="77777777" w:rsidR="00855285" w:rsidRPr="00E54420" w:rsidRDefault="00855285" w:rsidP="00855285">
                  <w:pPr>
                    <w:pStyle w:val="ListParagraph"/>
                    <w:spacing w:after="0" w:line="240" w:lineRule="auto"/>
                    <w:ind w:left="0"/>
                    <w:jc w:val="center"/>
                    <w:rPr>
                      <w:rFonts w:ascii="Book Antiqua" w:hAnsi="Book Antiqua"/>
                      <w:sz w:val="24"/>
                      <w:szCs w:val="24"/>
                    </w:rPr>
                  </w:pPr>
                  <m:oMathPara>
                    <m:oMath>
                      <m:r>
                        <w:rPr>
                          <w:rFonts w:ascii="Cambria Math" w:hAnsi="Cambria Math"/>
                          <w:sz w:val="24"/>
                          <w:szCs w:val="24"/>
                        </w:rPr>
                        <m:t>√</m:t>
                      </m:r>
                    </m:oMath>
                  </m:oMathPara>
                </w:p>
              </w:tc>
            </w:tr>
          </w:tbl>
          <w:p w14:paraId="41BC902B" w14:textId="77777777" w:rsidR="00855285" w:rsidRDefault="00855285" w:rsidP="00855285">
            <w:pPr>
              <w:spacing w:after="0" w:line="240" w:lineRule="auto"/>
              <w:ind w:left="347" w:firstLine="567"/>
              <w:rPr>
                <w:rFonts w:ascii="Book Antiqua" w:eastAsiaTheme="minorEastAsia" w:hAnsi="Book Antiqua"/>
                <w:sz w:val="24"/>
                <w:szCs w:val="24"/>
              </w:rPr>
            </w:pPr>
          </w:p>
          <w:p w14:paraId="4A480D2E" w14:textId="4AAC1778" w:rsidR="00A872D3" w:rsidRPr="00DB387A" w:rsidRDefault="00855285" w:rsidP="00DB387A">
            <w:pPr>
              <w:spacing w:after="240" w:line="240" w:lineRule="auto"/>
              <w:ind w:left="346" w:firstLine="567"/>
              <w:rPr>
                <w:rFonts w:ascii="Book Antiqua" w:eastAsiaTheme="minorEastAsia" w:hAnsi="Book Antiqua"/>
                <w:sz w:val="24"/>
                <w:szCs w:val="24"/>
              </w:rPr>
            </w:pPr>
            <w:r w:rsidRPr="00E54420">
              <w:rPr>
                <w:rFonts w:ascii="Book Antiqua" w:eastAsiaTheme="minorEastAsia" w:hAnsi="Book Antiqua"/>
                <w:sz w:val="24"/>
                <w:szCs w:val="24"/>
              </w:rPr>
              <w:t xml:space="preserve">From the classic test results, it can be concluded that the model of the influence of macroeconomic factors on the price of </w:t>
            </w:r>
            <w:proofErr w:type="spellStart"/>
            <w:r w:rsidRPr="00E54420">
              <w:rPr>
                <w:rFonts w:ascii="Book Antiqua" w:eastAsiaTheme="minorEastAsia" w:hAnsi="Book Antiqua"/>
                <w:sz w:val="24"/>
                <w:szCs w:val="24"/>
              </w:rPr>
              <w:t>Pegadaian</w:t>
            </w:r>
            <w:proofErr w:type="spellEnd"/>
            <w:r w:rsidRPr="00E54420">
              <w:rPr>
                <w:rFonts w:ascii="Book Antiqua" w:eastAsiaTheme="minorEastAsia" w:hAnsi="Book Antiqua"/>
                <w:sz w:val="24"/>
                <w:szCs w:val="24"/>
              </w:rPr>
              <w:t xml:space="preserve"> gold accounts has passed four classical tests, hence it can be used for multiple linear regression tests.</w:t>
            </w:r>
          </w:p>
          <w:p w14:paraId="01547088" w14:textId="77777777" w:rsidR="00427373" w:rsidRDefault="00427373" w:rsidP="00157A08">
            <w:pPr>
              <w:spacing w:after="120" w:line="240" w:lineRule="auto"/>
              <w:ind w:firstLine="360"/>
              <w:rPr>
                <w:rFonts w:ascii="Book Antiqua" w:eastAsiaTheme="minorEastAsia" w:hAnsi="Book Antiqua"/>
                <w:b/>
                <w:bCs/>
                <w:sz w:val="24"/>
                <w:szCs w:val="24"/>
              </w:rPr>
            </w:pPr>
          </w:p>
          <w:p w14:paraId="533AABD9" w14:textId="77777777" w:rsidR="00427373" w:rsidRDefault="00427373" w:rsidP="00157A08">
            <w:pPr>
              <w:spacing w:after="120" w:line="240" w:lineRule="auto"/>
              <w:ind w:firstLine="360"/>
              <w:rPr>
                <w:rFonts w:ascii="Book Antiqua" w:eastAsiaTheme="minorEastAsia" w:hAnsi="Book Antiqua"/>
                <w:b/>
                <w:bCs/>
                <w:sz w:val="24"/>
                <w:szCs w:val="24"/>
              </w:rPr>
            </w:pPr>
          </w:p>
          <w:p w14:paraId="7747D5A2" w14:textId="77777777" w:rsidR="00427373" w:rsidRDefault="00427373" w:rsidP="00157A08">
            <w:pPr>
              <w:spacing w:after="120" w:line="240" w:lineRule="auto"/>
              <w:ind w:firstLine="360"/>
              <w:rPr>
                <w:rFonts w:ascii="Book Antiqua" w:eastAsiaTheme="minorEastAsia" w:hAnsi="Book Antiqua"/>
                <w:b/>
                <w:bCs/>
                <w:sz w:val="24"/>
                <w:szCs w:val="24"/>
              </w:rPr>
            </w:pPr>
          </w:p>
          <w:p w14:paraId="1B326E2E" w14:textId="77777777" w:rsidR="00427373" w:rsidRDefault="00427373" w:rsidP="00157A08">
            <w:pPr>
              <w:spacing w:after="120" w:line="240" w:lineRule="auto"/>
              <w:ind w:firstLine="360"/>
              <w:rPr>
                <w:rFonts w:ascii="Book Antiqua" w:eastAsiaTheme="minorEastAsia" w:hAnsi="Book Antiqua"/>
                <w:b/>
                <w:bCs/>
                <w:sz w:val="24"/>
                <w:szCs w:val="24"/>
              </w:rPr>
            </w:pPr>
          </w:p>
          <w:p w14:paraId="034E2511" w14:textId="77777777" w:rsidR="00427373" w:rsidRDefault="00427373" w:rsidP="00157A08">
            <w:pPr>
              <w:spacing w:after="120" w:line="240" w:lineRule="auto"/>
              <w:ind w:firstLine="360"/>
              <w:rPr>
                <w:rFonts w:ascii="Book Antiqua" w:eastAsiaTheme="minorEastAsia" w:hAnsi="Book Antiqua"/>
                <w:b/>
                <w:bCs/>
                <w:sz w:val="24"/>
                <w:szCs w:val="24"/>
              </w:rPr>
            </w:pPr>
          </w:p>
          <w:p w14:paraId="71D2033C" w14:textId="78B999CC" w:rsidR="00157A08" w:rsidRPr="00E54420" w:rsidRDefault="00157A08" w:rsidP="00157A08">
            <w:pPr>
              <w:spacing w:after="120" w:line="240" w:lineRule="auto"/>
              <w:ind w:firstLine="360"/>
              <w:rPr>
                <w:rFonts w:ascii="Book Antiqua" w:hAnsi="Book Antiqua"/>
                <w:b/>
                <w:bCs/>
                <w:sz w:val="24"/>
                <w:szCs w:val="24"/>
              </w:rPr>
            </w:pPr>
            <w:r w:rsidRPr="00E54420">
              <w:rPr>
                <w:rFonts w:ascii="Book Antiqua" w:eastAsiaTheme="minorEastAsia" w:hAnsi="Book Antiqua"/>
                <w:b/>
                <w:bCs/>
                <w:sz w:val="24"/>
                <w:szCs w:val="24"/>
              </w:rPr>
              <w:lastRenderedPageBreak/>
              <w:t>D.2</w:t>
            </w:r>
            <w:r w:rsidR="00855285">
              <w:rPr>
                <w:rFonts w:ascii="Book Antiqua" w:eastAsiaTheme="minorEastAsia" w:hAnsi="Book Antiqua"/>
                <w:b/>
                <w:bCs/>
                <w:sz w:val="24"/>
                <w:szCs w:val="24"/>
              </w:rPr>
              <w:t xml:space="preserve"> </w:t>
            </w:r>
            <w:r w:rsidRPr="00E54420">
              <w:rPr>
                <w:rFonts w:ascii="Book Antiqua" w:eastAsiaTheme="minorEastAsia" w:hAnsi="Book Antiqua"/>
                <w:b/>
                <w:bCs/>
                <w:sz w:val="24"/>
                <w:szCs w:val="24"/>
              </w:rPr>
              <w:t>Multiple Linear Regression Analysis</w:t>
            </w:r>
          </w:p>
          <w:p w14:paraId="20D2FBAD" w14:textId="77777777" w:rsidR="00157A08" w:rsidRPr="00E54420" w:rsidRDefault="00157A08" w:rsidP="00855285">
            <w:pPr>
              <w:spacing w:after="0" w:line="240" w:lineRule="auto"/>
              <w:ind w:left="347"/>
              <w:rPr>
                <w:rFonts w:ascii="Book Antiqua" w:eastAsiaTheme="minorEastAsia" w:hAnsi="Book Antiqua"/>
                <w:sz w:val="24"/>
                <w:szCs w:val="24"/>
              </w:rPr>
            </w:pPr>
            <w:r w:rsidRPr="00E54420">
              <w:rPr>
                <w:rFonts w:ascii="Book Antiqua" w:eastAsiaTheme="minorEastAsia" w:hAnsi="Book Antiqua"/>
                <w:sz w:val="24"/>
                <w:szCs w:val="24"/>
              </w:rPr>
              <w:t>To answer objective number 1, namely how macroeconomic factors influence gold account price movements, multiple linear regression analysis has been carried out with the following results:</w:t>
            </w:r>
          </w:p>
          <w:p w14:paraId="60F7356B" w14:textId="77777777" w:rsidR="00427373" w:rsidRDefault="00427373" w:rsidP="00427373">
            <w:pPr>
              <w:spacing w:after="0" w:line="240" w:lineRule="auto"/>
              <w:rPr>
                <w:rFonts w:ascii="Book Antiqua" w:eastAsiaTheme="minorEastAsia" w:hAnsi="Book Antiqua"/>
                <w:b/>
                <w:bCs/>
                <w:sz w:val="24"/>
                <w:szCs w:val="24"/>
              </w:rPr>
            </w:pPr>
          </w:p>
          <w:p w14:paraId="041C1AB4" w14:textId="5793ECFB" w:rsidR="00157A08" w:rsidRPr="00855285" w:rsidRDefault="00157A08" w:rsidP="00855285">
            <w:pPr>
              <w:spacing w:after="0" w:line="240" w:lineRule="auto"/>
              <w:ind w:left="131" w:firstLine="720"/>
              <w:jc w:val="center"/>
              <w:rPr>
                <w:rFonts w:ascii="Book Antiqua" w:eastAsiaTheme="minorEastAsia" w:hAnsi="Book Antiqua"/>
                <w:b/>
                <w:bCs/>
                <w:sz w:val="24"/>
                <w:szCs w:val="24"/>
              </w:rPr>
            </w:pPr>
            <w:r w:rsidRPr="00855285">
              <w:rPr>
                <w:rFonts w:ascii="Book Antiqua" w:eastAsiaTheme="minorEastAsia" w:hAnsi="Book Antiqua"/>
                <w:b/>
                <w:bCs/>
                <w:sz w:val="24"/>
                <w:szCs w:val="24"/>
              </w:rPr>
              <w:t>Tabel 8. Descriptive Statistics</w:t>
            </w:r>
          </w:p>
          <w:tbl>
            <w:tblPr>
              <w:tblStyle w:val="GridTable2"/>
              <w:tblW w:w="7571"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1559"/>
              <w:gridCol w:w="1984"/>
              <w:gridCol w:w="1276"/>
            </w:tblGrid>
            <w:tr w:rsidR="00DB387A" w:rsidRPr="00DB387A" w14:paraId="0F1E568E" w14:textId="77777777" w:rsidTr="00DB387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52" w:type="dxa"/>
                  <w:tcBorders>
                    <w:top w:val="single" w:sz="4" w:space="0" w:color="auto"/>
                  </w:tcBorders>
                  <w:noWrap/>
                  <w:vAlign w:val="center"/>
                  <w:hideMark/>
                </w:tcPr>
                <w:p w14:paraId="453929F5" w14:textId="68E11852" w:rsidR="00157A08" w:rsidRPr="00DB387A" w:rsidRDefault="00157A08" w:rsidP="00DB387A">
                  <w:pPr>
                    <w:spacing w:after="0" w:line="240" w:lineRule="auto"/>
                    <w:jc w:val="center"/>
                    <w:rPr>
                      <w:rFonts w:ascii="Book Antiqua" w:eastAsia="Times New Roman" w:hAnsi="Book Antiqua" w:cs="Times New Roman"/>
                      <w:sz w:val="20"/>
                      <w:szCs w:val="20"/>
                      <w:lang w:val="en-ID"/>
                    </w:rPr>
                  </w:pPr>
                </w:p>
              </w:tc>
              <w:tc>
                <w:tcPr>
                  <w:tcW w:w="1559" w:type="dxa"/>
                  <w:tcBorders>
                    <w:top w:val="single" w:sz="4" w:space="0" w:color="auto"/>
                  </w:tcBorders>
                  <w:noWrap/>
                  <w:vAlign w:val="center"/>
                  <w:hideMark/>
                </w:tcPr>
                <w:p w14:paraId="3D0B692E" w14:textId="77777777" w:rsidR="00157A08" w:rsidRPr="00DB387A" w:rsidRDefault="00157A08" w:rsidP="00DB38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DB387A">
                    <w:rPr>
                      <w:rFonts w:ascii="Book Antiqua" w:eastAsia="Times New Roman" w:hAnsi="Book Antiqua" w:cs="Times New Roman"/>
                      <w:sz w:val="20"/>
                      <w:szCs w:val="20"/>
                      <w:lang w:val="en-ID"/>
                    </w:rPr>
                    <w:t>Mean</w:t>
                  </w:r>
                </w:p>
              </w:tc>
              <w:tc>
                <w:tcPr>
                  <w:tcW w:w="1984" w:type="dxa"/>
                  <w:tcBorders>
                    <w:top w:val="single" w:sz="4" w:space="0" w:color="auto"/>
                  </w:tcBorders>
                  <w:noWrap/>
                  <w:vAlign w:val="center"/>
                  <w:hideMark/>
                </w:tcPr>
                <w:p w14:paraId="79CEE6FE" w14:textId="77777777" w:rsidR="00157A08" w:rsidRPr="00DB387A" w:rsidRDefault="00157A08" w:rsidP="00DB38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DB387A">
                    <w:rPr>
                      <w:rFonts w:ascii="Book Antiqua" w:eastAsia="Times New Roman" w:hAnsi="Book Antiqua" w:cs="Times New Roman"/>
                      <w:sz w:val="20"/>
                      <w:szCs w:val="20"/>
                      <w:lang w:val="en-ID"/>
                    </w:rPr>
                    <w:t>Std. Deviation</w:t>
                  </w:r>
                </w:p>
              </w:tc>
              <w:tc>
                <w:tcPr>
                  <w:tcW w:w="1276" w:type="dxa"/>
                  <w:tcBorders>
                    <w:top w:val="single" w:sz="4" w:space="0" w:color="auto"/>
                  </w:tcBorders>
                  <w:noWrap/>
                  <w:vAlign w:val="center"/>
                  <w:hideMark/>
                </w:tcPr>
                <w:p w14:paraId="1180A3F3" w14:textId="77777777" w:rsidR="00157A08" w:rsidRPr="00DB387A" w:rsidRDefault="00157A08" w:rsidP="00DB38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DB387A">
                    <w:rPr>
                      <w:rFonts w:ascii="Book Antiqua" w:eastAsia="Times New Roman" w:hAnsi="Book Antiqua" w:cs="Times New Roman"/>
                      <w:sz w:val="20"/>
                      <w:szCs w:val="20"/>
                      <w:lang w:val="en-ID"/>
                    </w:rPr>
                    <w:t>N</w:t>
                  </w:r>
                </w:p>
              </w:tc>
            </w:tr>
            <w:tr w:rsidR="00DB387A" w:rsidRPr="00DB387A" w14:paraId="08726D70" w14:textId="77777777" w:rsidTr="00DB387A">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752" w:type="dxa"/>
                  <w:vAlign w:val="center"/>
                  <w:hideMark/>
                </w:tcPr>
                <w:p w14:paraId="19EB3EAF" w14:textId="4C4D7EA3" w:rsidR="00157A08" w:rsidRPr="00DB387A" w:rsidRDefault="00DB387A" w:rsidP="00427373">
                  <w:pPr>
                    <w:spacing w:after="0" w:line="240" w:lineRule="auto"/>
                    <w:jc w:val="left"/>
                    <w:rPr>
                      <w:rFonts w:ascii="Book Antiqua" w:eastAsia="Times New Roman" w:hAnsi="Book Antiqua" w:cs="Times New Roman"/>
                      <w:b w:val="0"/>
                      <w:bCs w:val="0"/>
                      <w:sz w:val="20"/>
                      <w:szCs w:val="20"/>
                      <w:lang w:val="en-ID"/>
                    </w:rPr>
                  </w:pPr>
                  <w:r>
                    <w:rPr>
                      <w:rFonts w:ascii="Book Antiqua" w:eastAsia="Times New Roman" w:hAnsi="Book Antiqua" w:cs="Times New Roman"/>
                      <w:b w:val="0"/>
                      <w:bCs w:val="0"/>
                      <w:sz w:val="20"/>
                      <w:szCs w:val="20"/>
                      <w:lang w:val="en-ID"/>
                    </w:rPr>
                    <w:t>Gold account</w:t>
                  </w:r>
                </w:p>
              </w:tc>
              <w:tc>
                <w:tcPr>
                  <w:tcW w:w="1559" w:type="dxa"/>
                  <w:noWrap/>
                  <w:vAlign w:val="center"/>
                  <w:hideMark/>
                </w:tcPr>
                <w:p w14:paraId="70D082C8" w14:textId="77777777" w:rsidR="00157A08" w:rsidRPr="00DB387A" w:rsidRDefault="00157A08" w:rsidP="00DB38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DB387A">
                    <w:rPr>
                      <w:rFonts w:ascii="Book Antiqua" w:eastAsia="Times New Roman" w:hAnsi="Book Antiqua" w:cs="Times New Roman"/>
                      <w:sz w:val="20"/>
                      <w:szCs w:val="20"/>
                      <w:lang w:val="en-ID"/>
                    </w:rPr>
                    <w:t>752522.24</w:t>
                  </w:r>
                </w:p>
              </w:tc>
              <w:tc>
                <w:tcPr>
                  <w:tcW w:w="1984" w:type="dxa"/>
                  <w:noWrap/>
                  <w:vAlign w:val="center"/>
                  <w:hideMark/>
                </w:tcPr>
                <w:p w14:paraId="0A36303D" w14:textId="77777777" w:rsidR="00157A08" w:rsidRPr="00DB387A" w:rsidRDefault="00157A08" w:rsidP="00DB38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DB387A">
                    <w:rPr>
                      <w:rFonts w:ascii="Book Antiqua" w:eastAsia="Times New Roman" w:hAnsi="Book Antiqua" w:cs="Times New Roman"/>
                      <w:sz w:val="20"/>
                      <w:szCs w:val="20"/>
                      <w:lang w:val="en-ID"/>
                    </w:rPr>
                    <w:t>144991.964</w:t>
                  </w:r>
                </w:p>
              </w:tc>
              <w:tc>
                <w:tcPr>
                  <w:tcW w:w="1276" w:type="dxa"/>
                  <w:noWrap/>
                  <w:vAlign w:val="center"/>
                  <w:hideMark/>
                </w:tcPr>
                <w:p w14:paraId="5BE5581E" w14:textId="77777777" w:rsidR="00157A08" w:rsidRPr="00DB387A" w:rsidRDefault="00157A08" w:rsidP="00DB38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DB387A">
                    <w:rPr>
                      <w:rFonts w:ascii="Book Antiqua" w:eastAsia="Times New Roman" w:hAnsi="Book Antiqua" w:cs="Times New Roman"/>
                      <w:sz w:val="20"/>
                      <w:szCs w:val="20"/>
                      <w:lang w:val="en-ID"/>
                    </w:rPr>
                    <w:t>72</w:t>
                  </w:r>
                </w:p>
              </w:tc>
            </w:tr>
            <w:tr w:rsidR="00DB387A" w:rsidRPr="00DB387A" w14:paraId="50EF9925" w14:textId="77777777" w:rsidTr="00DB387A">
              <w:trPr>
                <w:trHeight w:val="320"/>
              </w:trPr>
              <w:tc>
                <w:tcPr>
                  <w:cnfStyle w:val="001000000000" w:firstRow="0" w:lastRow="0" w:firstColumn="1" w:lastColumn="0" w:oddVBand="0" w:evenVBand="0" w:oddHBand="0" w:evenHBand="0" w:firstRowFirstColumn="0" w:firstRowLastColumn="0" w:lastRowFirstColumn="0" w:lastRowLastColumn="0"/>
                  <w:tcW w:w="2752" w:type="dxa"/>
                  <w:noWrap/>
                  <w:vAlign w:val="center"/>
                  <w:hideMark/>
                </w:tcPr>
                <w:p w14:paraId="28DD22CD" w14:textId="329EBE51" w:rsidR="00157A08" w:rsidRPr="00DB387A" w:rsidRDefault="00157A08" w:rsidP="00427373">
                  <w:pPr>
                    <w:spacing w:after="0" w:line="240" w:lineRule="auto"/>
                    <w:jc w:val="left"/>
                    <w:rPr>
                      <w:rFonts w:ascii="Book Antiqua" w:eastAsia="Times New Roman" w:hAnsi="Book Antiqua" w:cs="Times New Roman"/>
                      <w:b w:val="0"/>
                      <w:bCs w:val="0"/>
                      <w:sz w:val="20"/>
                      <w:szCs w:val="20"/>
                      <w:lang w:val="en-ID"/>
                    </w:rPr>
                  </w:pPr>
                  <w:r w:rsidRPr="00DB387A">
                    <w:rPr>
                      <w:rFonts w:ascii="Book Antiqua" w:eastAsia="Times New Roman" w:hAnsi="Book Antiqua" w:cs="Times New Roman"/>
                      <w:b w:val="0"/>
                      <w:bCs w:val="0"/>
                      <w:sz w:val="20"/>
                      <w:szCs w:val="20"/>
                      <w:lang w:val="en-ID"/>
                    </w:rPr>
                    <w:t>I</w:t>
                  </w:r>
                  <w:r w:rsidR="00DB387A">
                    <w:rPr>
                      <w:rFonts w:ascii="Book Antiqua" w:eastAsia="Times New Roman" w:hAnsi="Book Antiqua" w:cs="Times New Roman"/>
                      <w:b w:val="0"/>
                      <w:bCs w:val="0"/>
                      <w:sz w:val="20"/>
                      <w:szCs w:val="20"/>
                      <w:lang w:val="en-ID"/>
                    </w:rPr>
                    <w:t>nflation</w:t>
                  </w:r>
                </w:p>
              </w:tc>
              <w:tc>
                <w:tcPr>
                  <w:tcW w:w="1559" w:type="dxa"/>
                  <w:noWrap/>
                  <w:vAlign w:val="center"/>
                  <w:hideMark/>
                </w:tcPr>
                <w:p w14:paraId="468CE664" w14:textId="77777777" w:rsidR="00157A08" w:rsidRPr="00DB387A" w:rsidRDefault="00157A08" w:rsidP="00DB38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DB387A">
                    <w:rPr>
                      <w:rFonts w:ascii="Book Antiqua" w:eastAsia="Times New Roman" w:hAnsi="Book Antiqua" w:cs="Times New Roman"/>
                      <w:sz w:val="20"/>
                      <w:szCs w:val="20"/>
                      <w:lang w:val="en-ID"/>
                    </w:rPr>
                    <w:t>2.9729</w:t>
                  </w:r>
                </w:p>
              </w:tc>
              <w:tc>
                <w:tcPr>
                  <w:tcW w:w="1984" w:type="dxa"/>
                  <w:noWrap/>
                  <w:vAlign w:val="center"/>
                  <w:hideMark/>
                </w:tcPr>
                <w:p w14:paraId="266F74F4" w14:textId="77777777" w:rsidR="00157A08" w:rsidRPr="00DB387A" w:rsidRDefault="00157A08" w:rsidP="00DB38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DB387A">
                    <w:rPr>
                      <w:rFonts w:ascii="Book Antiqua" w:eastAsia="Times New Roman" w:hAnsi="Book Antiqua" w:cs="Times New Roman"/>
                      <w:sz w:val="20"/>
                      <w:szCs w:val="20"/>
                      <w:lang w:val="en-ID"/>
                    </w:rPr>
                    <w:t>1.12957</w:t>
                  </w:r>
                </w:p>
              </w:tc>
              <w:tc>
                <w:tcPr>
                  <w:tcW w:w="1276" w:type="dxa"/>
                  <w:noWrap/>
                  <w:vAlign w:val="center"/>
                  <w:hideMark/>
                </w:tcPr>
                <w:p w14:paraId="1CE67A54" w14:textId="77777777" w:rsidR="00157A08" w:rsidRPr="00DB387A" w:rsidRDefault="00157A08" w:rsidP="00DB38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DB387A">
                    <w:rPr>
                      <w:rFonts w:ascii="Book Antiqua" w:eastAsia="Times New Roman" w:hAnsi="Book Antiqua" w:cs="Times New Roman"/>
                      <w:sz w:val="20"/>
                      <w:szCs w:val="20"/>
                      <w:lang w:val="en-ID"/>
                    </w:rPr>
                    <w:t>72</w:t>
                  </w:r>
                </w:p>
              </w:tc>
            </w:tr>
            <w:tr w:rsidR="00DB387A" w:rsidRPr="00DB387A" w14:paraId="0733F8B6" w14:textId="77777777" w:rsidTr="00DB387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752" w:type="dxa"/>
                  <w:noWrap/>
                  <w:vAlign w:val="center"/>
                  <w:hideMark/>
                </w:tcPr>
                <w:p w14:paraId="12D2F5DD" w14:textId="459317D6" w:rsidR="00157A08" w:rsidRPr="00DB387A" w:rsidRDefault="00DB387A" w:rsidP="00427373">
                  <w:pPr>
                    <w:spacing w:after="0" w:line="240" w:lineRule="auto"/>
                    <w:jc w:val="left"/>
                    <w:rPr>
                      <w:rFonts w:ascii="Book Antiqua" w:eastAsia="Times New Roman" w:hAnsi="Book Antiqua" w:cs="Times New Roman"/>
                      <w:b w:val="0"/>
                      <w:bCs w:val="0"/>
                      <w:sz w:val="20"/>
                      <w:szCs w:val="20"/>
                      <w:lang w:val="en-ID"/>
                    </w:rPr>
                  </w:pPr>
                  <w:r>
                    <w:rPr>
                      <w:rFonts w:ascii="Book Antiqua" w:eastAsia="Times New Roman" w:hAnsi="Book Antiqua" w:cs="Times New Roman"/>
                      <w:b w:val="0"/>
                      <w:bCs w:val="0"/>
                      <w:sz w:val="20"/>
                      <w:szCs w:val="20"/>
                      <w:lang w:val="en-ID"/>
                    </w:rPr>
                    <w:t>Exchange rate</w:t>
                  </w:r>
                </w:p>
              </w:tc>
              <w:tc>
                <w:tcPr>
                  <w:tcW w:w="1559" w:type="dxa"/>
                  <w:noWrap/>
                  <w:vAlign w:val="center"/>
                  <w:hideMark/>
                </w:tcPr>
                <w:p w14:paraId="422ED575" w14:textId="77777777" w:rsidR="00157A08" w:rsidRPr="00DB387A" w:rsidRDefault="00157A08" w:rsidP="00DB38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DB387A">
                    <w:rPr>
                      <w:rFonts w:ascii="Book Antiqua" w:eastAsia="Times New Roman" w:hAnsi="Book Antiqua" w:cs="Times New Roman"/>
                      <w:sz w:val="20"/>
                      <w:szCs w:val="20"/>
                      <w:lang w:val="en-ID"/>
                    </w:rPr>
                    <w:t>14280.5</w:t>
                  </w:r>
                </w:p>
              </w:tc>
              <w:tc>
                <w:tcPr>
                  <w:tcW w:w="1984" w:type="dxa"/>
                  <w:noWrap/>
                  <w:vAlign w:val="center"/>
                  <w:hideMark/>
                </w:tcPr>
                <w:p w14:paraId="19BFCFDC" w14:textId="77777777" w:rsidR="00157A08" w:rsidRPr="00DB387A" w:rsidRDefault="00157A08" w:rsidP="00DB38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DB387A">
                    <w:rPr>
                      <w:rFonts w:ascii="Book Antiqua" w:eastAsia="Times New Roman" w:hAnsi="Book Antiqua" w:cs="Times New Roman"/>
                      <w:sz w:val="20"/>
                      <w:szCs w:val="20"/>
                      <w:lang w:val="en-ID"/>
                    </w:rPr>
                    <w:t>627.291</w:t>
                  </w:r>
                </w:p>
              </w:tc>
              <w:tc>
                <w:tcPr>
                  <w:tcW w:w="1276" w:type="dxa"/>
                  <w:noWrap/>
                  <w:vAlign w:val="center"/>
                  <w:hideMark/>
                </w:tcPr>
                <w:p w14:paraId="6E95E30A" w14:textId="77777777" w:rsidR="00157A08" w:rsidRPr="00DB387A" w:rsidRDefault="00157A08" w:rsidP="00DB38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DB387A">
                    <w:rPr>
                      <w:rFonts w:ascii="Book Antiqua" w:eastAsia="Times New Roman" w:hAnsi="Book Antiqua" w:cs="Times New Roman"/>
                      <w:sz w:val="20"/>
                      <w:szCs w:val="20"/>
                      <w:lang w:val="en-ID"/>
                    </w:rPr>
                    <w:t>72</w:t>
                  </w:r>
                </w:p>
              </w:tc>
            </w:tr>
            <w:tr w:rsidR="00DB387A" w:rsidRPr="00DB387A" w14:paraId="3BBCDD6F" w14:textId="77777777" w:rsidTr="00DB387A">
              <w:trPr>
                <w:trHeight w:val="320"/>
              </w:trPr>
              <w:tc>
                <w:tcPr>
                  <w:cnfStyle w:val="001000000000" w:firstRow="0" w:lastRow="0" w:firstColumn="1" w:lastColumn="0" w:oddVBand="0" w:evenVBand="0" w:oddHBand="0" w:evenHBand="0" w:firstRowFirstColumn="0" w:firstRowLastColumn="0" w:lastRowFirstColumn="0" w:lastRowLastColumn="0"/>
                  <w:tcW w:w="2752" w:type="dxa"/>
                  <w:noWrap/>
                  <w:vAlign w:val="center"/>
                  <w:hideMark/>
                </w:tcPr>
                <w:p w14:paraId="6FD91E2E" w14:textId="232088D5" w:rsidR="00157A08" w:rsidRPr="00DB387A" w:rsidRDefault="00DB387A" w:rsidP="00427373">
                  <w:pPr>
                    <w:spacing w:after="0" w:line="240" w:lineRule="auto"/>
                    <w:jc w:val="left"/>
                    <w:rPr>
                      <w:rFonts w:ascii="Book Antiqua" w:eastAsia="Times New Roman" w:hAnsi="Book Antiqua" w:cs="Times New Roman"/>
                      <w:b w:val="0"/>
                      <w:bCs w:val="0"/>
                      <w:sz w:val="20"/>
                      <w:szCs w:val="20"/>
                      <w:lang w:val="en-ID"/>
                    </w:rPr>
                  </w:pPr>
                  <w:r>
                    <w:rPr>
                      <w:rFonts w:ascii="Book Antiqua" w:eastAsia="Times New Roman" w:hAnsi="Book Antiqua" w:cs="Times New Roman"/>
                      <w:b w:val="0"/>
                      <w:bCs w:val="0"/>
                      <w:sz w:val="20"/>
                      <w:szCs w:val="20"/>
                      <w:lang w:val="en-ID"/>
                    </w:rPr>
                    <w:t>Interest rate</w:t>
                  </w:r>
                </w:p>
              </w:tc>
              <w:tc>
                <w:tcPr>
                  <w:tcW w:w="1559" w:type="dxa"/>
                  <w:noWrap/>
                  <w:vAlign w:val="center"/>
                  <w:hideMark/>
                </w:tcPr>
                <w:p w14:paraId="7767B029" w14:textId="77777777" w:rsidR="00157A08" w:rsidRPr="00DB387A" w:rsidRDefault="00157A08" w:rsidP="00DB38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DB387A">
                    <w:rPr>
                      <w:rFonts w:ascii="Book Antiqua" w:eastAsia="Times New Roman" w:hAnsi="Book Antiqua" w:cs="Times New Roman"/>
                      <w:sz w:val="20"/>
                      <w:szCs w:val="20"/>
                      <w:lang w:val="en-ID"/>
                    </w:rPr>
                    <w:t>4.5104</w:t>
                  </w:r>
                </w:p>
              </w:tc>
              <w:tc>
                <w:tcPr>
                  <w:tcW w:w="1984" w:type="dxa"/>
                  <w:noWrap/>
                  <w:vAlign w:val="center"/>
                  <w:hideMark/>
                </w:tcPr>
                <w:p w14:paraId="5FDE12FF" w14:textId="77777777" w:rsidR="00157A08" w:rsidRPr="00DB387A" w:rsidRDefault="00157A08" w:rsidP="00DB38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DB387A">
                    <w:rPr>
                      <w:rFonts w:ascii="Book Antiqua" w:eastAsia="Times New Roman" w:hAnsi="Book Antiqua" w:cs="Times New Roman"/>
                      <w:sz w:val="20"/>
                      <w:szCs w:val="20"/>
                      <w:lang w:val="en-ID"/>
                    </w:rPr>
                    <w:t>0.85109</w:t>
                  </w:r>
                </w:p>
              </w:tc>
              <w:tc>
                <w:tcPr>
                  <w:tcW w:w="1276" w:type="dxa"/>
                  <w:noWrap/>
                  <w:vAlign w:val="center"/>
                  <w:hideMark/>
                </w:tcPr>
                <w:p w14:paraId="658BB573" w14:textId="77777777" w:rsidR="00157A08" w:rsidRPr="00DB387A" w:rsidRDefault="00157A08" w:rsidP="00DB38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DB387A">
                    <w:rPr>
                      <w:rFonts w:ascii="Book Antiqua" w:eastAsia="Times New Roman" w:hAnsi="Book Antiqua" w:cs="Times New Roman"/>
                      <w:sz w:val="20"/>
                      <w:szCs w:val="20"/>
                      <w:lang w:val="en-ID"/>
                    </w:rPr>
                    <w:t>72</w:t>
                  </w:r>
                </w:p>
              </w:tc>
            </w:tr>
            <w:tr w:rsidR="00DB387A" w:rsidRPr="00DB387A" w14:paraId="128875C5" w14:textId="77777777" w:rsidTr="00DB387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752" w:type="dxa"/>
                  <w:noWrap/>
                  <w:vAlign w:val="center"/>
                  <w:hideMark/>
                </w:tcPr>
                <w:p w14:paraId="5787D14D" w14:textId="08C250A8" w:rsidR="00157A08" w:rsidRPr="00DB387A" w:rsidRDefault="00DB387A" w:rsidP="00427373">
                  <w:pPr>
                    <w:spacing w:after="0" w:line="240" w:lineRule="auto"/>
                    <w:jc w:val="left"/>
                    <w:rPr>
                      <w:rFonts w:ascii="Book Antiqua" w:eastAsia="Times New Roman" w:hAnsi="Book Antiqua" w:cs="Times New Roman"/>
                      <w:b w:val="0"/>
                      <w:bCs w:val="0"/>
                      <w:sz w:val="20"/>
                      <w:szCs w:val="20"/>
                      <w:lang w:val="en-ID"/>
                    </w:rPr>
                  </w:pPr>
                  <w:r>
                    <w:rPr>
                      <w:rFonts w:ascii="Book Antiqua" w:eastAsia="Times New Roman" w:hAnsi="Book Antiqua" w:cs="Times New Roman"/>
                      <w:b w:val="0"/>
                      <w:bCs w:val="0"/>
                      <w:sz w:val="20"/>
                      <w:szCs w:val="20"/>
                      <w:lang w:val="en-ID"/>
                    </w:rPr>
                    <w:t>Economy growth</w:t>
                  </w:r>
                </w:p>
              </w:tc>
              <w:tc>
                <w:tcPr>
                  <w:tcW w:w="1559" w:type="dxa"/>
                  <w:noWrap/>
                  <w:vAlign w:val="center"/>
                  <w:hideMark/>
                </w:tcPr>
                <w:p w14:paraId="107558FB" w14:textId="77777777" w:rsidR="00157A08" w:rsidRPr="00DB387A" w:rsidRDefault="00157A08" w:rsidP="00DB38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DB387A">
                    <w:rPr>
                      <w:rFonts w:ascii="Book Antiqua" w:eastAsia="Times New Roman" w:hAnsi="Book Antiqua" w:cs="Times New Roman"/>
                      <w:sz w:val="20"/>
                      <w:szCs w:val="20"/>
                      <w:lang w:val="en-ID"/>
                    </w:rPr>
                    <w:t>2.76</w:t>
                  </w:r>
                </w:p>
              </w:tc>
              <w:tc>
                <w:tcPr>
                  <w:tcW w:w="1984" w:type="dxa"/>
                  <w:noWrap/>
                  <w:vAlign w:val="center"/>
                  <w:hideMark/>
                </w:tcPr>
                <w:p w14:paraId="00E35F24" w14:textId="77777777" w:rsidR="00157A08" w:rsidRPr="00DB387A" w:rsidRDefault="00157A08" w:rsidP="00DB38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DB387A">
                    <w:rPr>
                      <w:rFonts w:ascii="Book Antiqua" w:eastAsia="Times New Roman" w:hAnsi="Book Antiqua" w:cs="Times New Roman"/>
                      <w:sz w:val="20"/>
                      <w:szCs w:val="20"/>
                      <w:lang w:val="en-ID"/>
                    </w:rPr>
                    <w:t>3.83865</w:t>
                  </w:r>
                </w:p>
              </w:tc>
              <w:tc>
                <w:tcPr>
                  <w:tcW w:w="1276" w:type="dxa"/>
                  <w:noWrap/>
                  <w:vAlign w:val="center"/>
                  <w:hideMark/>
                </w:tcPr>
                <w:p w14:paraId="2DC5A645" w14:textId="77777777" w:rsidR="00157A08" w:rsidRPr="00DB387A" w:rsidRDefault="00157A08" w:rsidP="00DB38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DB387A">
                    <w:rPr>
                      <w:rFonts w:ascii="Book Antiqua" w:eastAsia="Times New Roman" w:hAnsi="Book Antiqua" w:cs="Times New Roman"/>
                      <w:sz w:val="20"/>
                      <w:szCs w:val="20"/>
                      <w:lang w:val="en-ID"/>
                    </w:rPr>
                    <w:t>72</w:t>
                  </w:r>
                </w:p>
              </w:tc>
            </w:tr>
            <w:tr w:rsidR="00DB387A" w:rsidRPr="00DB387A" w14:paraId="654FA267" w14:textId="77777777" w:rsidTr="00DB387A">
              <w:trPr>
                <w:trHeight w:val="179"/>
              </w:trPr>
              <w:tc>
                <w:tcPr>
                  <w:cnfStyle w:val="001000000000" w:firstRow="0" w:lastRow="0" w:firstColumn="1" w:lastColumn="0" w:oddVBand="0" w:evenVBand="0" w:oddHBand="0" w:evenHBand="0" w:firstRowFirstColumn="0" w:firstRowLastColumn="0" w:lastRowFirstColumn="0" w:lastRowLastColumn="0"/>
                  <w:tcW w:w="2752" w:type="dxa"/>
                  <w:vAlign w:val="center"/>
                  <w:hideMark/>
                </w:tcPr>
                <w:p w14:paraId="181AB73C" w14:textId="64D6C125" w:rsidR="00157A08" w:rsidRPr="00DB387A" w:rsidRDefault="00DB387A" w:rsidP="00427373">
                  <w:pPr>
                    <w:spacing w:after="0" w:line="240" w:lineRule="auto"/>
                    <w:jc w:val="left"/>
                    <w:rPr>
                      <w:rFonts w:ascii="Book Antiqua" w:eastAsia="Times New Roman" w:hAnsi="Book Antiqua" w:cs="Times New Roman"/>
                      <w:b w:val="0"/>
                      <w:bCs w:val="0"/>
                      <w:sz w:val="20"/>
                      <w:szCs w:val="20"/>
                      <w:lang w:val="en-ID"/>
                    </w:rPr>
                  </w:pPr>
                  <w:r>
                    <w:rPr>
                      <w:rFonts w:ascii="Book Antiqua" w:eastAsia="Times New Roman" w:hAnsi="Book Antiqua" w:cs="Times New Roman"/>
                      <w:b w:val="0"/>
                      <w:bCs w:val="0"/>
                      <w:sz w:val="20"/>
                      <w:szCs w:val="20"/>
                      <w:lang w:val="en-ID"/>
                    </w:rPr>
                    <w:t>International gold price</w:t>
                  </w:r>
                </w:p>
              </w:tc>
              <w:tc>
                <w:tcPr>
                  <w:tcW w:w="1559" w:type="dxa"/>
                  <w:noWrap/>
                  <w:vAlign w:val="center"/>
                  <w:hideMark/>
                </w:tcPr>
                <w:p w14:paraId="53F43E84" w14:textId="77777777" w:rsidR="00157A08" w:rsidRPr="00DB387A" w:rsidRDefault="00157A08" w:rsidP="00DB38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DB387A">
                    <w:rPr>
                      <w:rFonts w:ascii="Book Antiqua" w:eastAsia="Times New Roman" w:hAnsi="Book Antiqua" w:cs="Times New Roman"/>
                      <w:sz w:val="20"/>
                      <w:szCs w:val="20"/>
                      <w:lang w:val="en-ID"/>
                    </w:rPr>
                    <w:t>49.7715</w:t>
                  </w:r>
                </w:p>
              </w:tc>
              <w:tc>
                <w:tcPr>
                  <w:tcW w:w="1984" w:type="dxa"/>
                  <w:noWrap/>
                  <w:vAlign w:val="center"/>
                  <w:hideMark/>
                </w:tcPr>
                <w:p w14:paraId="5C0F3B9C" w14:textId="77777777" w:rsidR="00157A08" w:rsidRPr="00DB387A" w:rsidRDefault="00157A08" w:rsidP="00DB38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DB387A">
                    <w:rPr>
                      <w:rFonts w:ascii="Book Antiqua" w:eastAsia="Times New Roman" w:hAnsi="Book Antiqua" w:cs="Times New Roman"/>
                      <w:sz w:val="20"/>
                      <w:szCs w:val="20"/>
                      <w:lang w:val="en-ID"/>
                    </w:rPr>
                    <w:t>8.37948</w:t>
                  </w:r>
                </w:p>
              </w:tc>
              <w:tc>
                <w:tcPr>
                  <w:tcW w:w="1276" w:type="dxa"/>
                  <w:noWrap/>
                  <w:vAlign w:val="center"/>
                  <w:hideMark/>
                </w:tcPr>
                <w:p w14:paraId="4F6EB62C" w14:textId="77777777" w:rsidR="00157A08" w:rsidRPr="00DB387A" w:rsidRDefault="00157A08" w:rsidP="00DB38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DB387A">
                    <w:rPr>
                      <w:rFonts w:ascii="Book Antiqua" w:eastAsia="Times New Roman" w:hAnsi="Book Antiqua" w:cs="Times New Roman"/>
                      <w:sz w:val="20"/>
                      <w:szCs w:val="20"/>
                      <w:lang w:val="en-ID"/>
                    </w:rPr>
                    <w:t>72</w:t>
                  </w:r>
                </w:p>
              </w:tc>
            </w:tr>
          </w:tbl>
          <w:p w14:paraId="451C08E5" w14:textId="77777777" w:rsidR="00DB387A" w:rsidRPr="00DB387A" w:rsidRDefault="00DB387A" w:rsidP="00DB387A">
            <w:pPr>
              <w:spacing w:after="120" w:line="240" w:lineRule="auto"/>
              <w:ind w:right="6"/>
              <w:rPr>
                <w:rFonts w:ascii="Book Antiqua" w:eastAsiaTheme="minorEastAsia" w:hAnsi="Book Antiqua"/>
                <w:sz w:val="24"/>
                <w:szCs w:val="24"/>
              </w:rPr>
            </w:pPr>
          </w:p>
          <w:p w14:paraId="3B164341" w14:textId="1E6EFCC0" w:rsidR="00157A08" w:rsidRPr="00E54420" w:rsidRDefault="00157A08" w:rsidP="00855285">
            <w:pPr>
              <w:pStyle w:val="ListParagraph"/>
              <w:numPr>
                <w:ilvl w:val="1"/>
                <w:numId w:val="20"/>
              </w:numPr>
              <w:spacing w:after="120" w:line="240" w:lineRule="auto"/>
              <w:ind w:left="913" w:right="6" w:hanging="284"/>
              <w:contextualSpacing w:val="0"/>
              <w:jc w:val="both"/>
              <w:rPr>
                <w:rFonts w:ascii="Book Antiqua" w:eastAsiaTheme="minorEastAsia" w:hAnsi="Book Antiqua"/>
                <w:sz w:val="24"/>
                <w:szCs w:val="24"/>
              </w:rPr>
            </w:pPr>
            <w:r w:rsidRPr="00E54420">
              <w:rPr>
                <w:rFonts w:ascii="Book Antiqua" w:eastAsiaTheme="minorEastAsia" w:hAnsi="Book Antiqua"/>
                <w:sz w:val="24"/>
                <w:szCs w:val="24"/>
              </w:rPr>
              <w:t>Descriptive Statistics explains that the sample size is 72, the average Pegadaian gold account is 752522.24 with a standard deviation of 144991.964.</w:t>
            </w:r>
          </w:p>
          <w:p w14:paraId="2C686C0E" w14:textId="71EBD482" w:rsidR="00A872D3" w:rsidRPr="00427373" w:rsidRDefault="00157A08" w:rsidP="00427373">
            <w:pPr>
              <w:pStyle w:val="ListParagraph"/>
              <w:numPr>
                <w:ilvl w:val="1"/>
                <w:numId w:val="20"/>
              </w:numPr>
              <w:spacing w:after="120" w:line="240" w:lineRule="auto"/>
              <w:ind w:left="913" w:right="6" w:hanging="284"/>
              <w:contextualSpacing w:val="0"/>
              <w:jc w:val="both"/>
              <w:rPr>
                <w:rFonts w:ascii="Book Antiqua" w:eastAsiaTheme="minorEastAsia" w:hAnsi="Book Antiqua"/>
                <w:sz w:val="24"/>
                <w:szCs w:val="24"/>
              </w:rPr>
            </w:pPr>
            <w:r w:rsidRPr="00E54420">
              <w:rPr>
                <w:rFonts w:ascii="Book Antiqua" w:eastAsiaTheme="minorEastAsia" w:hAnsi="Book Antiqua"/>
                <w:sz w:val="24"/>
                <w:szCs w:val="24"/>
              </w:rPr>
              <w:t>The independent variable average and standard deviation are in accordance with the information in the table above.</w:t>
            </w:r>
          </w:p>
          <w:p w14:paraId="2F6E80DA" w14:textId="77777777" w:rsidR="00A872D3" w:rsidRDefault="00A872D3" w:rsidP="00855285">
            <w:pPr>
              <w:tabs>
                <w:tab w:val="left" w:pos="1545"/>
              </w:tabs>
              <w:spacing w:after="0" w:line="240" w:lineRule="auto"/>
              <w:ind w:left="347" w:right="4"/>
              <w:jc w:val="center"/>
              <w:rPr>
                <w:rFonts w:ascii="Book Antiqua" w:eastAsiaTheme="minorEastAsia" w:hAnsi="Book Antiqua"/>
                <w:b/>
                <w:bCs/>
                <w:sz w:val="24"/>
                <w:szCs w:val="24"/>
              </w:rPr>
            </w:pPr>
          </w:p>
          <w:p w14:paraId="53AE3765" w14:textId="77777777" w:rsidR="00427373" w:rsidRDefault="00427373" w:rsidP="00AA76D5">
            <w:pPr>
              <w:tabs>
                <w:tab w:val="left" w:pos="1545"/>
              </w:tabs>
              <w:spacing w:after="0" w:line="240" w:lineRule="auto"/>
              <w:ind w:left="347" w:right="4"/>
              <w:jc w:val="center"/>
              <w:rPr>
                <w:rFonts w:ascii="Book Antiqua" w:eastAsiaTheme="minorEastAsia" w:hAnsi="Book Antiqua"/>
                <w:b/>
                <w:bCs/>
                <w:sz w:val="24"/>
                <w:szCs w:val="24"/>
              </w:rPr>
            </w:pPr>
          </w:p>
          <w:p w14:paraId="7917970E" w14:textId="77777777" w:rsidR="00427373" w:rsidRDefault="00427373" w:rsidP="00AA76D5">
            <w:pPr>
              <w:tabs>
                <w:tab w:val="left" w:pos="1545"/>
              </w:tabs>
              <w:spacing w:after="0" w:line="240" w:lineRule="auto"/>
              <w:ind w:left="347" w:right="4"/>
              <w:jc w:val="center"/>
              <w:rPr>
                <w:rFonts w:ascii="Book Antiqua" w:eastAsiaTheme="minorEastAsia" w:hAnsi="Book Antiqua"/>
                <w:b/>
                <w:bCs/>
                <w:sz w:val="24"/>
                <w:szCs w:val="24"/>
              </w:rPr>
            </w:pPr>
          </w:p>
          <w:p w14:paraId="5387156C" w14:textId="77777777" w:rsidR="00427373" w:rsidRDefault="00427373" w:rsidP="00AA76D5">
            <w:pPr>
              <w:tabs>
                <w:tab w:val="left" w:pos="1545"/>
              </w:tabs>
              <w:spacing w:after="0" w:line="240" w:lineRule="auto"/>
              <w:ind w:left="347" w:right="4"/>
              <w:jc w:val="center"/>
              <w:rPr>
                <w:rFonts w:ascii="Book Antiqua" w:eastAsiaTheme="minorEastAsia" w:hAnsi="Book Antiqua"/>
                <w:b/>
                <w:bCs/>
                <w:sz w:val="24"/>
                <w:szCs w:val="24"/>
              </w:rPr>
            </w:pPr>
          </w:p>
          <w:p w14:paraId="413CED26" w14:textId="77777777" w:rsidR="00427373" w:rsidRDefault="00427373" w:rsidP="00AA76D5">
            <w:pPr>
              <w:tabs>
                <w:tab w:val="left" w:pos="1545"/>
              </w:tabs>
              <w:spacing w:after="0" w:line="240" w:lineRule="auto"/>
              <w:ind w:left="347" w:right="4"/>
              <w:jc w:val="center"/>
              <w:rPr>
                <w:rFonts w:ascii="Book Antiqua" w:eastAsiaTheme="minorEastAsia" w:hAnsi="Book Antiqua"/>
                <w:b/>
                <w:bCs/>
                <w:sz w:val="24"/>
                <w:szCs w:val="24"/>
              </w:rPr>
            </w:pPr>
          </w:p>
          <w:p w14:paraId="37A995A1" w14:textId="77777777" w:rsidR="00427373" w:rsidRDefault="00427373" w:rsidP="00AA76D5">
            <w:pPr>
              <w:tabs>
                <w:tab w:val="left" w:pos="1545"/>
              </w:tabs>
              <w:spacing w:after="0" w:line="240" w:lineRule="auto"/>
              <w:ind w:left="347" w:right="4"/>
              <w:jc w:val="center"/>
              <w:rPr>
                <w:rFonts w:ascii="Book Antiqua" w:eastAsiaTheme="minorEastAsia" w:hAnsi="Book Antiqua"/>
                <w:b/>
                <w:bCs/>
                <w:sz w:val="24"/>
                <w:szCs w:val="24"/>
              </w:rPr>
            </w:pPr>
          </w:p>
          <w:p w14:paraId="07F349DF" w14:textId="77777777" w:rsidR="00427373" w:rsidRDefault="00427373" w:rsidP="00AA76D5">
            <w:pPr>
              <w:tabs>
                <w:tab w:val="left" w:pos="1545"/>
              </w:tabs>
              <w:spacing w:after="0" w:line="240" w:lineRule="auto"/>
              <w:ind w:left="347" w:right="4"/>
              <w:jc w:val="center"/>
              <w:rPr>
                <w:rFonts w:ascii="Book Antiqua" w:eastAsiaTheme="minorEastAsia" w:hAnsi="Book Antiqua"/>
                <w:b/>
                <w:bCs/>
                <w:sz w:val="24"/>
                <w:szCs w:val="24"/>
              </w:rPr>
            </w:pPr>
          </w:p>
          <w:p w14:paraId="24D08900" w14:textId="77777777" w:rsidR="00427373" w:rsidRDefault="00427373" w:rsidP="00AA76D5">
            <w:pPr>
              <w:tabs>
                <w:tab w:val="left" w:pos="1545"/>
              </w:tabs>
              <w:spacing w:after="0" w:line="240" w:lineRule="auto"/>
              <w:ind w:left="347" w:right="4"/>
              <w:jc w:val="center"/>
              <w:rPr>
                <w:rFonts w:ascii="Book Antiqua" w:eastAsiaTheme="minorEastAsia" w:hAnsi="Book Antiqua"/>
                <w:b/>
                <w:bCs/>
                <w:sz w:val="24"/>
                <w:szCs w:val="24"/>
              </w:rPr>
            </w:pPr>
          </w:p>
          <w:p w14:paraId="65962D56" w14:textId="77777777" w:rsidR="00427373" w:rsidRDefault="00427373" w:rsidP="00AA76D5">
            <w:pPr>
              <w:tabs>
                <w:tab w:val="left" w:pos="1545"/>
              </w:tabs>
              <w:spacing w:after="0" w:line="240" w:lineRule="auto"/>
              <w:ind w:left="347" w:right="4"/>
              <w:jc w:val="center"/>
              <w:rPr>
                <w:rFonts w:ascii="Book Antiqua" w:eastAsiaTheme="minorEastAsia" w:hAnsi="Book Antiqua"/>
                <w:b/>
                <w:bCs/>
                <w:sz w:val="24"/>
                <w:szCs w:val="24"/>
              </w:rPr>
            </w:pPr>
          </w:p>
          <w:p w14:paraId="7B51ED05" w14:textId="77777777" w:rsidR="00427373" w:rsidRDefault="00427373" w:rsidP="00AA76D5">
            <w:pPr>
              <w:tabs>
                <w:tab w:val="left" w:pos="1545"/>
              </w:tabs>
              <w:spacing w:after="0" w:line="240" w:lineRule="auto"/>
              <w:ind w:left="347" w:right="4"/>
              <w:jc w:val="center"/>
              <w:rPr>
                <w:rFonts w:ascii="Book Antiqua" w:eastAsiaTheme="minorEastAsia" w:hAnsi="Book Antiqua"/>
                <w:b/>
                <w:bCs/>
                <w:sz w:val="24"/>
                <w:szCs w:val="24"/>
              </w:rPr>
            </w:pPr>
          </w:p>
          <w:p w14:paraId="1C7F1F11" w14:textId="77777777" w:rsidR="00427373" w:rsidRDefault="00427373" w:rsidP="00AA76D5">
            <w:pPr>
              <w:tabs>
                <w:tab w:val="left" w:pos="1545"/>
              </w:tabs>
              <w:spacing w:after="0" w:line="240" w:lineRule="auto"/>
              <w:ind w:left="347" w:right="4"/>
              <w:jc w:val="center"/>
              <w:rPr>
                <w:rFonts w:ascii="Book Antiqua" w:eastAsiaTheme="minorEastAsia" w:hAnsi="Book Antiqua"/>
                <w:b/>
                <w:bCs/>
                <w:sz w:val="24"/>
                <w:szCs w:val="24"/>
              </w:rPr>
            </w:pPr>
          </w:p>
          <w:p w14:paraId="0D62F65A" w14:textId="77777777" w:rsidR="00427373" w:rsidRDefault="00427373" w:rsidP="00AA76D5">
            <w:pPr>
              <w:tabs>
                <w:tab w:val="left" w:pos="1545"/>
              </w:tabs>
              <w:spacing w:after="0" w:line="240" w:lineRule="auto"/>
              <w:ind w:left="347" w:right="4"/>
              <w:jc w:val="center"/>
              <w:rPr>
                <w:rFonts w:ascii="Book Antiqua" w:eastAsiaTheme="minorEastAsia" w:hAnsi="Book Antiqua"/>
                <w:b/>
                <w:bCs/>
                <w:sz w:val="24"/>
                <w:szCs w:val="24"/>
              </w:rPr>
            </w:pPr>
          </w:p>
          <w:p w14:paraId="74DC8A93" w14:textId="77777777" w:rsidR="00427373" w:rsidRDefault="00427373" w:rsidP="00AA76D5">
            <w:pPr>
              <w:tabs>
                <w:tab w:val="left" w:pos="1545"/>
              </w:tabs>
              <w:spacing w:after="0" w:line="240" w:lineRule="auto"/>
              <w:ind w:left="347" w:right="4"/>
              <w:jc w:val="center"/>
              <w:rPr>
                <w:rFonts w:ascii="Book Antiqua" w:eastAsiaTheme="minorEastAsia" w:hAnsi="Book Antiqua"/>
                <w:b/>
                <w:bCs/>
                <w:sz w:val="24"/>
                <w:szCs w:val="24"/>
              </w:rPr>
            </w:pPr>
          </w:p>
          <w:p w14:paraId="2FF27383" w14:textId="77777777" w:rsidR="00427373" w:rsidRDefault="00427373" w:rsidP="00AA76D5">
            <w:pPr>
              <w:tabs>
                <w:tab w:val="left" w:pos="1545"/>
              </w:tabs>
              <w:spacing w:after="0" w:line="240" w:lineRule="auto"/>
              <w:ind w:left="347" w:right="4"/>
              <w:jc w:val="center"/>
              <w:rPr>
                <w:rFonts w:ascii="Book Antiqua" w:eastAsiaTheme="minorEastAsia" w:hAnsi="Book Antiqua"/>
                <w:b/>
                <w:bCs/>
                <w:sz w:val="24"/>
                <w:szCs w:val="24"/>
              </w:rPr>
            </w:pPr>
          </w:p>
          <w:p w14:paraId="37897D7D" w14:textId="77777777" w:rsidR="00427373" w:rsidRDefault="00427373" w:rsidP="00AA76D5">
            <w:pPr>
              <w:tabs>
                <w:tab w:val="left" w:pos="1545"/>
              </w:tabs>
              <w:spacing w:after="0" w:line="240" w:lineRule="auto"/>
              <w:ind w:left="347" w:right="4"/>
              <w:jc w:val="center"/>
              <w:rPr>
                <w:rFonts w:ascii="Book Antiqua" w:eastAsiaTheme="minorEastAsia" w:hAnsi="Book Antiqua"/>
                <w:b/>
                <w:bCs/>
                <w:sz w:val="24"/>
                <w:szCs w:val="24"/>
              </w:rPr>
            </w:pPr>
          </w:p>
          <w:p w14:paraId="05BB9C7D" w14:textId="77777777" w:rsidR="00427373" w:rsidRDefault="00427373" w:rsidP="00AA76D5">
            <w:pPr>
              <w:tabs>
                <w:tab w:val="left" w:pos="1545"/>
              </w:tabs>
              <w:spacing w:after="0" w:line="240" w:lineRule="auto"/>
              <w:ind w:left="347" w:right="4"/>
              <w:jc w:val="center"/>
              <w:rPr>
                <w:rFonts w:ascii="Book Antiqua" w:eastAsiaTheme="minorEastAsia" w:hAnsi="Book Antiqua"/>
                <w:b/>
                <w:bCs/>
                <w:sz w:val="24"/>
                <w:szCs w:val="24"/>
              </w:rPr>
            </w:pPr>
          </w:p>
          <w:p w14:paraId="05E30E17" w14:textId="77777777" w:rsidR="00427373" w:rsidRDefault="00427373" w:rsidP="00AA76D5">
            <w:pPr>
              <w:tabs>
                <w:tab w:val="left" w:pos="1545"/>
              </w:tabs>
              <w:spacing w:after="0" w:line="240" w:lineRule="auto"/>
              <w:ind w:left="347" w:right="4"/>
              <w:jc w:val="center"/>
              <w:rPr>
                <w:rFonts w:ascii="Book Antiqua" w:eastAsiaTheme="minorEastAsia" w:hAnsi="Book Antiqua"/>
                <w:b/>
                <w:bCs/>
                <w:sz w:val="24"/>
                <w:szCs w:val="24"/>
              </w:rPr>
            </w:pPr>
          </w:p>
          <w:p w14:paraId="07BCB0B6" w14:textId="77777777" w:rsidR="00427373" w:rsidRDefault="00427373" w:rsidP="00AA76D5">
            <w:pPr>
              <w:tabs>
                <w:tab w:val="left" w:pos="1545"/>
              </w:tabs>
              <w:spacing w:after="0" w:line="240" w:lineRule="auto"/>
              <w:ind w:left="347" w:right="4"/>
              <w:jc w:val="center"/>
              <w:rPr>
                <w:rFonts w:ascii="Book Antiqua" w:eastAsiaTheme="minorEastAsia" w:hAnsi="Book Antiqua"/>
                <w:b/>
                <w:bCs/>
                <w:sz w:val="24"/>
                <w:szCs w:val="24"/>
              </w:rPr>
            </w:pPr>
          </w:p>
          <w:p w14:paraId="17E64734" w14:textId="77777777" w:rsidR="00427373" w:rsidRDefault="00427373" w:rsidP="00AA76D5">
            <w:pPr>
              <w:tabs>
                <w:tab w:val="left" w:pos="1545"/>
              </w:tabs>
              <w:spacing w:after="0" w:line="240" w:lineRule="auto"/>
              <w:ind w:left="347" w:right="4"/>
              <w:jc w:val="center"/>
              <w:rPr>
                <w:rFonts w:ascii="Book Antiqua" w:eastAsiaTheme="minorEastAsia" w:hAnsi="Book Antiqua"/>
                <w:b/>
                <w:bCs/>
                <w:sz w:val="24"/>
                <w:szCs w:val="24"/>
              </w:rPr>
            </w:pPr>
          </w:p>
          <w:p w14:paraId="3FA6BCB6" w14:textId="77777777" w:rsidR="00427373" w:rsidRDefault="00427373" w:rsidP="00AA76D5">
            <w:pPr>
              <w:tabs>
                <w:tab w:val="left" w:pos="1545"/>
              </w:tabs>
              <w:spacing w:after="0" w:line="240" w:lineRule="auto"/>
              <w:ind w:left="347" w:right="4"/>
              <w:jc w:val="center"/>
              <w:rPr>
                <w:rFonts w:ascii="Book Antiqua" w:eastAsiaTheme="minorEastAsia" w:hAnsi="Book Antiqua"/>
                <w:b/>
                <w:bCs/>
                <w:sz w:val="24"/>
                <w:szCs w:val="24"/>
              </w:rPr>
            </w:pPr>
          </w:p>
          <w:p w14:paraId="4442659B" w14:textId="77777777" w:rsidR="00427373" w:rsidRDefault="00427373" w:rsidP="00AA76D5">
            <w:pPr>
              <w:tabs>
                <w:tab w:val="left" w:pos="1545"/>
              </w:tabs>
              <w:spacing w:after="0" w:line="240" w:lineRule="auto"/>
              <w:ind w:left="347" w:right="4"/>
              <w:jc w:val="center"/>
              <w:rPr>
                <w:rFonts w:ascii="Book Antiqua" w:eastAsiaTheme="minorEastAsia" w:hAnsi="Book Antiqua"/>
                <w:b/>
                <w:bCs/>
                <w:sz w:val="24"/>
                <w:szCs w:val="24"/>
              </w:rPr>
            </w:pPr>
          </w:p>
          <w:p w14:paraId="4B6A825F" w14:textId="77777777" w:rsidR="00427373" w:rsidRDefault="00427373" w:rsidP="00AA76D5">
            <w:pPr>
              <w:tabs>
                <w:tab w:val="left" w:pos="1545"/>
              </w:tabs>
              <w:spacing w:after="0" w:line="240" w:lineRule="auto"/>
              <w:ind w:left="347" w:right="4"/>
              <w:jc w:val="center"/>
              <w:rPr>
                <w:rFonts w:ascii="Book Antiqua" w:eastAsiaTheme="minorEastAsia" w:hAnsi="Book Antiqua"/>
                <w:b/>
                <w:bCs/>
                <w:sz w:val="24"/>
                <w:szCs w:val="24"/>
              </w:rPr>
            </w:pPr>
          </w:p>
          <w:p w14:paraId="4F84A1BB" w14:textId="77777777" w:rsidR="00427373" w:rsidRDefault="00427373" w:rsidP="00AA76D5">
            <w:pPr>
              <w:tabs>
                <w:tab w:val="left" w:pos="1545"/>
              </w:tabs>
              <w:spacing w:after="0" w:line="240" w:lineRule="auto"/>
              <w:ind w:left="347" w:right="4"/>
              <w:jc w:val="center"/>
              <w:rPr>
                <w:rFonts w:ascii="Book Antiqua" w:eastAsiaTheme="minorEastAsia" w:hAnsi="Book Antiqua"/>
                <w:b/>
                <w:bCs/>
                <w:sz w:val="24"/>
                <w:szCs w:val="24"/>
              </w:rPr>
            </w:pPr>
          </w:p>
          <w:p w14:paraId="01DAF817" w14:textId="77777777" w:rsidR="00427373" w:rsidRDefault="00427373" w:rsidP="00AA76D5">
            <w:pPr>
              <w:tabs>
                <w:tab w:val="left" w:pos="1545"/>
              </w:tabs>
              <w:spacing w:after="0" w:line="240" w:lineRule="auto"/>
              <w:ind w:left="347" w:right="4"/>
              <w:jc w:val="center"/>
              <w:rPr>
                <w:rFonts w:ascii="Book Antiqua" w:eastAsiaTheme="minorEastAsia" w:hAnsi="Book Antiqua"/>
                <w:b/>
                <w:bCs/>
                <w:sz w:val="24"/>
                <w:szCs w:val="24"/>
              </w:rPr>
            </w:pPr>
          </w:p>
          <w:p w14:paraId="7BA9A4C2" w14:textId="77777777" w:rsidR="00427373" w:rsidRDefault="00427373" w:rsidP="00AA76D5">
            <w:pPr>
              <w:tabs>
                <w:tab w:val="left" w:pos="1545"/>
              </w:tabs>
              <w:spacing w:after="0" w:line="240" w:lineRule="auto"/>
              <w:ind w:left="347" w:right="4"/>
              <w:jc w:val="center"/>
              <w:rPr>
                <w:rFonts w:ascii="Book Antiqua" w:eastAsiaTheme="minorEastAsia" w:hAnsi="Book Antiqua"/>
                <w:b/>
                <w:bCs/>
                <w:sz w:val="24"/>
                <w:szCs w:val="24"/>
              </w:rPr>
            </w:pPr>
          </w:p>
          <w:p w14:paraId="6795733C" w14:textId="77777777" w:rsidR="00427373" w:rsidRDefault="00427373" w:rsidP="00AA76D5">
            <w:pPr>
              <w:tabs>
                <w:tab w:val="left" w:pos="1545"/>
              </w:tabs>
              <w:spacing w:after="0" w:line="240" w:lineRule="auto"/>
              <w:ind w:left="347" w:right="4"/>
              <w:jc w:val="center"/>
              <w:rPr>
                <w:rFonts w:ascii="Book Antiqua" w:eastAsiaTheme="minorEastAsia" w:hAnsi="Book Antiqua"/>
                <w:b/>
                <w:bCs/>
                <w:sz w:val="24"/>
                <w:szCs w:val="24"/>
              </w:rPr>
            </w:pPr>
          </w:p>
          <w:p w14:paraId="27CF3E4B" w14:textId="77777777" w:rsidR="00427373" w:rsidRDefault="00427373" w:rsidP="00AA76D5">
            <w:pPr>
              <w:tabs>
                <w:tab w:val="left" w:pos="1545"/>
              </w:tabs>
              <w:spacing w:after="0" w:line="240" w:lineRule="auto"/>
              <w:ind w:left="347" w:right="4"/>
              <w:jc w:val="center"/>
              <w:rPr>
                <w:rFonts w:ascii="Book Antiqua" w:eastAsiaTheme="minorEastAsia" w:hAnsi="Book Antiqua"/>
                <w:b/>
                <w:bCs/>
                <w:sz w:val="24"/>
                <w:szCs w:val="24"/>
              </w:rPr>
            </w:pPr>
          </w:p>
          <w:p w14:paraId="6EAE058E" w14:textId="6B72A274" w:rsidR="00AA76D5" w:rsidRDefault="00AA76D5" w:rsidP="00AA76D5">
            <w:pPr>
              <w:tabs>
                <w:tab w:val="left" w:pos="1545"/>
              </w:tabs>
              <w:spacing w:after="0" w:line="240" w:lineRule="auto"/>
              <w:ind w:left="347" w:right="4"/>
              <w:jc w:val="center"/>
              <w:rPr>
                <w:rFonts w:ascii="Book Antiqua" w:eastAsiaTheme="minorEastAsia" w:hAnsi="Book Antiqua"/>
                <w:b/>
                <w:bCs/>
                <w:sz w:val="24"/>
                <w:szCs w:val="24"/>
              </w:rPr>
            </w:pPr>
            <w:r w:rsidRPr="00855285">
              <w:rPr>
                <w:rFonts w:ascii="Book Antiqua" w:eastAsiaTheme="minorEastAsia" w:hAnsi="Book Antiqua"/>
                <w:b/>
                <w:bCs/>
                <w:sz w:val="24"/>
                <w:szCs w:val="24"/>
              </w:rPr>
              <w:lastRenderedPageBreak/>
              <w:t>Tabel 9. Correlations between Macroeconomic Factors and the Price of Gold Account</w:t>
            </w:r>
          </w:p>
          <w:p w14:paraId="6E01D21E" w14:textId="77777777" w:rsidR="00427373" w:rsidRDefault="00427373" w:rsidP="00AA76D5">
            <w:pPr>
              <w:tabs>
                <w:tab w:val="left" w:pos="1545"/>
              </w:tabs>
              <w:spacing w:after="0" w:line="240" w:lineRule="auto"/>
              <w:ind w:left="347" w:right="4"/>
              <w:jc w:val="center"/>
              <w:rPr>
                <w:rFonts w:ascii="Book Antiqua" w:eastAsiaTheme="minorEastAsia" w:hAnsi="Book Antiqua"/>
                <w:b/>
                <w:bCs/>
                <w:sz w:val="24"/>
                <w:szCs w:val="24"/>
              </w:rPr>
            </w:pPr>
          </w:p>
          <w:tbl>
            <w:tblPr>
              <w:tblStyle w:val="GridTable2"/>
              <w:tblpPr w:leftFromText="180" w:rightFromText="180" w:vertAnchor="text" w:horzAnchor="margin" w:tblpXSpec="center" w:tblpY="-72"/>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390"/>
              <w:gridCol w:w="956"/>
              <w:gridCol w:w="1011"/>
              <w:gridCol w:w="1198"/>
              <w:gridCol w:w="942"/>
              <w:gridCol w:w="1044"/>
              <w:gridCol w:w="1390"/>
            </w:tblGrid>
            <w:tr w:rsidR="00427373" w:rsidRPr="00427373" w14:paraId="484DAB77" w14:textId="77777777" w:rsidTr="00427373">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239" w:type="dxa"/>
                  <w:tcBorders>
                    <w:top w:val="none" w:sz="0" w:space="0" w:color="auto"/>
                    <w:bottom w:val="none" w:sz="0" w:space="0" w:color="auto"/>
                    <w:right w:val="none" w:sz="0" w:space="0" w:color="auto"/>
                  </w:tcBorders>
                  <w:noWrap/>
                  <w:vAlign w:val="center"/>
                  <w:hideMark/>
                </w:tcPr>
                <w:p w14:paraId="6C29ECE0" w14:textId="77777777" w:rsidR="00427373" w:rsidRPr="00427373" w:rsidRDefault="00427373" w:rsidP="00427373">
                  <w:pPr>
                    <w:spacing w:after="0" w:line="240" w:lineRule="auto"/>
                    <w:jc w:val="center"/>
                    <w:rPr>
                      <w:rFonts w:ascii="Book Antiqua" w:eastAsia="Times New Roman" w:hAnsi="Book Antiqua" w:cs="Times New Roman"/>
                      <w:sz w:val="18"/>
                      <w:szCs w:val="18"/>
                      <w:lang w:val="en-ID"/>
                    </w:rPr>
                  </w:pPr>
                </w:p>
              </w:tc>
              <w:tc>
                <w:tcPr>
                  <w:tcW w:w="1390" w:type="dxa"/>
                  <w:tcBorders>
                    <w:top w:val="none" w:sz="0" w:space="0" w:color="auto"/>
                    <w:left w:val="none" w:sz="0" w:space="0" w:color="auto"/>
                    <w:bottom w:val="none" w:sz="0" w:space="0" w:color="auto"/>
                    <w:right w:val="none" w:sz="0" w:space="0" w:color="auto"/>
                  </w:tcBorders>
                  <w:noWrap/>
                  <w:vAlign w:val="center"/>
                  <w:hideMark/>
                </w:tcPr>
                <w:p w14:paraId="1F714915" w14:textId="77777777" w:rsidR="00427373" w:rsidRPr="00427373" w:rsidRDefault="00427373" w:rsidP="004273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p>
              </w:tc>
              <w:tc>
                <w:tcPr>
                  <w:tcW w:w="956" w:type="dxa"/>
                  <w:tcBorders>
                    <w:top w:val="none" w:sz="0" w:space="0" w:color="auto"/>
                    <w:left w:val="none" w:sz="0" w:space="0" w:color="auto"/>
                    <w:bottom w:val="none" w:sz="0" w:space="0" w:color="auto"/>
                    <w:right w:val="none" w:sz="0" w:space="0" w:color="auto"/>
                  </w:tcBorders>
                  <w:vAlign w:val="center"/>
                  <w:hideMark/>
                </w:tcPr>
                <w:p w14:paraId="580D8045" w14:textId="77777777" w:rsidR="00427373" w:rsidRPr="00427373" w:rsidRDefault="00427373" w:rsidP="004273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Gold Account</w:t>
                  </w:r>
                </w:p>
              </w:tc>
              <w:tc>
                <w:tcPr>
                  <w:tcW w:w="1011" w:type="dxa"/>
                  <w:tcBorders>
                    <w:top w:val="none" w:sz="0" w:space="0" w:color="auto"/>
                    <w:left w:val="none" w:sz="0" w:space="0" w:color="auto"/>
                    <w:bottom w:val="none" w:sz="0" w:space="0" w:color="auto"/>
                    <w:right w:val="none" w:sz="0" w:space="0" w:color="auto"/>
                  </w:tcBorders>
                  <w:noWrap/>
                  <w:vAlign w:val="center"/>
                  <w:hideMark/>
                </w:tcPr>
                <w:p w14:paraId="18FEC883" w14:textId="77777777" w:rsidR="00427373" w:rsidRPr="00427373" w:rsidRDefault="00427373" w:rsidP="004273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Inflation</w:t>
                  </w:r>
                </w:p>
              </w:tc>
              <w:tc>
                <w:tcPr>
                  <w:tcW w:w="1198" w:type="dxa"/>
                  <w:tcBorders>
                    <w:top w:val="none" w:sz="0" w:space="0" w:color="auto"/>
                    <w:left w:val="none" w:sz="0" w:space="0" w:color="auto"/>
                    <w:bottom w:val="none" w:sz="0" w:space="0" w:color="auto"/>
                    <w:right w:val="none" w:sz="0" w:space="0" w:color="auto"/>
                  </w:tcBorders>
                  <w:vAlign w:val="center"/>
                  <w:hideMark/>
                </w:tcPr>
                <w:p w14:paraId="015EFD38" w14:textId="77777777" w:rsidR="00427373" w:rsidRPr="00427373" w:rsidRDefault="00427373" w:rsidP="004273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Exchange rate</w:t>
                  </w:r>
                </w:p>
              </w:tc>
              <w:tc>
                <w:tcPr>
                  <w:tcW w:w="942" w:type="dxa"/>
                  <w:tcBorders>
                    <w:top w:val="none" w:sz="0" w:space="0" w:color="auto"/>
                    <w:left w:val="none" w:sz="0" w:space="0" w:color="auto"/>
                    <w:bottom w:val="none" w:sz="0" w:space="0" w:color="auto"/>
                    <w:right w:val="none" w:sz="0" w:space="0" w:color="auto"/>
                  </w:tcBorders>
                  <w:noWrap/>
                  <w:vAlign w:val="center"/>
                  <w:hideMark/>
                </w:tcPr>
                <w:p w14:paraId="34250697" w14:textId="77777777" w:rsidR="00427373" w:rsidRPr="00427373" w:rsidRDefault="00427373" w:rsidP="004273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Interest rate</w:t>
                  </w:r>
                </w:p>
              </w:tc>
              <w:tc>
                <w:tcPr>
                  <w:tcW w:w="1044" w:type="dxa"/>
                  <w:tcBorders>
                    <w:top w:val="none" w:sz="0" w:space="0" w:color="auto"/>
                    <w:left w:val="none" w:sz="0" w:space="0" w:color="auto"/>
                    <w:bottom w:val="none" w:sz="0" w:space="0" w:color="auto"/>
                    <w:right w:val="none" w:sz="0" w:space="0" w:color="auto"/>
                  </w:tcBorders>
                  <w:vAlign w:val="center"/>
                  <w:hideMark/>
                </w:tcPr>
                <w:p w14:paraId="0B7AA002" w14:textId="77777777" w:rsidR="00427373" w:rsidRPr="00427373" w:rsidRDefault="00427373" w:rsidP="004273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Economy growth</w:t>
                  </w:r>
                </w:p>
              </w:tc>
              <w:tc>
                <w:tcPr>
                  <w:tcW w:w="1390" w:type="dxa"/>
                  <w:tcBorders>
                    <w:top w:val="none" w:sz="0" w:space="0" w:color="auto"/>
                    <w:left w:val="none" w:sz="0" w:space="0" w:color="auto"/>
                    <w:bottom w:val="none" w:sz="0" w:space="0" w:color="auto"/>
                  </w:tcBorders>
                  <w:vAlign w:val="center"/>
                  <w:hideMark/>
                </w:tcPr>
                <w:p w14:paraId="7A5920D6" w14:textId="77777777" w:rsidR="00427373" w:rsidRPr="00427373" w:rsidRDefault="00427373" w:rsidP="004273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International gold price</w:t>
                  </w:r>
                </w:p>
              </w:tc>
            </w:tr>
            <w:tr w:rsidR="00427373" w:rsidRPr="00427373" w14:paraId="61658948" w14:textId="77777777" w:rsidTr="00427373">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1239" w:type="dxa"/>
                  <w:noWrap/>
                  <w:vAlign w:val="center"/>
                  <w:hideMark/>
                </w:tcPr>
                <w:p w14:paraId="66B7BDE2" w14:textId="77777777" w:rsidR="00427373" w:rsidRPr="00427373" w:rsidRDefault="00427373" w:rsidP="00427373">
                  <w:pPr>
                    <w:spacing w:after="0" w:line="240" w:lineRule="auto"/>
                    <w:jc w:val="center"/>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Pearson Correlation</w:t>
                  </w:r>
                </w:p>
              </w:tc>
              <w:tc>
                <w:tcPr>
                  <w:tcW w:w="1390" w:type="dxa"/>
                  <w:vAlign w:val="center"/>
                  <w:hideMark/>
                </w:tcPr>
                <w:p w14:paraId="31FC7625"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b/>
                      <w:bCs/>
                      <w:sz w:val="18"/>
                      <w:szCs w:val="18"/>
                      <w:lang w:val="en-ID"/>
                    </w:rPr>
                    <w:t>Gold account</w:t>
                  </w:r>
                </w:p>
              </w:tc>
              <w:tc>
                <w:tcPr>
                  <w:tcW w:w="956" w:type="dxa"/>
                  <w:noWrap/>
                  <w:vAlign w:val="center"/>
                  <w:hideMark/>
                </w:tcPr>
                <w:p w14:paraId="3D4D4AA0"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1.000</w:t>
                  </w:r>
                </w:p>
              </w:tc>
              <w:tc>
                <w:tcPr>
                  <w:tcW w:w="1011" w:type="dxa"/>
                  <w:noWrap/>
                  <w:vAlign w:val="center"/>
                  <w:hideMark/>
                </w:tcPr>
                <w:p w14:paraId="5934A627"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-.350</w:t>
                  </w:r>
                </w:p>
              </w:tc>
              <w:tc>
                <w:tcPr>
                  <w:tcW w:w="1198" w:type="dxa"/>
                  <w:noWrap/>
                  <w:vAlign w:val="center"/>
                  <w:hideMark/>
                </w:tcPr>
                <w:p w14:paraId="53D711B0"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-.617</w:t>
                  </w:r>
                </w:p>
              </w:tc>
              <w:tc>
                <w:tcPr>
                  <w:tcW w:w="942" w:type="dxa"/>
                  <w:noWrap/>
                  <w:vAlign w:val="center"/>
                  <w:hideMark/>
                </w:tcPr>
                <w:p w14:paraId="7CCE7FE0"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-.641</w:t>
                  </w:r>
                </w:p>
              </w:tc>
              <w:tc>
                <w:tcPr>
                  <w:tcW w:w="1044" w:type="dxa"/>
                  <w:noWrap/>
                  <w:vAlign w:val="center"/>
                  <w:hideMark/>
                </w:tcPr>
                <w:p w14:paraId="190CA6A5"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-.593</w:t>
                  </w:r>
                </w:p>
              </w:tc>
              <w:tc>
                <w:tcPr>
                  <w:tcW w:w="1390" w:type="dxa"/>
                  <w:noWrap/>
                  <w:vAlign w:val="center"/>
                  <w:hideMark/>
                </w:tcPr>
                <w:p w14:paraId="1561BB92"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.981</w:t>
                  </w:r>
                </w:p>
              </w:tc>
            </w:tr>
            <w:tr w:rsidR="00427373" w:rsidRPr="00427373" w14:paraId="798E6CBB" w14:textId="77777777" w:rsidTr="00427373">
              <w:trPr>
                <w:trHeight w:val="293"/>
              </w:trPr>
              <w:tc>
                <w:tcPr>
                  <w:cnfStyle w:val="001000000000" w:firstRow="0" w:lastRow="0" w:firstColumn="1" w:lastColumn="0" w:oddVBand="0" w:evenVBand="0" w:oddHBand="0" w:evenHBand="0" w:firstRowFirstColumn="0" w:firstRowLastColumn="0" w:lastRowFirstColumn="0" w:lastRowLastColumn="0"/>
                  <w:tcW w:w="1239" w:type="dxa"/>
                  <w:noWrap/>
                  <w:vAlign w:val="center"/>
                  <w:hideMark/>
                </w:tcPr>
                <w:p w14:paraId="0F5086AC" w14:textId="77777777" w:rsidR="00427373" w:rsidRPr="00427373" w:rsidRDefault="00427373" w:rsidP="00427373">
                  <w:pPr>
                    <w:spacing w:after="0" w:line="240" w:lineRule="auto"/>
                    <w:jc w:val="center"/>
                    <w:rPr>
                      <w:rFonts w:ascii="Book Antiqua" w:eastAsia="Times New Roman" w:hAnsi="Book Antiqua" w:cs="Times New Roman"/>
                      <w:sz w:val="18"/>
                      <w:szCs w:val="18"/>
                      <w:lang w:val="en-ID"/>
                    </w:rPr>
                  </w:pPr>
                </w:p>
              </w:tc>
              <w:tc>
                <w:tcPr>
                  <w:tcW w:w="1390" w:type="dxa"/>
                  <w:noWrap/>
                  <w:vAlign w:val="center"/>
                  <w:hideMark/>
                </w:tcPr>
                <w:p w14:paraId="1F4B1D19"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I</w:t>
                  </w:r>
                  <w:r w:rsidRPr="00427373">
                    <w:rPr>
                      <w:rFonts w:ascii="Book Antiqua" w:eastAsia="Times New Roman" w:hAnsi="Book Antiqua" w:cs="Times New Roman"/>
                      <w:b/>
                      <w:bCs/>
                      <w:sz w:val="18"/>
                      <w:szCs w:val="18"/>
                      <w:lang w:val="en-ID"/>
                    </w:rPr>
                    <w:t>nflation</w:t>
                  </w:r>
                </w:p>
              </w:tc>
              <w:tc>
                <w:tcPr>
                  <w:tcW w:w="956" w:type="dxa"/>
                  <w:noWrap/>
                  <w:vAlign w:val="center"/>
                  <w:hideMark/>
                </w:tcPr>
                <w:p w14:paraId="1FA80CCB"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-.350</w:t>
                  </w:r>
                </w:p>
              </w:tc>
              <w:tc>
                <w:tcPr>
                  <w:tcW w:w="1011" w:type="dxa"/>
                  <w:noWrap/>
                  <w:vAlign w:val="center"/>
                  <w:hideMark/>
                </w:tcPr>
                <w:p w14:paraId="0CFF90E1"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1.000</w:t>
                  </w:r>
                </w:p>
              </w:tc>
              <w:tc>
                <w:tcPr>
                  <w:tcW w:w="1198" w:type="dxa"/>
                  <w:noWrap/>
                  <w:vAlign w:val="center"/>
                  <w:hideMark/>
                </w:tcPr>
                <w:p w14:paraId="4365C601"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.066</w:t>
                  </w:r>
                </w:p>
              </w:tc>
              <w:tc>
                <w:tcPr>
                  <w:tcW w:w="942" w:type="dxa"/>
                  <w:noWrap/>
                  <w:vAlign w:val="center"/>
                  <w:hideMark/>
                </w:tcPr>
                <w:p w14:paraId="3269EC08"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.366</w:t>
                  </w:r>
                </w:p>
              </w:tc>
              <w:tc>
                <w:tcPr>
                  <w:tcW w:w="1044" w:type="dxa"/>
                  <w:noWrap/>
                  <w:vAlign w:val="center"/>
                  <w:hideMark/>
                </w:tcPr>
                <w:p w14:paraId="2490B651"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.703</w:t>
                  </w:r>
                </w:p>
              </w:tc>
              <w:tc>
                <w:tcPr>
                  <w:tcW w:w="1390" w:type="dxa"/>
                  <w:noWrap/>
                  <w:vAlign w:val="center"/>
                  <w:hideMark/>
                </w:tcPr>
                <w:p w14:paraId="5EAEF8DF"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-.411</w:t>
                  </w:r>
                </w:p>
              </w:tc>
            </w:tr>
            <w:tr w:rsidR="00427373" w:rsidRPr="00427373" w14:paraId="02C5C9C2" w14:textId="77777777" w:rsidTr="00427373">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239" w:type="dxa"/>
                  <w:noWrap/>
                  <w:vAlign w:val="center"/>
                  <w:hideMark/>
                </w:tcPr>
                <w:p w14:paraId="67EE4D73" w14:textId="77777777" w:rsidR="00427373" w:rsidRPr="00427373" w:rsidRDefault="00427373" w:rsidP="00427373">
                  <w:pPr>
                    <w:spacing w:after="0" w:line="240" w:lineRule="auto"/>
                    <w:jc w:val="center"/>
                    <w:rPr>
                      <w:rFonts w:ascii="Book Antiqua" w:eastAsia="Times New Roman" w:hAnsi="Book Antiqua" w:cs="Times New Roman"/>
                      <w:sz w:val="18"/>
                      <w:szCs w:val="18"/>
                      <w:lang w:val="en-ID"/>
                    </w:rPr>
                  </w:pPr>
                </w:p>
              </w:tc>
              <w:tc>
                <w:tcPr>
                  <w:tcW w:w="1390" w:type="dxa"/>
                  <w:noWrap/>
                  <w:vAlign w:val="center"/>
                  <w:hideMark/>
                </w:tcPr>
                <w:p w14:paraId="3C1E1702"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b/>
                      <w:bCs/>
                      <w:sz w:val="18"/>
                      <w:szCs w:val="18"/>
                      <w:lang w:val="en-ID"/>
                    </w:rPr>
                    <w:t>Exchange rate</w:t>
                  </w:r>
                </w:p>
              </w:tc>
              <w:tc>
                <w:tcPr>
                  <w:tcW w:w="956" w:type="dxa"/>
                  <w:noWrap/>
                  <w:vAlign w:val="center"/>
                  <w:hideMark/>
                </w:tcPr>
                <w:p w14:paraId="69658695"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.617</w:t>
                  </w:r>
                </w:p>
              </w:tc>
              <w:tc>
                <w:tcPr>
                  <w:tcW w:w="1011" w:type="dxa"/>
                  <w:noWrap/>
                  <w:vAlign w:val="center"/>
                  <w:hideMark/>
                </w:tcPr>
                <w:p w14:paraId="76E900AE"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.066</w:t>
                  </w:r>
                </w:p>
              </w:tc>
              <w:tc>
                <w:tcPr>
                  <w:tcW w:w="1198" w:type="dxa"/>
                  <w:noWrap/>
                  <w:vAlign w:val="center"/>
                  <w:hideMark/>
                </w:tcPr>
                <w:p w14:paraId="63CC0B65"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1.000</w:t>
                  </w:r>
                </w:p>
              </w:tc>
              <w:tc>
                <w:tcPr>
                  <w:tcW w:w="942" w:type="dxa"/>
                  <w:noWrap/>
                  <w:vAlign w:val="center"/>
                  <w:hideMark/>
                </w:tcPr>
                <w:p w14:paraId="25DE0905"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-.160</w:t>
                  </w:r>
                </w:p>
              </w:tc>
              <w:tc>
                <w:tcPr>
                  <w:tcW w:w="1044" w:type="dxa"/>
                  <w:noWrap/>
                  <w:vAlign w:val="center"/>
                  <w:hideMark/>
                </w:tcPr>
                <w:p w14:paraId="520CCACC"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-.198</w:t>
                  </w:r>
                </w:p>
              </w:tc>
              <w:tc>
                <w:tcPr>
                  <w:tcW w:w="1390" w:type="dxa"/>
                  <w:noWrap/>
                  <w:vAlign w:val="center"/>
                  <w:hideMark/>
                </w:tcPr>
                <w:p w14:paraId="4FCCE6F9"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.479</w:t>
                  </w:r>
                </w:p>
              </w:tc>
            </w:tr>
            <w:tr w:rsidR="00427373" w:rsidRPr="00427373" w14:paraId="365EBC21" w14:textId="77777777" w:rsidTr="00427373">
              <w:trPr>
                <w:trHeight w:val="293"/>
              </w:trPr>
              <w:tc>
                <w:tcPr>
                  <w:cnfStyle w:val="001000000000" w:firstRow="0" w:lastRow="0" w:firstColumn="1" w:lastColumn="0" w:oddVBand="0" w:evenVBand="0" w:oddHBand="0" w:evenHBand="0" w:firstRowFirstColumn="0" w:firstRowLastColumn="0" w:lastRowFirstColumn="0" w:lastRowLastColumn="0"/>
                  <w:tcW w:w="1239" w:type="dxa"/>
                  <w:noWrap/>
                  <w:vAlign w:val="center"/>
                  <w:hideMark/>
                </w:tcPr>
                <w:p w14:paraId="78D9CF25" w14:textId="77777777" w:rsidR="00427373" w:rsidRPr="00427373" w:rsidRDefault="00427373" w:rsidP="00427373">
                  <w:pPr>
                    <w:spacing w:after="0" w:line="240" w:lineRule="auto"/>
                    <w:jc w:val="center"/>
                    <w:rPr>
                      <w:rFonts w:ascii="Book Antiqua" w:eastAsia="Times New Roman" w:hAnsi="Book Antiqua" w:cs="Times New Roman"/>
                      <w:sz w:val="18"/>
                      <w:szCs w:val="18"/>
                      <w:lang w:val="en-ID"/>
                    </w:rPr>
                  </w:pPr>
                </w:p>
              </w:tc>
              <w:tc>
                <w:tcPr>
                  <w:tcW w:w="1390" w:type="dxa"/>
                  <w:noWrap/>
                  <w:vAlign w:val="center"/>
                  <w:hideMark/>
                </w:tcPr>
                <w:p w14:paraId="56ECBD12"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b/>
                      <w:bCs/>
                      <w:sz w:val="18"/>
                      <w:szCs w:val="18"/>
                      <w:lang w:val="en-ID"/>
                    </w:rPr>
                    <w:t>Interest rate</w:t>
                  </w:r>
                </w:p>
              </w:tc>
              <w:tc>
                <w:tcPr>
                  <w:tcW w:w="956" w:type="dxa"/>
                  <w:noWrap/>
                  <w:vAlign w:val="center"/>
                  <w:hideMark/>
                </w:tcPr>
                <w:p w14:paraId="531E4B68"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-.641</w:t>
                  </w:r>
                </w:p>
              </w:tc>
              <w:tc>
                <w:tcPr>
                  <w:tcW w:w="1011" w:type="dxa"/>
                  <w:noWrap/>
                  <w:vAlign w:val="center"/>
                  <w:hideMark/>
                </w:tcPr>
                <w:p w14:paraId="4C3FB5E3"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.366</w:t>
                  </w:r>
                </w:p>
              </w:tc>
              <w:tc>
                <w:tcPr>
                  <w:tcW w:w="1198" w:type="dxa"/>
                  <w:noWrap/>
                  <w:vAlign w:val="center"/>
                  <w:hideMark/>
                </w:tcPr>
                <w:p w14:paraId="4331AEE4"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-.016</w:t>
                  </w:r>
                </w:p>
              </w:tc>
              <w:tc>
                <w:tcPr>
                  <w:tcW w:w="942" w:type="dxa"/>
                  <w:noWrap/>
                  <w:vAlign w:val="center"/>
                  <w:hideMark/>
                </w:tcPr>
                <w:p w14:paraId="640F2A1B"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1.000</w:t>
                  </w:r>
                </w:p>
              </w:tc>
              <w:tc>
                <w:tcPr>
                  <w:tcW w:w="1044" w:type="dxa"/>
                  <w:noWrap/>
                  <w:vAlign w:val="center"/>
                  <w:hideMark/>
                </w:tcPr>
                <w:p w14:paraId="34CF4060"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.484</w:t>
                  </w:r>
                </w:p>
              </w:tc>
              <w:tc>
                <w:tcPr>
                  <w:tcW w:w="1390" w:type="dxa"/>
                  <w:noWrap/>
                  <w:vAlign w:val="center"/>
                  <w:hideMark/>
                </w:tcPr>
                <w:p w14:paraId="0DE5724D"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-.717</w:t>
                  </w:r>
                </w:p>
              </w:tc>
            </w:tr>
            <w:tr w:rsidR="00427373" w:rsidRPr="00427373" w14:paraId="3D66D61A" w14:textId="77777777" w:rsidTr="00427373">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239" w:type="dxa"/>
                  <w:noWrap/>
                  <w:vAlign w:val="center"/>
                  <w:hideMark/>
                </w:tcPr>
                <w:p w14:paraId="6B6414C1" w14:textId="77777777" w:rsidR="00427373" w:rsidRPr="00427373" w:rsidRDefault="00427373" w:rsidP="00427373">
                  <w:pPr>
                    <w:spacing w:after="0" w:line="240" w:lineRule="auto"/>
                    <w:jc w:val="center"/>
                    <w:rPr>
                      <w:rFonts w:ascii="Book Antiqua" w:eastAsia="Times New Roman" w:hAnsi="Book Antiqua" w:cs="Times New Roman"/>
                      <w:sz w:val="18"/>
                      <w:szCs w:val="18"/>
                      <w:lang w:val="en-ID"/>
                    </w:rPr>
                  </w:pPr>
                </w:p>
              </w:tc>
              <w:tc>
                <w:tcPr>
                  <w:tcW w:w="1390" w:type="dxa"/>
                  <w:noWrap/>
                  <w:vAlign w:val="center"/>
                  <w:hideMark/>
                </w:tcPr>
                <w:p w14:paraId="797D16FD"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b/>
                      <w:bCs/>
                      <w:sz w:val="18"/>
                      <w:szCs w:val="18"/>
                      <w:lang w:val="en-ID"/>
                    </w:rPr>
                    <w:t>Economy growth</w:t>
                  </w:r>
                </w:p>
              </w:tc>
              <w:tc>
                <w:tcPr>
                  <w:tcW w:w="956" w:type="dxa"/>
                  <w:noWrap/>
                  <w:vAlign w:val="center"/>
                  <w:hideMark/>
                </w:tcPr>
                <w:p w14:paraId="4EE7D0E2"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-.593</w:t>
                  </w:r>
                </w:p>
              </w:tc>
              <w:tc>
                <w:tcPr>
                  <w:tcW w:w="1011" w:type="dxa"/>
                  <w:noWrap/>
                  <w:vAlign w:val="center"/>
                  <w:hideMark/>
                </w:tcPr>
                <w:p w14:paraId="2E455A60"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.703</w:t>
                  </w:r>
                </w:p>
              </w:tc>
              <w:tc>
                <w:tcPr>
                  <w:tcW w:w="1198" w:type="dxa"/>
                  <w:noWrap/>
                  <w:vAlign w:val="center"/>
                  <w:hideMark/>
                </w:tcPr>
                <w:p w14:paraId="35A8DA69"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-.198</w:t>
                  </w:r>
                </w:p>
              </w:tc>
              <w:tc>
                <w:tcPr>
                  <w:tcW w:w="942" w:type="dxa"/>
                  <w:noWrap/>
                  <w:vAlign w:val="center"/>
                  <w:hideMark/>
                </w:tcPr>
                <w:p w14:paraId="29CFB734"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.484</w:t>
                  </w:r>
                </w:p>
              </w:tc>
              <w:tc>
                <w:tcPr>
                  <w:tcW w:w="1044" w:type="dxa"/>
                  <w:noWrap/>
                  <w:vAlign w:val="center"/>
                  <w:hideMark/>
                </w:tcPr>
                <w:p w14:paraId="20B3FD31"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1.000</w:t>
                  </w:r>
                </w:p>
              </w:tc>
              <w:tc>
                <w:tcPr>
                  <w:tcW w:w="1390" w:type="dxa"/>
                  <w:noWrap/>
                  <w:vAlign w:val="center"/>
                  <w:hideMark/>
                </w:tcPr>
                <w:p w14:paraId="3404F63A"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-.602</w:t>
                  </w:r>
                </w:p>
              </w:tc>
            </w:tr>
            <w:tr w:rsidR="00427373" w:rsidRPr="00427373" w14:paraId="2CE9EB1E" w14:textId="77777777" w:rsidTr="00427373">
              <w:trPr>
                <w:trHeight w:val="623"/>
              </w:trPr>
              <w:tc>
                <w:tcPr>
                  <w:cnfStyle w:val="001000000000" w:firstRow="0" w:lastRow="0" w:firstColumn="1" w:lastColumn="0" w:oddVBand="0" w:evenVBand="0" w:oddHBand="0" w:evenHBand="0" w:firstRowFirstColumn="0" w:firstRowLastColumn="0" w:lastRowFirstColumn="0" w:lastRowLastColumn="0"/>
                  <w:tcW w:w="1239" w:type="dxa"/>
                  <w:noWrap/>
                  <w:vAlign w:val="center"/>
                  <w:hideMark/>
                </w:tcPr>
                <w:p w14:paraId="2D3084C7" w14:textId="77777777" w:rsidR="00427373" w:rsidRPr="00427373" w:rsidRDefault="00427373" w:rsidP="00427373">
                  <w:pPr>
                    <w:spacing w:after="0" w:line="240" w:lineRule="auto"/>
                    <w:jc w:val="center"/>
                    <w:rPr>
                      <w:rFonts w:ascii="Book Antiqua" w:eastAsia="Times New Roman" w:hAnsi="Book Antiqua" w:cs="Times New Roman"/>
                      <w:sz w:val="18"/>
                      <w:szCs w:val="18"/>
                      <w:lang w:val="en-ID"/>
                    </w:rPr>
                  </w:pPr>
                </w:p>
              </w:tc>
              <w:tc>
                <w:tcPr>
                  <w:tcW w:w="1390" w:type="dxa"/>
                  <w:vAlign w:val="center"/>
                  <w:hideMark/>
                </w:tcPr>
                <w:p w14:paraId="39629E42"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b/>
                      <w:bCs/>
                      <w:sz w:val="18"/>
                      <w:szCs w:val="18"/>
                      <w:lang w:val="en-ID"/>
                    </w:rPr>
                    <w:t>International gold price</w:t>
                  </w:r>
                </w:p>
              </w:tc>
              <w:tc>
                <w:tcPr>
                  <w:tcW w:w="956" w:type="dxa"/>
                  <w:noWrap/>
                  <w:vAlign w:val="center"/>
                  <w:hideMark/>
                </w:tcPr>
                <w:p w14:paraId="175E2D42"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.981</w:t>
                  </w:r>
                </w:p>
              </w:tc>
              <w:tc>
                <w:tcPr>
                  <w:tcW w:w="1011" w:type="dxa"/>
                  <w:noWrap/>
                  <w:vAlign w:val="center"/>
                  <w:hideMark/>
                </w:tcPr>
                <w:p w14:paraId="12FB0A4E"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-.411</w:t>
                  </w:r>
                </w:p>
              </w:tc>
              <w:tc>
                <w:tcPr>
                  <w:tcW w:w="1198" w:type="dxa"/>
                  <w:noWrap/>
                  <w:vAlign w:val="center"/>
                  <w:hideMark/>
                </w:tcPr>
                <w:p w14:paraId="43C71732"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.479</w:t>
                  </w:r>
                </w:p>
              </w:tc>
              <w:tc>
                <w:tcPr>
                  <w:tcW w:w="942" w:type="dxa"/>
                  <w:noWrap/>
                  <w:vAlign w:val="center"/>
                  <w:hideMark/>
                </w:tcPr>
                <w:p w14:paraId="47D1B03B"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-.717</w:t>
                  </w:r>
                </w:p>
              </w:tc>
              <w:tc>
                <w:tcPr>
                  <w:tcW w:w="1044" w:type="dxa"/>
                  <w:noWrap/>
                  <w:vAlign w:val="center"/>
                  <w:hideMark/>
                </w:tcPr>
                <w:p w14:paraId="5262A3D2"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-.602</w:t>
                  </w:r>
                </w:p>
              </w:tc>
              <w:tc>
                <w:tcPr>
                  <w:tcW w:w="1390" w:type="dxa"/>
                  <w:noWrap/>
                  <w:vAlign w:val="center"/>
                  <w:hideMark/>
                </w:tcPr>
                <w:p w14:paraId="2D3387B5"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1.000</w:t>
                  </w:r>
                </w:p>
              </w:tc>
            </w:tr>
            <w:tr w:rsidR="00427373" w:rsidRPr="00427373" w14:paraId="6BB94141" w14:textId="77777777" w:rsidTr="00427373">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1239" w:type="dxa"/>
                  <w:noWrap/>
                  <w:vAlign w:val="center"/>
                  <w:hideMark/>
                </w:tcPr>
                <w:p w14:paraId="24EDB8DD" w14:textId="77777777" w:rsidR="00427373" w:rsidRPr="00427373" w:rsidRDefault="00427373" w:rsidP="00427373">
                  <w:pPr>
                    <w:spacing w:after="0" w:line="240" w:lineRule="auto"/>
                    <w:jc w:val="center"/>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Sig. (1- tailed)</w:t>
                  </w:r>
                </w:p>
              </w:tc>
              <w:tc>
                <w:tcPr>
                  <w:tcW w:w="1390" w:type="dxa"/>
                  <w:vAlign w:val="center"/>
                  <w:hideMark/>
                </w:tcPr>
                <w:p w14:paraId="4ED9BD64"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b/>
                      <w:bCs/>
                      <w:sz w:val="18"/>
                      <w:szCs w:val="18"/>
                      <w:lang w:val="en-ID"/>
                    </w:rPr>
                    <w:t>Gold account</w:t>
                  </w:r>
                </w:p>
              </w:tc>
              <w:tc>
                <w:tcPr>
                  <w:tcW w:w="956" w:type="dxa"/>
                  <w:noWrap/>
                  <w:vAlign w:val="center"/>
                  <w:hideMark/>
                </w:tcPr>
                <w:p w14:paraId="12438DA2"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.000</w:t>
                  </w:r>
                </w:p>
              </w:tc>
              <w:tc>
                <w:tcPr>
                  <w:tcW w:w="1011" w:type="dxa"/>
                  <w:noWrap/>
                  <w:vAlign w:val="center"/>
                  <w:hideMark/>
                </w:tcPr>
                <w:p w14:paraId="449D2D55"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.001</w:t>
                  </w:r>
                </w:p>
              </w:tc>
              <w:tc>
                <w:tcPr>
                  <w:tcW w:w="1198" w:type="dxa"/>
                  <w:noWrap/>
                  <w:vAlign w:val="center"/>
                  <w:hideMark/>
                </w:tcPr>
                <w:p w14:paraId="5CE0F988"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&lt; .001</w:t>
                  </w:r>
                </w:p>
              </w:tc>
              <w:tc>
                <w:tcPr>
                  <w:tcW w:w="942" w:type="dxa"/>
                  <w:noWrap/>
                  <w:vAlign w:val="center"/>
                  <w:hideMark/>
                </w:tcPr>
                <w:p w14:paraId="3DD1C693"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&lt; .001</w:t>
                  </w:r>
                </w:p>
              </w:tc>
              <w:tc>
                <w:tcPr>
                  <w:tcW w:w="1044" w:type="dxa"/>
                  <w:noWrap/>
                  <w:vAlign w:val="center"/>
                  <w:hideMark/>
                </w:tcPr>
                <w:p w14:paraId="33BBCC05"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&lt; .001</w:t>
                  </w:r>
                </w:p>
              </w:tc>
              <w:tc>
                <w:tcPr>
                  <w:tcW w:w="1390" w:type="dxa"/>
                  <w:noWrap/>
                  <w:vAlign w:val="center"/>
                  <w:hideMark/>
                </w:tcPr>
                <w:p w14:paraId="468EB4C2"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&lt; .001</w:t>
                  </w:r>
                </w:p>
              </w:tc>
            </w:tr>
            <w:tr w:rsidR="00427373" w:rsidRPr="00427373" w14:paraId="2F771DC3" w14:textId="77777777" w:rsidTr="00427373">
              <w:trPr>
                <w:trHeight w:val="293"/>
              </w:trPr>
              <w:tc>
                <w:tcPr>
                  <w:cnfStyle w:val="001000000000" w:firstRow="0" w:lastRow="0" w:firstColumn="1" w:lastColumn="0" w:oddVBand="0" w:evenVBand="0" w:oddHBand="0" w:evenHBand="0" w:firstRowFirstColumn="0" w:firstRowLastColumn="0" w:lastRowFirstColumn="0" w:lastRowLastColumn="0"/>
                  <w:tcW w:w="1239" w:type="dxa"/>
                  <w:noWrap/>
                  <w:vAlign w:val="center"/>
                  <w:hideMark/>
                </w:tcPr>
                <w:p w14:paraId="3D093F18" w14:textId="77777777" w:rsidR="00427373" w:rsidRPr="00427373" w:rsidRDefault="00427373" w:rsidP="00427373">
                  <w:pPr>
                    <w:spacing w:after="0" w:line="240" w:lineRule="auto"/>
                    <w:jc w:val="center"/>
                    <w:rPr>
                      <w:rFonts w:ascii="Book Antiqua" w:eastAsia="Times New Roman" w:hAnsi="Book Antiqua" w:cs="Times New Roman"/>
                      <w:sz w:val="18"/>
                      <w:szCs w:val="18"/>
                      <w:lang w:val="en-ID"/>
                    </w:rPr>
                  </w:pPr>
                </w:p>
              </w:tc>
              <w:tc>
                <w:tcPr>
                  <w:tcW w:w="1390" w:type="dxa"/>
                  <w:noWrap/>
                  <w:vAlign w:val="center"/>
                  <w:hideMark/>
                </w:tcPr>
                <w:p w14:paraId="26C64586"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I</w:t>
                  </w:r>
                  <w:r w:rsidRPr="00427373">
                    <w:rPr>
                      <w:rFonts w:ascii="Book Antiqua" w:eastAsia="Times New Roman" w:hAnsi="Book Antiqua" w:cs="Times New Roman"/>
                      <w:b/>
                      <w:bCs/>
                      <w:sz w:val="18"/>
                      <w:szCs w:val="18"/>
                      <w:lang w:val="en-ID"/>
                    </w:rPr>
                    <w:t>nflation</w:t>
                  </w:r>
                </w:p>
              </w:tc>
              <w:tc>
                <w:tcPr>
                  <w:tcW w:w="956" w:type="dxa"/>
                  <w:noWrap/>
                  <w:vAlign w:val="center"/>
                  <w:hideMark/>
                </w:tcPr>
                <w:p w14:paraId="1F65FC4D"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.001</w:t>
                  </w:r>
                </w:p>
              </w:tc>
              <w:tc>
                <w:tcPr>
                  <w:tcW w:w="1011" w:type="dxa"/>
                  <w:noWrap/>
                  <w:vAlign w:val="center"/>
                  <w:hideMark/>
                </w:tcPr>
                <w:p w14:paraId="268CC88D"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.000</w:t>
                  </w:r>
                </w:p>
              </w:tc>
              <w:tc>
                <w:tcPr>
                  <w:tcW w:w="1198" w:type="dxa"/>
                  <w:noWrap/>
                  <w:vAlign w:val="center"/>
                  <w:hideMark/>
                </w:tcPr>
                <w:p w14:paraId="01F69401"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.292</w:t>
                  </w:r>
                </w:p>
              </w:tc>
              <w:tc>
                <w:tcPr>
                  <w:tcW w:w="942" w:type="dxa"/>
                  <w:noWrap/>
                  <w:vAlign w:val="center"/>
                  <w:hideMark/>
                </w:tcPr>
                <w:p w14:paraId="6B98A87A"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.001</w:t>
                  </w:r>
                </w:p>
              </w:tc>
              <w:tc>
                <w:tcPr>
                  <w:tcW w:w="1044" w:type="dxa"/>
                  <w:noWrap/>
                  <w:vAlign w:val="center"/>
                  <w:hideMark/>
                </w:tcPr>
                <w:p w14:paraId="5A84406A"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.000</w:t>
                  </w:r>
                </w:p>
              </w:tc>
              <w:tc>
                <w:tcPr>
                  <w:tcW w:w="1390" w:type="dxa"/>
                  <w:noWrap/>
                  <w:vAlign w:val="center"/>
                  <w:hideMark/>
                </w:tcPr>
                <w:p w14:paraId="1EA8093D"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.000</w:t>
                  </w:r>
                </w:p>
              </w:tc>
            </w:tr>
            <w:tr w:rsidR="00427373" w:rsidRPr="00427373" w14:paraId="2E6A1366" w14:textId="77777777" w:rsidTr="00427373">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239" w:type="dxa"/>
                  <w:noWrap/>
                  <w:vAlign w:val="center"/>
                  <w:hideMark/>
                </w:tcPr>
                <w:p w14:paraId="07BD88F3" w14:textId="77777777" w:rsidR="00427373" w:rsidRPr="00427373" w:rsidRDefault="00427373" w:rsidP="00427373">
                  <w:pPr>
                    <w:spacing w:after="0" w:line="240" w:lineRule="auto"/>
                    <w:jc w:val="center"/>
                    <w:rPr>
                      <w:rFonts w:ascii="Book Antiqua" w:eastAsia="Times New Roman" w:hAnsi="Book Antiqua" w:cs="Times New Roman"/>
                      <w:sz w:val="18"/>
                      <w:szCs w:val="18"/>
                      <w:lang w:val="en-ID"/>
                    </w:rPr>
                  </w:pPr>
                </w:p>
              </w:tc>
              <w:tc>
                <w:tcPr>
                  <w:tcW w:w="1390" w:type="dxa"/>
                  <w:noWrap/>
                  <w:vAlign w:val="center"/>
                  <w:hideMark/>
                </w:tcPr>
                <w:p w14:paraId="0D3B9438"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b/>
                      <w:bCs/>
                      <w:sz w:val="18"/>
                      <w:szCs w:val="18"/>
                      <w:lang w:val="en-ID"/>
                    </w:rPr>
                    <w:t>Exchange rate</w:t>
                  </w:r>
                </w:p>
              </w:tc>
              <w:tc>
                <w:tcPr>
                  <w:tcW w:w="956" w:type="dxa"/>
                  <w:noWrap/>
                  <w:vAlign w:val="center"/>
                  <w:hideMark/>
                </w:tcPr>
                <w:p w14:paraId="41B1D5D3"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.000</w:t>
                  </w:r>
                </w:p>
              </w:tc>
              <w:tc>
                <w:tcPr>
                  <w:tcW w:w="1011" w:type="dxa"/>
                  <w:noWrap/>
                  <w:vAlign w:val="center"/>
                  <w:hideMark/>
                </w:tcPr>
                <w:p w14:paraId="5E64E34E"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.292</w:t>
                  </w:r>
                </w:p>
              </w:tc>
              <w:tc>
                <w:tcPr>
                  <w:tcW w:w="1198" w:type="dxa"/>
                  <w:noWrap/>
                  <w:vAlign w:val="center"/>
                  <w:hideMark/>
                </w:tcPr>
                <w:p w14:paraId="5F711781"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.000</w:t>
                  </w:r>
                </w:p>
              </w:tc>
              <w:tc>
                <w:tcPr>
                  <w:tcW w:w="942" w:type="dxa"/>
                  <w:noWrap/>
                  <w:vAlign w:val="center"/>
                  <w:hideMark/>
                </w:tcPr>
                <w:p w14:paraId="109F867C"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.449</w:t>
                  </w:r>
                </w:p>
              </w:tc>
              <w:tc>
                <w:tcPr>
                  <w:tcW w:w="1044" w:type="dxa"/>
                  <w:noWrap/>
                  <w:vAlign w:val="center"/>
                  <w:hideMark/>
                </w:tcPr>
                <w:p w14:paraId="52F6F59F"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.048</w:t>
                  </w:r>
                </w:p>
              </w:tc>
              <w:tc>
                <w:tcPr>
                  <w:tcW w:w="1390" w:type="dxa"/>
                  <w:noWrap/>
                  <w:vAlign w:val="center"/>
                  <w:hideMark/>
                </w:tcPr>
                <w:p w14:paraId="6739C5E7"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.000</w:t>
                  </w:r>
                </w:p>
              </w:tc>
            </w:tr>
            <w:tr w:rsidR="00427373" w:rsidRPr="00427373" w14:paraId="54D936FC" w14:textId="77777777" w:rsidTr="00427373">
              <w:trPr>
                <w:trHeight w:val="293"/>
              </w:trPr>
              <w:tc>
                <w:tcPr>
                  <w:cnfStyle w:val="001000000000" w:firstRow="0" w:lastRow="0" w:firstColumn="1" w:lastColumn="0" w:oddVBand="0" w:evenVBand="0" w:oddHBand="0" w:evenHBand="0" w:firstRowFirstColumn="0" w:firstRowLastColumn="0" w:lastRowFirstColumn="0" w:lastRowLastColumn="0"/>
                  <w:tcW w:w="1239" w:type="dxa"/>
                  <w:noWrap/>
                  <w:vAlign w:val="center"/>
                  <w:hideMark/>
                </w:tcPr>
                <w:p w14:paraId="3676F9C9" w14:textId="77777777" w:rsidR="00427373" w:rsidRPr="00427373" w:rsidRDefault="00427373" w:rsidP="00427373">
                  <w:pPr>
                    <w:spacing w:after="0" w:line="240" w:lineRule="auto"/>
                    <w:jc w:val="center"/>
                    <w:rPr>
                      <w:rFonts w:ascii="Book Antiqua" w:eastAsia="Times New Roman" w:hAnsi="Book Antiqua" w:cs="Times New Roman"/>
                      <w:sz w:val="18"/>
                      <w:szCs w:val="18"/>
                      <w:lang w:val="en-ID"/>
                    </w:rPr>
                  </w:pPr>
                </w:p>
              </w:tc>
              <w:tc>
                <w:tcPr>
                  <w:tcW w:w="1390" w:type="dxa"/>
                  <w:noWrap/>
                  <w:vAlign w:val="center"/>
                  <w:hideMark/>
                </w:tcPr>
                <w:p w14:paraId="0D5963AC"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b/>
                      <w:bCs/>
                      <w:sz w:val="18"/>
                      <w:szCs w:val="18"/>
                      <w:lang w:val="en-ID"/>
                    </w:rPr>
                    <w:t>Interest rate</w:t>
                  </w:r>
                </w:p>
              </w:tc>
              <w:tc>
                <w:tcPr>
                  <w:tcW w:w="956" w:type="dxa"/>
                  <w:noWrap/>
                  <w:vAlign w:val="center"/>
                  <w:hideMark/>
                </w:tcPr>
                <w:p w14:paraId="3951742F"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.000</w:t>
                  </w:r>
                </w:p>
              </w:tc>
              <w:tc>
                <w:tcPr>
                  <w:tcW w:w="1011" w:type="dxa"/>
                  <w:noWrap/>
                  <w:vAlign w:val="center"/>
                  <w:hideMark/>
                </w:tcPr>
                <w:p w14:paraId="04E2F97B"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.001</w:t>
                  </w:r>
                </w:p>
              </w:tc>
              <w:tc>
                <w:tcPr>
                  <w:tcW w:w="1198" w:type="dxa"/>
                  <w:noWrap/>
                  <w:vAlign w:val="center"/>
                  <w:hideMark/>
                </w:tcPr>
                <w:p w14:paraId="1289A553"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.449</w:t>
                  </w:r>
                </w:p>
              </w:tc>
              <w:tc>
                <w:tcPr>
                  <w:tcW w:w="942" w:type="dxa"/>
                  <w:noWrap/>
                  <w:vAlign w:val="center"/>
                  <w:hideMark/>
                </w:tcPr>
                <w:p w14:paraId="45981920"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.000</w:t>
                  </w:r>
                </w:p>
              </w:tc>
              <w:tc>
                <w:tcPr>
                  <w:tcW w:w="1044" w:type="dxa"/>
                  <w:noWrap/>
                  <w:vAlign w:val="center"/>
                  <w:hideMark/>
                </w:tcPr>
                <w:p w14:paraId="7708AE66"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.000</w:t>
                  </w:r>
                </w:p>
              </w:tc>
              <w:tc>
                <w:tcPr>
                  <w:tcW w:w="1390" w:type="dxa"/>
                  <w:noWrap/>
                  <w:vAlign w:val="center"/>
                  <w:hideMark/>
                </w:tcPr>
                <w:p w14:paraId="23176DBA"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.000</w:t>
                  </w:r>
                </w:p>
              </w:tc>
            </w:tr>
            <w:tr w:rsidR="00427373" w:rsidRPr="00427373" w14:paraId="1B2E93F3" w14:textId="77777777" w:rsidTr="00427373">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239" w:type="dxa"/>
                  <w:noWrap/>
                  <w:vAlign w:val="center"/>
                  <w:hideMark/>
                </w:tcPr>
                <w:p w14:paraId="2C1F4727" w14:textId="77777777" w:rsidR="00427373" w:rsidRPr="00427373" w:rsidRDefault="00427373" w:rsidP="00427373">
                  <w:pPr>
                    <w:spacing w:after="0" w:line="240" w:lineRule="auto"/>
                    <w:jc w:val="center"/>
                    <w:rPr>
                      <w:rFonts w:ascii="Book Antiqua" w:eastAsia="Times New Roman" w:hAnsi="Book Antiqua" w:cs="Times New Roman"/>
                      <w:sz w:val="18"/>
                      <w:szCs w:val="18"/>
                      <w:lang w:val="en-ID"/>
                    </w:rPr>
                  </w:pPr>
                </w:p>
              </w:tc>
              <w:tc>
                <w:tcPr>
                  <w:tcW w:w="1390" w:type="dxa"/>
                  <w:noWrap/>
                  <w:vAlign w:val="center"/>
                  <w:hideMark/>
                </w:tcPr>
                <w:p w14:paraId="46F96255"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b/>
                      <w:bCs/>
                      <w:sz w:val="18"/>
                      <w:szCs w:val="18"/>
                      <w:lang w:val="en-ID"/>
                    </w:rPr>
                    <w:t>Economy growth</w:t>
                  </w:r>
                </w:p>
              </w:tc>
              <w:tc>
                <w:tcPr>
                  <w:tcW w:w="956" w:type="dxa"/>
                  <w:noWrap/>
                  <w:vAlign w:val="center"/>
                  <w:hideMark/>
                </w:tcPr>
                <w:p w14:paraId="683E3570"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.000</w:t>
                  </w:r>
                </w:p>
              </w:tc>
              <w:tc>
                <w:tcPr>
                  <w:tcW w:w="1011" w:type="dxa"/>
                  <w:noWrap/>
                  <w:vAlign w:val="center"/>
                  <w:hideMark/>
                </w:tcPr>
                <w:p w14:paraId="3594EC5E"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.000</w:t>
                  </w:r>
                </w:p>
              </w:tc>
              <w:tc>
                <w:tcPr>
                  <w:tcW w:w="1198" w:type="dxa"/>
                  <w:noWrap/>
                  <w:vAlign w:val="center"/>
                  <w:hideMark/>
                </w:tcPr>
                <w:p w14:paraId="2D3CB475"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.048</w:t>
                  </w:r>
                </w:p>
              </w:tc>
              <w:tc>
                <w:tcPr>
                  <w:tcW w:w="942" w:type="dxa"/>
                  <w:noWrap/>
                  <w:vAlign w:val="center"/>
                  <w:hideMark/>
                </w:tcPr>
                <w:p w14:paraId="0CE3ABF9"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p>
              </w:tc>
              <w:tc>
                <w:tcPr>
                  <w:tcW w:w="1044" w:type="dxa"/>
                  <w:noWrap/>
                  <w:vAlign w:val="center"/>
                  <w:hideMark/>
                </w:tcPr>
                <w:p w14:paraId="15491D2B"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.000</w:t>
                  </w:r>
                </w:p>
              </w:tc>
              <w:tc>
                <w:tcPr>
                  <w:tcW w:w="1390" w:type="dxa"/>
                  <w:noWrap/>
                  <w:vAlign w:val="center"/>
                  <w:hideMark/>
                </w:tcPr>
                <w:p w14:paraId="30F0A675"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.000</w:t>
                  </w:r>
                </w:p>
              </w:tc>
            </w:tr>
            <w:tr w:rsidR="00427373" w:rsidRPr="00427373" w14:paraId="03FEF778" w14:textId="77777777" w:rsidTr="00427373">
              <w:trPr>
                <w:trHeight w:val="623"/>
              </w:trPr>
              <w:tc>
                <w:tcPr>
                  <w:cnfStyle w:val="001000000000" w:firstRow="0" w:lastRow="0" w:firstColumn="1" w:lastColumn="0" w:oddVBand="0" w:evenVBand="0" w:oddHBand="0" w:evenHBand="0" w:firstRowFirstColumn="0" w:firstRowLastColumn="0" w:lastRowFirstColumn="0" w:lastRowLastColumn="0"/>
                  <w:tcW w:w="1239" w:type="dxa"/>
                  <w:noWrap/>
                  <w:vAlign w:val="center"/>
                  <w:hideMark/>
                </w:tcPr>
                <w:p w14:paraId="64EE82A7" w14:textId="77777777" w:rsidR="00427373" w:rsidRPr="00427373" w:rsidRDefault="00427373" w:rsidP="00427373">
                  <w:pPr>
                    <w:spacing w:after="0" w:line="240" w:lineRule="auto"/>
                    <w:jc w:val="center"/>
                    <w:rPr>
                      <w:rFonts w:ascii="Book Antiqua" w:eastAsia="Times New Roman" w:hAnsi="Book Antiqua" w:cs="Times New Roman"/>
                      <w:sz w:val="18"/>
                      <w:szCs w:val="18"/>
                      <w:lang w:val="en-ID"/>
                    </w:rPr>
                  </w:pPr>
                </w:p>
              </w:tc>
              <w:tc>
                <w:tcPr>
                  <w:tcW w:w="1390" w:type="dxa"/>
                  <w:vAlign w:val="center"/>
                  <w:hideMark/>
                </w:tcPr>
                <w:p w14:paraId="2D173568"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b/>
                      <w:bCs/>
                      <w:sz w:val="18"/>
                      <w:szCs w:val="18"/>
                      <w:lang w:val="en-ID"/>
                    </w:rPr>
                    <w:t>International gold price</w:t>
                  </w:r>
                </w:p>
              </w:tc>
              <w:tc>
                <w:tcPr>
                  <w:tcW w:w="956" w:type="dxa"/>
                  <w:noWrap/>
                  <w:vAlign w:val="center"/>
                  <w:hideMark/>
                </w:tcPr>
                <w:p w14:paraId="6E68B078"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.000</w:t>
                  </w:r>
                </w:p>
              </w:tc>
              <w:tc>
                <w:tcPr>
                  <w:tcW w:w="1011" w:type="dxa"/>
                  <w:noWrap/>
                  <w:vAlign w:val="center"/>
                  <w:hideMark/>
                </w:tcPr>
                <w:p w14:paraId="4146D5B1"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.000</w:t>
                  </w:r>
                </w:p>
              </w:tc>
              <w:tc>
                <w:tcPr>
                  <w:tcW w:w="1198" w:type="dxa"/>
                  <w:noWrap/>
                  <w:vAlign w:val="center"/>
                  <w:hideMark/>
                </w:tcPr>
                <w:p w14:paraId="5580C8EE"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.000</w:t>
                  </w:r>
                </w:p>
              </w:tc>
              <w:tc>
                <w:tcPr>
                  <w:tcW w:w="942" w:type="dxa"/>
                  <w:noWrap/>
                  <w:vAlign w:val="center"/>
                  <w:hideMark/>
                </w:tcPr>
                <w:p w14:paraId="48A9464D"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.000</w:t>
                  </w:r>
                </w:p>
              </w:tc>
              <w:tc>
                <w:tcPr>
                  <w:tcW w:w="1044" w:type="dxa"/>
                  <w:noWrap/>
                  <w:vAlign w:val="center"/>
                  <w:hideMark/>
                </w:tcPr>
                <w:p w14:paraId="20FACAC5"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.000</w:t>
                  </w:r>
                </w:p>
              </w:tc>
              <w:tc>
                <w:tcPr>
                  <w:tcW w:w="1390" w:type="dxa"/>
                  <w:noWrap/>
                  <w:vAlign w:val="center"/>
                  <w:hideMark/>
                </w:tcPr>
                <w:p w14:paraId="5041B664"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.000</w:t>
                  </w:r>
                </w:p>
              </w:tc>
            </w:tr>
            <w:tr w:rsidR="00427373" w:rsidRPr="00427373" w14:paraId="6418F1D4" w14:textId="77777777" w:rsidTr="00427373">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1239" w:type="dxa"/>
                  <w:noWrap/>
                  <w:vAlign w:val="center"/>
                  <w:hideMark/>
                </w:tcPr>
                <w:p w14:paraId="6768619A" w14:textId="77777777" w:rsidR="00427373" w:rsidRPr="00427373" w:rsidRDefault="00427373" w:rsidP="00427373">
                  <w:pPr>
                    <w:spacing w:after="0" w:line="240" w:lineRule="auto"/>
                    <w:jc w:val="center"/>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N</w:t>
                  </w:r>
                </w:p>
              </w:tc>
              <w:tc>
                <w:tcPr>
                  <w:tcW w:w="1390" w:type="dxa"/>
                  <w:vAlign w:val="center"/>
                  <w:hideMark/>
                </w:tcPr>
                <w:p w14:paraId="2A7534D4"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b/>
                      <w:bCs/>
                      <w:sz w:val="18"/>
                      <w:szCs w:val="18"/>
                      <w:lang w:val="en-ID"/>
                    </w:rPr>
                    <w:t>Gold account</w:t>
                  </w:r>
                </w:p>
              </w:tc>
              <w:tc>
                <w:tcPr>
                  <w:tcW w:w="956" w:type="dxa"/>
                  <w:noWrap/>
                  <w:vAlign w:val="center"/>
                  <w:hideMark/>
                </w:tcPr>
                <w:p w14:paraId="6D78615C"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c>
                <w:tcPr>
                  <w:tcW w:w="1011" w:type="dxa"/>
                  <w:noWrap/>
                  <w:vAlign w:val="center"/>
                  <w:hideMark/>
                </w:tcPr>
                <w:p w14:paraId="3E3BF70A"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c>
                <w:tcPr>
                  <w:tcW w:w="1198" w:type="dxa"/>
                  <w:noWrap/>
                  <w:vAlign w:val="center"/>
                  <w:hideMark/>
                </w:tcPr>
                <w:p w14:paraId="1D8114C6"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c>
                <w:tcPr>
                  <w:tcW w:w="942" w:type="dxa"/>
                  <w:noWrap/>
                  <w:vAlign w:val="center"/>
                  <w:hideMark/>
                </w:tcPr>
                <w:p w14:paraId="7C06B71C"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c>
                <w:tcPr>
                  <w:tcW w:w="1044" w:type="dxa"/>
                  <w:noWrap/>
                  <w:vAlign w:val="center"/>
                  <w:hideMark/>
                </w:tcPr>
                <w:p w14:paraId="28AB9C71"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c>
                <w:tcPr>
                  <w:tcW w:w="1390" w:type="dxa"/>
                  <w:noWrap/>
                  <w:vAlign w:val="center"/>
                  <w:hideMark/>
                </w:tcPr>
                <w:p w14:paraId="5A9D6AD9"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r>
            <w:tr w:rsidR="00427373" w:rsidRPr="00427373" w14:paraId="2AB60BAD" w14:textId="77777777" w:rsidTr="00427373">
              <w:trPr>
                <w:trHeight w:val="293"/>
              </w:trPr>
              <w:tc>
                <w:tcPr>
                  <w:cnfStyle w:val="001000000000" w:firstRow="0" w:lastRow="0" w:firstColumn="1" w:lastColumn="0" w:oddVBand="0" w:evenVBand="0" w:oddHBand="0" w:evenHBand="0" w:firstRowFirstColumn="0" w:firstRowLastColumn="0" w:lastRowFirstColumn="0" w:lastRowLastColumn="0"/>
                  <w:tcW w:w="1239" w:type="dxa"/>
                  <w:noWrap/>
                  <w:vAlign w:val="center"/>
                  <w:hideMark/>
                </w:tcPr>
                <w:p w14:paraId="2C023A8B" w14:textId="77777777" w:rsidR="00427373" w:rsidRPr="00427373" w:rsidRDefault="00427373" w:rsidP="00427373">
                  <w:pPr>
                    <w:spacing w:after="0" w:line="240" w:lineRule="auto"/>
                    <w:jc w:val="center"/>
                    <w:rPr>
                      <w:rFonts w:ascii="Book Antiqua" w:eastAsia="Times New Roman" w:hAnsi="Book Antiqua" w:cs="Times New Roman"/>
                      <w:sz w:val="18"/>
                      <w:szCs w:val="18"/>
                      <w:lang w:val="en-ID"/>
                    </w:rPr>
                  </w:pPr>
                </w:p>
              </w:tc>
              <w:tc>
                <w:tcPr>
                  <w:tcW w:w="1390" w:type="dxa"/>
                  <w:noWrap/>
                  <w:vAlign w:val="center"/>
                  <w:hideMark/>
                </w:tcPr>
                <w:p w14:paraId="6C8CA8E1"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I</w:t>
                  </w:r>
                  <w:r w:rsidRPr="00427373">
                    <w:rPr>
                      <w:rFonts w:ascii="Book Antiqua" w:eastAsia="Times New Roman" w:hAnsi="Book Antiqua" w:cs="Times New Roman"/>
                      <w:b/>
                      <w:bCs/>
                      <w:sz w:val="18"/>
                      <w:szCs w:val="18"/>
                      <w:lang w:val="en-ID"/>
                    </w:rPr>
                    <w:t>nflation</w:t>
                  </w:r>
                </w:p>
              </w:tc>
              <w:tc>
                <w:tcPr>
                  <w:tcW w:w="956" w:type="dxa"/>
                  <w:noWrap/>
                  <w:vAlign w:val="center"/>
                  <w:hideMark/>
                </w:tcPr>
                <w:p w14:paraId="6B37BD64"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c>
                <w:tcPr>
                  <w:tcW w:w="1011" w:type="dxa"/>
                  <w:noWrap/>
                  <w:vAlign w:val="center"/>
                  <w:hideMark/>
                </w:tcPr>
                <w:p w14:paraId="546996B2"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c>
                <w:tcPr>
                  <w:tcW w:w="1198" w:type="dxa"/>
                  <w:noWrap/>
                  <w:vAlign w:val="center"/>
                  <w:hideMark/>
                </w:tcPr>
                <w:p w14:paraId="71C6FDC2"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c>
                <w:tcPr>
                  <w:tcW w:w="942" w:type="dxa"/>
                  <w:noWrap/>
                  <w:vAlign w:val="center"/>
                  <w:hideMark/>
                </w:tcPr>
                <w:p w14:paraId="7A01E62C"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c>
                <w:tcPr>
                  <w:tcW w:w="1044" w:type="dxa"/>
                  <w:noWrap/>
                  <w:vAlign w:val="center"/>
                  <w:hideMark/>
                </w:tcPr>
                <w:p w14:paraId="35E81900"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c>
                <w:tcPr>
                  <w:tcW w:w="1390" w:type="dxa"/>
                  <w:noWrap/>
                  <w:vAlign w:val="center"/>
                  <w:hideMark/>
                </w:tcPr>
                <w:p w14:paraId="2413E7F3"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r>
            <w:tr w:rsidR="00427373" w:rsidRPr="00427373" w14:paraId="7EBA5974" w14:textId="77777777" w:rsidTr="00427373">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239" w:type="dxa"/>
                  <w:noWrap/>
                  <w:vAlign w:val="center"/>
                  <w:hideMark/>
                </w:tcPr>
                <w:p w14:paraId="24EAC0BE" w14:textId="77777777" w:rsidR="00427373" w:rsidRPr="00427373" w:rsidRDefault="00427373" w:rsidP="00427373">
                  <w:pPr>
                    <w:spacing w:after="0" w:line="240" w:lineRule="auto"/>
                    <w:jc w:val="center"/>
                    <w:rPr>
                      <w:rFonts w:ascii="Book Antiqua" w:eastAsia="Times New Roman" w:hAnsi="Book Antiqua" w:cs="Times New Roman"/>
                      <w:sz w:val="18"/>
                      <w:szCs w:val="18"/>
                      <w:lang w:val="en-ID"/>
                    </w:rPr>
                  </w:pPr>
                </w:p>
              </w:tc>
              <w:tc>
                <w:tcPr>
                  <w:tcW w:w="1390" w:type="dxa"/>
                  <w:noWrap/>
                  <w:vAlign w:val="center"/>
                  <w:hideMark/>
                </w:tcPr>
                <w:p w14:paraId="5CF10B25"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b/>
                      <w:bCs/>
                      <w:sz w:val="18"/>
                      <w:szCs w:val="18"/>
                      <w:lang w:val="en-ID"/>
                    </w:rPr>
                    <w:t>Exchange rate</w:t>
                  </w:r>
                </w:p>
              </w:tc>
              <w:tc>
                <w:tcPr>
                  <w:tcW w:w="956" w:type="dxa"/>
                  <w:noWrap/>
                  <w:vAlign w:val="center"/>
                  <w:hideMark/>
                </w:tcPr>
                <w:p w14:paraId="26456748"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c>
                <w:tcPr>
                  <w:tcW w:w="1011" w:type="dxa"/>
                  <w:noWrap/>
                  <w:vAlign w:val="center"/>
                  <w:hideMark/>
                </w:tcPr>
                <w:p w14:paraId="4F97EAA8"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c>
                <w:tcPr>
                  <w:tcW w:w="1198" w:type="dxa"/>
                  <w:noWrap/>
                  <w:vAlign w:val="center"/>
                  <w:hideMark/>
                </w:tcPr>
                <w:p w14:paraId="1211FD09"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c>
                <w:tcPr>
                  <w:tcW w:w="942" w:type="dxa"/>
                  <w:noWrap/>
                  <w:vAlign w:val="center"/>
                  <w:hideMark/>
                </w:tcPr>
                <w:p w14:paraId="5724F91E"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c>
                <w:tcPr>
                  <w:tcW w:w="1044" w:type="dxa"/>
                  <w:noWrap/>
                  <w:vAlign w:val="center"/>
                  <w:hideMark/>
                </w:tcPr>
                <w:p w14:paraId="4075CC3D"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c>
                <w:tcPr>
                  <w:tcW w:w="1390" w:type="dxa"/>
                  <w:noWrap/>
                  <w:vAlign w:val="center"/>
                  <w:hideMark/>
                </w:tcPr>
                <w:p w14:paraId="02291FEC"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r>
            <w:tr w:rsidR="00427373" w:rsidRPr="00427373" w14:paraId="2BADFE74" w14:textId="77777777" w:rsidTr="00427373">
              <w:trPr>
                <w:trHeight w:val="293"/>
              </w:trPr>
              <w:tc>
                <w:tcPr>
                  <w:cnfStyle w:val="001000000000" w:firstRow="0" w:lastRow="0" w:firstColumn="1" w:lastColumn="0" w:oddVBand="0" w:evenVBand="0" w:oddHBand="0" w:evenHBand="0" w:firstRowFirstColumn="0" w:firstRowLastColumn="0" w:lastRowFirstColumn="0" w:lastRowLastColumn="0"/>
                  <w:tcW w:w="1239" w:type="dxa"/>
                  <w:noWrap/>
                  <w:vAlign w:val="center"/>
                  <w:hideMark/>
                </w:tcPr>
                <w:p w14:paraId="4E06A43D" w14:textId="77777777" w:rsidR="00427373" w:rsidRPr="00427373" w:rsidRDefault="00427373" w:rsidP="00427373">
                  <w:pPr>
                    <w:spacing w:after="0" w:line="240" w:lineRule="auto"/>
                    <w:jc w:val="center"/>
                    <w:rPr>
                      <w:rFonts w:ascii="Book Antiqua" w:eastAsia="Times New Roman" w:hAnsi="Book Antiqua" w:cs="Times New Roman"/>
                      <w:sz w:val="18"/>
                      <w:szCs w:val="18"/>
                      <w:lang w:val="en-ID"/>
                    </w:rPr>
                  </w:pPr>
                </w:p>
              </w:tc>
              <w:tc>
                <w:tcPr>
                  <w:tcW w:w="1390" w:type="dxa"/>
                  <w:noWrap/>
                  <w:vAlign w:val="center"/>
                  <w:hideMark/>
                </w:tcPr>
                <w:p w14:paraId="6FD794B2"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b/>
                      <w:bCs/>
                      <w:sz w:val="18"/>
                      <w:szCs w:val="18"/>
                      <w:lang w:val="en-ID"/>
                    </w:rPr>
                    <w:t>Interest rate</w:t>
                  </w:r>
                </w:p>
              </w:tc>
              <w:tc>
                <w:tcPr>
                  <w:tcW w:w="956" w:type="dxa"/>
                  <w:noWrap/>
                  <w:vAlign w:val="center"/>
                  <w:hideMark/>
                </w:tcPr>
                <w:p w14:paraId="3C705704"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c>
                <w:tcPr>
                  <w:tcW w:w="1011" w:type="dxa"/>
                  <w:noWrap/>
                  <w:vAlign w:val="center"/>
                  <w:hideMark/>
                </w:tcPr>
                <w:p w14:paraId="3CC71317"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c>
                <w:tcPr>
                  <w:tcW w:w="1198" w:type="dxa"/>
                  <w:noWrap/>
                  <w:vAlign w:val="center"/>
                  <w:hideMark/>
                </w:tcPr>
                <w:p w14:paraId="3C341CA4"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c>
                <w:tcPr>
                  <w:tcW w:w="942" w:type="dxa"/>
                  <w:noWrap/>
                  <w:vAlign w:val="center"/>
                  <w:hideMark/>
                </w:tcPr>
                <w:p w14:paraId="363B9DC4"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c>
                <w:tcPr>
                  <w:tcW w:w="1044" w:type="dxa"/>
                  <w:noWrap/>
                  <w:vAlign w:val="center"/>
                  <w:hideMark/>
                </w:tcPr>
                <w:p w14:paraId="2820280B"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c>
                <w:tcPr>
                  <w:tcW w:w="1390" w:type="dxa"/>
                  <w:noWrap/>
                  <w:vAlign w:val="center"/>
                  <w:hideMark/>
                </w:tcPr>
                <w:p w14:paraId="74ACFE8B"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r>
            <w:tr w:rsidR="00427373" w:rsidRPr="00427373" w14:paraId="4AF65272" w14:textId="77777777" w:rsidTr="00427373">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239" w:type="dxa"/>
                  <w:noWrap/>
                  <w:vAlign w:val="center"/>
                  <w:hideMark/>
                </w:tcPr>
                <w:p w14:paraId="4D07679B" w14:textId="77777777" w:rsidR="00427373" w:rsidRPr="00427373" w:rsidRDefault="00427373" w:rsidP="00427373">
                  <w:pPr>
                    <w:spacing w:after="0" w:line="240" w:lineRule="auto"/>
                    <w:jc w:val="center"/>
                    <w:rPr>
                      <w:rFonts w:ascii="Book Antiqua" w:eastAsia="Times New Roman" w:hAnsi="Book Antiqua" w:cs="Times New Roman"/>
                      <w:sz w:val="18"/>
                      <w:szCs w:val="18"/>
                      <w:lang w:val="en-ID"/>
                    </w:rPr>
                  </w:pPr>
                </w:p>
              </w:tc>
              <w:tc>
                <w:tcPr>
                  <w:tcW w:w="1390" w:type="dxa"/>
                  <w:noWrap/>
                  <w:vAlign w:val="center"/>
                  <w:hideMark/>
                </w:tcPr>
                <w:p w14:paraId="301E7961"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b/>
                      <w:bCs/>
                      <w:sz w:val="18"/>
                      <w:szCs w:val="18"/>
                      <w:lang w:val="en-ID"/>
                    </w:rPr>
                    <w:t>Economy growth</w:t>
                  </w:r>
                </w:p>
              </w:tc>
              <w:tc>
                <w:tcPr>
                  <w:tcW w:w="956" w:type="dxa"/>
                  <w:noWrap/>
                  <w:vAlign w:val="center"/>
                  <w:hideMark/>
                </w:tcPr>
                <w:p w14:paraId="1C235070"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c>
                <w:tcPr>
                  <w:tcW w:w="1011" w:type="dxa"/>
                  <w:noWrap/>
                  <w:vAlign w:val="center"/>
                  <w:hideMark/>
                </w:tcPr>
                <w:p w14:paraId="11D19622"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c>
                <w:tcPr>
                  <w:tcW w:w="1198" w:type="dxa"/>
                  <w:noWrap/>
                  <w:vAlign w:val="center"/>
                  <w:hideMark/>
                </w:tcPr>
                <w:p w14:paraId="307947BB"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c>
                <w:tcPr>
                  <w:tcW w:w="942" w:type="dxa"/>
                  <w:noWrap/>
                  <w:vAlign w:val="center"/>
                  <w:hideMark/>
                </w:tcPr>
                <w:p w14:paraId="37C19F4F"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c>
                <w:tcPr>
                  <w:tcW w:w="1044" w:type="dxa"/>
                  <w:noWrap/>
                  <w:vAlign w:val="center"/>
                  <w:hideMark/>
                </w:tcPr>
                <w:p w14:paraId="1A097364"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c>
                <w:tcPr>
                  <w:tcW w:w="1390" w:type="dxa"/>
                  <w:noWrap/>
                  <w:vAlign w:val="center"/>
                  <w:hideMark/>
                </w:tcPr>
                <w:p w14:paraId="779C870F" w14:textId="77777777" w:rsidR="00427373" w:rsidRPr="00427373" w:rsidRDefault="00427373" w:rsidP="004273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r>
            <w:tr w:rsidR="00427373" w:rsidRPr="00427373" w14:paraId="131537AA" w14:textId="77777777" w:rsidTr="00427373">
              <w:trPr>
                <w:trHeight w:val="642"/>
              </w:trPr>
              <w:tc>
                <w:tcPr>
                  <w:cnfStyle w:val="001000000000" w:firstRow="0" w:lastRow="0" w:firstColumn="1" w:lastColumn="0" w:oddVBand="0" w:evenVBand="0" w:oddHBand="0" w:evenHBand="0" w:firstRowFirstColumn="0" w:firstRowLastColumn="0" w:lastRowFirstColumn="0" w:lastRowLastColumn="0"/>
                  <w:tcW w:w="1239" w:type="dxa"/>
                  <w:noWrap/>
                  <w:vAlign w:val="center"/>
                  <w:hideMark/>
                </w:tcPr>
                <w:p w14:paraId="66C5ACF6" w14:textId="77777777" w:rsidR="00427373" w:rsidRPr="00427373" w:rsidRDefault="00427373" w:rsidP="00427373">
                  <w:pPr>
                    <w:spacing w:after="0" w:line="240" w:lineRule="auto"/>
                    <w:jc w:val="center"/>
                    <w:rPr>
                      <w:rFonts w:ascii="Book Antiqua" w:eastAsia="Times New Roman" w:hAnsi="Book Antiqua" w:cs="Times New Roman"/>
                      <w:sz w:val="18"/>
                      <w:szCs w:val="18"/>
                      <w:lang w:val="en-ID"/>
                    </w:rPr>
                  </w:pPr>
                </w:p>
              </w:tc>
              <w:tc>
                <w:tcPr>
                  <w:tcW w:w="1390" w:type="dxa"/>
                  <w:vAlign w:val="center"/>
                  <w:hideMark/>
                </w:tcPr>
                <w:p w14:paraId="4889597F"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b/>
                      <w:bCs/>
                      <w:sz w:val="18"/>
                      <w:szCs w:val="18"/>
                      <w:lang w:val="en-ID"/>
                    </w:rPr>
                    <w:t>International gold price</w:t>
                  </w:r>
                </w:p>
              </w:tc>
              <w:tc>
                <w:tcPr>
                  <w:tcW w:w="956" w:type="dxa"/>
                  <w:noWrap/>
                  <w:vAlign w:val="center"/>
                  <w:hideMark/>
                </w:tcPr>
                <w:p w14:paraId="583B27D7"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c>
                <w:tcPr>
                  <w:tcW w:w="1011" w:type="dxa"/>
                  <w:noWrap/>
                  <w:vAlign w:val="center"/>
                  <w:hideMark/>
                </w:tcPr>
                <w:p w14:paraId="7074409D"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c>
                <w:tcPr>
                  <w:tcW w:w="1198" w:type="dxa"/>
                  <w:noWrap/>
                  <w:vAlign w:val="center"/>
                  <w:hideMark/>
                </w:tcPr>
                <w:p w14:paraId="36DFBB40"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c>
                <w:tcPr>
                  <w:tcW w:w="942" w:type="dxa"/>
                  <w:noWrap/>
                  <w:vAlign w:val="center"/>
                  <w:hideMark/>
                </w:tcPr>
                <w:p w14:paraId="401F5599"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c>
                <w:tcPr>
                  <w:tcW w:w="1044" w:type="dxa"/>
                  <w:noWrap/>
                  <w:vAlign w:val="center"/>
                  <w:hideMark/>
                </w:tcPr>
                <w:p w14:paraId="0D23B623"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c>
                <w:tcPr>
                  <w:tcW w:w="1390" w:type="dxa"/>
                  <w:noWrap/>
                  <w:vAlign w:val="center"/>
                  <w:hideMark/>
                </w:tcPr>
                <w:p w14:paraId="2E0F113E" w14:textId="77777777" w:rsidR="00427373" w:rsidRPr="00427373" w:rsidRDefault="00427373" w:rsidP="004273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18"/>
                      <w:szCs w:val="18"/>
                      <w:lang w:val="en-ID"/>
                    </w:rPr>
                  </w:pPr>
                  <w:r w:rsidRPr="00427373">
                    <w:rPr>
                      <w:rFonts w:ascii="Book Antiqua" w:eastAsia="Times New Roman" w:hAnsi="Book Antiqua" w:cs="Times New Roman"/>
                      <w:sz w:val="18"/>
                      <w:szCs w:val="18"/>
                      <w:lang w:val="en-ID"/>
                    </w:rPr>
                    <w:t>72</w:t>
                  </w:r>
                </w:p>
              </w:tc>
            </w:tr>
          </w:tbl>
          <w:p w14:paraId="4452EB62" w14:textId="77777777" w:rsidR="00AA76D5" w:rsidRPr="00855285" w:rsidRDefault="00AA76D5" w:rsidP="00AA76D5">
            <w:pPr>
              <w:pStyle w:val="ListParagraph"/>
              <w:numPr>
                <w:ilvl w:val="1"/>
                <w:numId w:val="1"/>
              </w:numPr>
              <w:tabs>
                <w:tab w:val="left" w:pos="1545"/>
              </w:tabs>
              <w:spacing w:after="120" w:line="240" w:lineRule="auto"/>
              <w:ind w:left="913" w:right="6"/>
              <w:contextualSpacing w:val="0"/>
              <w:jc w:val="both"/>
              <w:rPr>
                <w:rFonts w:ascii="Book Antiqua" w:eastAsiaTheme="minorEastAsia" w:hAnsi="Book Antiqua"/>
                <w:sz w:val="24"/>
                <w:szCs w:val="24"/>
              </w:rPr>
            </w:pPr>
            <w:r w:rsidRPr="00855285">
              <w:rPr>
                <w:rFonts w:ascii="Book Antiqua" w:eastAsiaTheme="minorEastAsia" w:hAnsi="Book Antiqua"/>
                <w:sz w:val="24"/>
                <w:szCs w:val="24"/>
              </w:rPr>
              <w:t>Sig value (1-tailed) for all independent variables &lt; alpha 0.05</w:t>
            </w:r>
          </w:p>
          <w:p w14:paraId="3C1CD82F" w14:textId="77777777" w:rsidR="00AA76D5" w:rsidRDefault="00AA76D5" w:rsidP="00AA76D5">
            <w:pPr>
              <w:pStyle w:val="ListParagraph"/>
              <w:numPr>
                <w:ilvl w:val="1"/>
                <w:numId w:val="1"/>
              </w:numPr>
              <w:tabs>
                <w:tab w:val="left" w:pos="1545"/>
              </w:tabs>
              <w:spacing w:after="120" w:line="240" w:lineRule="auto"/>
              <w:ind w:left="913" w:right="6"/>
              <w:contextualSpacing w:val="0"/>
              <w:jc w:val="both"/>
              <w:rPr>
                <w:rFonts w:ascii="Book Antiqua" w:eastAsiaTheme="minorEastAsia" w:hAnsi="Book Antiqua"/>
                <w:sz w:val="24"/>
                <w:szCs w:val="24"/>
              </w:rPr>
            </w:pPr>
            <w:r w:rsidRPr="00855285">
              <w:rPr>
                <w:rFonts w:ascii="Book Antiqua" w:eastAsiaTheme="minorEastAsia" w:hAnsi="Book Antiqua"/>
                <w:sz w:val="24"/>
                <w:szCs w:val="24"/>
              </w:rPr>
              <w:t>The magnitude of the respective correlation coefficients is:</w:t>
            </w:r>
          </w:p>
          <w:p w14:paraId="399E44C9" w14:textId="77777777" w:rsidR="00AA76D5" w:rsidRDefault="00AA76D5" w:rsidP="00AA76D5">
            <w:pPr>
              <w:pStyle w:val="ListParagraph"/>
              <w:tabs>
                <w:tab w:val="left" w:pos="1545"/>
              </w:tabs>
              <w:spacing w:after="120" w:line="240" w:lineRule="auto"/>
              <w:ind w:left="913" w:right="6"/>
              <w:contextualSpacing w:val="0"/>
              <w:jc w:val="both"/>
              <w:rPr>
                <w:rFonts w:ascii="Book Antiqua" w:eastAsiaTheme="minorEastAsia" w:hAnsi="Book Antiqua"/>
                <w:sz w:val="24"/>
                <w:szCs w:val="24"/>
              </w:rPr>
            </w:pPr>
            <w:r w:rsidRPr="00855285">
              <w:rPr>
                <w:rFonts w:ascii="Book Antiqua" w:eastAsiaTheme="minorEastAsia" w:hAnsi="Book Antiqua"/>
                <w:sz w:val="24"/>
                <w:szCs w:val="24"/>
              </w:rPr>
              <w:t xml:space="preserve">X1 = -.350 means that the inflation rate has a negative correlation with the Pegadaian gold account. This result is not in line with the findings of Wicaksono's research in 2016, where it was stated that inflation had a positive influence on the price of gold in Indonesia. This research advises investors to sell their gold holdings when inflation increases, this is because increasing inflation in Indonesia will push the price of gold up. The negative correlation between the inflation variable and the price of Pegadaian gold accounts can be explained because in the research period from 2017 to 2022 there was a Covid pandemic in 2020 to 2022. In the research period there was a decline in the inflation rate until the beginning of 2022, which was caused by the pandemic which caused a decrease in purchasing power. public. Meanwhile, in the same period, the price of gold as a safe-haven asset experienced a significant spike, </w:t>
            </w:r>
            <w:r w:rsidRPr="00855285">
              <w:rPr>
                <w:rFonts w:ascii="Book Antiqua" w:eastAsiaTheme="minorEastAsia" w:hAnsi="Book Antiqua"/>
                <w:sz w:val="24"/>
                <w:szCs w:val="24"/>
              </w:rPr>
              <w:lastRenderedPageBreak/>
              <w:t>so the results show that inflation has a negative correlation with Pegadaian gold accounts.</w:t>
            </w:r>
          </w:p>
          <w:p w14:paraId="07C1B854" w14:textId="77777777" w:rsidR="00AA76D5" w:rsidRDefault="00AA76D5" w:rsidP="00AA76D5">
            <w:pPr>
              <w:pStyle w:val="ListParagraph"/>
              <w:tabs>
                <w:tab w:val="left" w:pos="1545"/>
              </w:tabs>
              <w:spacing w:after="120" w:line="240" w:lineRule="auto"/>
              <w:ind w:left="913" w:right="6"/>
              <w:contextualSpacing w:val="0"/>
              <w:jc w:val="both"/>
              <w:rPr>
                <w:rFonts w:ascii="Book Antiqua" w:eastAsiaTheme="minorEastAsia" w:hAnsi="Book Antiqua"/>
                <w:sz w:val="24"/>
                <w:szCs w:val="24"/>
              </w:rPr>
            </w:pPr>
            <w:r w:rsidRPr="00E54420">
              <w:rPr>
                <w:rFonts w:ascii="Book Antiqua" w:eastAsiaTheme="minorEastAsia" w:hAnsi="Book Antiqua"/>
                <w:sz w:val="24"/>
                <w:szCs w:val="24"/>
              </w:rPr>
              <w:t>X2 = 0.617, meaning that the Rupiah exchange rate against USD has a positive correlation with the Pegadaian gold account. These results are in line with research by Kesarditama, Haryadi, and Vyn Amzar in 2020 which stated that the Rupiah exchange rate against the USD showed a positive and significant influence on the price of gold in Indonesia.</w:t>
            </w:r>
          </w:p>
          <w:p w14:paraId="4604BFBB" w14:textId="1F1F8A0A" w:rsidR="00DB387A" w:rsidRPr="00D60F0C" w:rsidRDefault="00AA76D5" w:rsidP="00D60F0C">
            <w:pPr>
              <w:pStyle w:val="ListParagraph"/>
              <w:tabs>
                <w:tab w:val="left" w:pos="1545"/>
              </w:tabs>
              <w:spacing w:after="120" w:line="240" w:lineRule="auto"/>
              <w:ind w:left="913" w:right="6"/>
              <w:contextualSpacing w:val="0"/>
              <w:jc w:val="both"/>
              <w:rPr>
                <w:rFonts w:ascii="Book Antiqua" w:eastAsiaTheme="minorEastAsia" w:hAnsi="Book Antiqua"/>
                <w:sz w:val="24"/>
                <w:szCs w:val="24"/>
              </w:rPr>
            </w:pPr>
            <w:r w:rsidRPr="00E54420">
              <w:rPr>
                <w:rFonts w:ascii="Book Antiqua" w:eastAsiaTheme="minorEastAsia" w:hAnsi="Book Antiqua"/>
                <w:sz w:val="24"/>
                <w:szCs w:val="24"/>
              </w:rPr>
              <w:t>X3 = -.641, meaning that the reference interest rate has a negative correlation with the Pegadaian gold account. One of the functions of reference interest for banks and financial institutions is to determine loan interest and deposit interest. This is in accordance with the theory which states that the reference interest rate will usually reduce demand for gold and will cause gold prices to tend to fall, both buying and selling prices. The trend of weakening gold prices as a result of rising interest rates is because people tend to switch to other forms of investment (logammulia.com)</w:t>
            </w:r>
            <w:r w:rsidR="00D60F0C">
              <w:rPr>
                <w:rFonts w:ascii="Book Antiqua" w:eastAsiaTheme="minorEastAsia" w:hAnsi="Book Antiqua"/>
                <w:sz w:val="24"/>
                <w:szCs w:val="24"/>
              </w:rPr>
              <w:t>.</w:t>
            </w:r>
          </w:p>
          <w:p w14:paraId="3354FCC2" w14:textId="77777777" w:rsidR="00855285" w:rsidRDefault="00157A08" w:rsidP="00855285">
            <w:pPr>
              <w:pStyle w:val="ListParagraph"/>
              <w:tabs>
                <w:tab w:val="left" w:pos="1545"/>
              </w:tabs>
              <w:spacing w:after="120" w:line="240" w:lineRule="auto"/>
              <w:ind w:left="913" w:right="6"/>
              <w:contextualSpacing w:val="0"/>
              <w:jc w:val="both"/>
              <w:rPr>
                <w:rFonts w:ascii="Book Antiqua" w:eastAsiaTheme="minorEastAsia" w:hAnsi="Book Antiqua"/>
                <w:sz w:val="24"/>
                <w:szCs w:val="24"/>
              </w:rPr>
            </w:pPr>
            <w:r w:rsidRPr="00E54420">
              <w:rPr>
                <w:rFonts w:ascii="Book Antiqua" w:eastAsiaTheme="minorEastAsia" w:hAnsi="Book Antiqua"/>
                <w:sz w:val="24"/>
                <w:szCs w:val="24"/>
              </w:rPr>
              <w:t>X4 = -0.593, meaning that the level of economic growth has a negative correlation with Pegadaian gold accounts. In theory, gold can be used as a hedge to prevent economic events such as inflation or currency depreciation (Witjaksono et al, 2022). A number of studies have examined the effectiveness of gold as a safe-haven and hedging instrument in financial markets, where gold has been proven to act as a hedging shield. This means that in theory the level of economic growth is negatively correlated with the price of gold. In the event that an event occurs that causes uncertainty and negative economic growth, the performance of gold prices will be better. In the research period from 2017 to 2022, the Covid pandemic occurred in 2020 to 2022. During the pandemic, negative economic growth occurred, while the price of gold as a safe-haven asset experienced a significant spike, in accordance with the results of the analysis which showed that economic growth had a negative correlation with gold accounts. Pawnshop.</w:t>
            </w:r>
          </w:p>
          <w:p w14:paraId="6E21CF5A" w14:textId="5B3C4CA3" w:rsidR="00157A08" w:rsidRPr="00E54420" w:rsidRDefault="00157A08" w:rsidP="00855285">
            <w:pPr>
              <w:pStyle w:val="ListParagraph"/>
              <w:tabs>
                <w:tab w:val="left" w:pos="1545"/>
              </w:tabs>
              <w:spacing w:after="120" w:line="240" w:lineRule="auto"/>
              <w:ind w:left="913" w:right="6"/>
              <w:contextualSpacing w:val="0"/>
              <w:jc w:val="both"/>
              <w:rPr>
                <w:rFonts w:ascii="Book Antiqua" w:eastAsiaTheme="minorEastAsia" w:hAnsi="Book Antiqua"/>
                <w:sz w:val="24"/>
                <w:szCs w:val="24"/>
              </w:rPr>
            </w:pPr>
            <w:r w:rsidRPr="00E54420">
              <w:rPr>
                <w:rFonts w:ascii="Book Antiqua" w:eastAsiaTheme="minorEastAsia" w:hAnsi="Book Antiqua"/>
                <w:sz w:val="24"/>
                <w:szCs w:val="24"/>
              </w:rPr>
              <w:t>X5 = 0.981 means that the International Gold Price (LBMA) has a positive correlation with a Pegadaian gold account, this is a necessity because the price of domestic gold refers to the price of foreign gold expressed in rupiah (Bareksa.co).</w:t>
            </w:r>
          </w:p>
          <w:p w14:paraId="5E43EE67" w14:textId="77777777" w:rsidR="00157A08" w:rsidRPr="00E54420" w:rsidRDefault="00157A08" w:rsidP="00157A08">
            <w:pPr>
              <w:spacing w:after="120" w:line="240" w:lineRule="auto"/>
              <w:rPr>
                <w:rFonts w:ascii="Book Antiqua" w:eastAsiaTheme="minorEastAsia" w:hAnsi="Book Antiqua"/>
                <w:sz w:val="24"/>
                <w:szCs w:val="24"/>
              </w:rPr>
            </w:pPr>
          </w:p>
          <w:p w14:paraId="38952FDC" w14:textId="77777777" w:rsidR="00E54420" w:rsidRPr="00E54420" w:rsidRDefault="00E54420" w:rsidP="00157A08">
            <w:pPr>
              <w:spacing w:after="120" w:line="240" w:lineRule="auto"/>
              <w:rPr>
                <w:rFonts w:ascii="Book Antiqua" w:eastAsiaTheme="minorEastAsia" w:hAnsi="Book Antiqua"/>
                <w:sz w:val="24"/>
                <w:szCs w:val="24"/>
              </w:rPr>
            </w:pPr>
          </w:p>
          <w:p w14:paraId="480C5849" w14:textId="291322FF" w:rsidR="00E54420" w:rsidRPr="00E54420" w:rsidRDefault="00E54420" w:rsidP="00157A08">
            <w:pPr>
              <w:spacing w:after="120" w:line="240" w:lineRule="auto"/>
              <w:ind w:firstLine="631"/>
              <w:rPr>
                <w:rFonts w:ascii="Book Antiqua" w:hAnsi="Book Antiqua"/>
                <w:sz w:val="24"/>
                <w:szCs w:val="24"/>
              </w:rPr>
            </w:pPr>
          </w:p>
        </w:tc>
      </w:tr>
      <w:tr w:rsidR="00157A08" w:rsidRPr="00E54420" w14:paraId="0D197360" w14:textId="77777777" w:rsidTr="00AF097F">
        <w:trPr>
          <w:trHeight w:val="4176"/>
        </w:trPr>
        <w:tc>
          <w:tcPr>
            <w:tcW w:w="9396" w:type="dxa"/>
          </w:tcPr>
          <w:p w14:paraId="128F2B8A" w14:textId="77777777" w:rsidR="00855285" w:rsidRPr="00855285" w:rsidRDefault="00855285" w:rsidP="00855285">
            <w:pPr>
              <w:tabs>
                <w:tab w:val="left" w:pos="1545"/>
              </w:tabs>
              <w:spacing w:after="120" w:line="240" w:lineRule="auto"/>
              <w:ind w:left="2474" w:right="4"/>
              <w:rPr>
                <w:rFonts w:ascii="Book Antiqua" w:eastAsiaTheme="minorEastAsia" w:hAnsi="Book Antiqua"/>
                <w:b/>
                <w:bCs/>
                <w:sz w:val="24"/>
                <w:szCs w:val="24"/>
              </w:rPr>
            </w:pPr>
            <w:r w:rsidRPr="00855285">
              <w:rPr>
                <w:rFonts w:ascii="Book Antiqua" w:eastAsiaTheme="minorEastAsia" w:hAnsi="Book Antiqua"/>
                <w:b/>
                <w:bCs/>
                <w:sz w:val="24"/>
                <w:szCs w:val="24"/>
              </w:rPr>
              <w:lastRenderedPageBreak/>
              <w:t>Tabel 10. Variables Entered/Removed</w:t>
            </w:r>
          </w:p>
          <w:tbl>
            <w:tblPr>
              <w:tblStyle w:val="ListTable2"/>
              <w:tblW w:w="6294" w:type="dxa"/>
              <w:jc w:val="center"/>
              <w:tblLook w:val="04A0" w:firstRow="1" w:lastRow="0" w:firstColumn="1" w:lastColumn="0" w:noHBand="0" w:noVBand="1"/>
            </w:tblPr>
            <w:tblGrid>
              <w:gridCol w:w="876"/>
              <w:gridCol w:w="2112"/>
              <w:gridCol w:w="1483"/>
              <w:gridCol w:w="1823"/>
            </w:tblGrid>
            <w:tr w:rsidR="00D60F0C" w:rsidRPr="00427373" w14:paraId="468FBE4C" w14:textId="77777777" w:rsidTr="00D60F0C">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294" w:type="dxa"/>
                  <w:gridSpan w:val="4"/>
                  <w:noWrap/>
                  <w:vAlign w:val="center"/>
                  <w:hideMark/>
                </w:tcPr>
                <w:p w14:paraId="19860C3A" w14:textId="77777777" w:rsidR="00855285" w:rsidRPr="00427373" w:rsidRDefault="00855285" w:rsidP="00D60F0C">
                  <w:pPr>
                    <w:spacing w:after="0" w:line="240" w:lineRule="auto"/>
                    <w:jc w:val="center"/>
                    <w:rPr>
                      <w:rFonts w:ascii="Book Antiqua" w:eastAsia="Times New Roman" w:hAnsi="Book Antiqua" w:cs="Times New Roman"/>
                      <w:sz w:val="20"/>
                      <w:szCs w:val="20"/>
                      <w:vertAlign w:val="superscript"/>
                      <w:lang w:val="en-ID"/>
                    </w:rPr>
                  </w:pPr>
                  <w:r w:rsidRPr="00427373">
                    <w:rPr>
                      <w:rFonts w:ascii="Book Antiqua" w:eastAsia="Times New Roman" w:hAnsi="Book Antiqua" w:cs="Times New Roman"/>
                      <w:sz w:val="20"/>
                      <w:szCs w:val="20"/>
                      <w:lang w:val="en-ID"/>
                    </w:rPr>
                    <w:t>Variables Entered/</w:t>
                  </w:r>
                  <w:proofErr w:type="spellStart"/>
                  <w:r w:rsidRPr="00427373">
                    <w:rPr>
                      <w:rFonts w:ascii="Book Antiqua" w:eastAsia="Times New Roman" w:hAnsi="Book Antiqua" w:cs="Times New Roman"/>
                      <w:sz w:val="20"/>
                      <w:szCs w:val="20"/>
                      <w:lang w:val="en-ID"/>
                    </w:rPr>
                    <w:t>Removed</w:t>
                  </w:r>
                  <w:r w:rsidRPr="00427373">
                    <w:rPr>
                      <w:rFonts w:ascii="Book Antiqua" w:eastAsia="Times New Roman" w:hAnsi="Book Antiqua" w:cs="Times New Roman"/>
                      <w:sz w:val="20"/>
                      <w:szCs w:val="20"/>
                      <w:vertAlign w:val="superscript"/>
                      <w:lang w:val="en-ID"/>
                    </w:rPr>
                    <w:t>a</w:t>
                  </w:r>
                  <w:proofErr w:type="spellEnd"/>
                </w:p>
              </w:tc>
            </w:tr>
            <w:tr w:rsidR="00D60F0C" w:rsidRPr="00427373" w14:paraId="31042F6C" w14:textId="77777777" w:rsidTr="00D60F0C">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831" w:type="dxa"/>
                  <w:noWrap/>
                  <w:vAlign w:val="center"/>
                  <w:hideMark/>
                </w:tcPr>
                <w:p w14:paraId="1384506A" w14:textId="77777777" w:rsidR="00855285" w:rsidRPr="00427373" w:rsidRDefault="00855285" w:rsidP="00D60F0C">
                  <w:pPr>
                    <w:spacing w:after="0" w:line="240" w:lineRule="auto"/>
                    <w:jc w:val="center"/>
                    <w:rPr>
                      <w:rFonts w:ascii="Book Antiqua" w:eastAsia="Times New Roman" w:hAnsi="Book Antiqua" w:cs="Times New Roman"/>
                      <w:lang w:val="en-ID"/>
                    </w:rPr>
                  </w:pPr>
                  <w:r w:rsidRPr="00427373">
                    <w:rPr>
                      <w:rFonts w:ascii="Book Antiqua" w:eastAsia="Times New Roman" w:hAnsi="Book Antiqua" w:cs="Times New Roman"/>
                      <w:lang w:val="en-ID"/>
                    </w:rPr>
                    <w:t>Model</w:t>
                  </w:r>
                </w:p>
              </w:tc>
              <w:tc>
                <w:tcPr>
                  <w:tcW w:w="2157" w:type="dxa"/>
                  <w:vAlign w:val="center"/>
                  <w:hideMark/>
                </w:tcPr>
                <w:p w14:paraId="560DAE13" w14:textId="77777777" w:rsidR="00855285" w:rsidRPr="00427373" w:rsidRDefault="00855285"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Variables Entered</w:t>
                  </w:r>
                </w:p>
              </w:tc>
              <w:tc>
                <w:tcPr>
                  <w:tcW w:w="1483" w:type="dxa"/>
                  <w:vAlign w:val="center"/>
                  <w:hideMark/>
                </w:tcPr>
                <w:p w14:paraId="65DBF840" w14:textId="77777777" w:rsidR="00855285" w:rsidRPr="00427373" w:rsidRDefault="00855285"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Variables Removed</w:t>
                  </w:r>
                </w:p>
              </w:tc>
              <w:tc>
                <w:tcPr>
                  <w:tcW w:w="1823" w:type="dxa"/>
                  <w:noWrap/>
                  <w:vAlign w:val="center"/>
                  <w:hideMark/>
                </w:tcPr>
                <w:p w14:paraId="42CF97ED" w14:textId="77777777" w:rsidR="00855285" w:rsidRPr="00427373" w:rsidRDefault="00855285"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Method</w:t>
                  </w:r>
                </w:p>
              </w:tc>
            </w:tr>
            <w:tr w:rsidR="00D60F0C" w:rsidRPr="00427373" w14:paraId="1079BA14" w14:textId="77777777" w:rsidTr="00D60F0C">
              <w:trPr>
                <w:trHeight w:val="1567"/>
                <w:jc w:val="center"/>
              </w:trPr>
              <w:tc>
                <w:tcPr>
                  <w:cnfStyle w:val="001000000000" w:firstRow="0" w:lastRow="0" w:firstColumn="1" w:lastColumn="0" w:oddVBand="0" w:evenVBand="0" w:oddHBand="0" w:evenHBand="0" w:firstRowFirstColumn="0" w:firstRowLastColumn="0" w:lastRowFirstColumn="0" w:lastRowLastColumn="0"/>
                  <w:tcW w:w="831" w:type="dxa"/>
                  <w:noWrap/>
                  <w:vAlign w:val="center"/>
                  <w:hideMark/>
                </w:tcPr>
                <w:p w14:paraId="089C114A" w14:textId="77777777" w:rsidR="00855285" w:rsidRPr="00427373" w:rsidRDefault="00855285" w:rsidP="00D60F0C">
                  <w:pPr>
                    <w:spacing w:after="0" w:line="240" w:lineRule="auto"/>
                    <w:jc w:val="center"/>
                    <w:rPr>
                      <w:rFonts w:ascii="Book Antiqua" w:eastAsia="Times New Roman" w:hAnsi="Book Antiqua" w:cs="Times New Roman"/>
                      <w:b w:val="0"/>
                      <w:bCs w:val="0"/>
                      <w:lang w:val="en-ID"/>
                    </w:rPr>
                  </w:pPr>
                  <w:r w:rsidRPr="00427373">
                    <w:rPr>
                      <w:rFonts w:ascii="Book Antiqua" w:eastAsia="Times New Roman" w:hAnsi="Book Antiqua" w:cs="Times New Roman"/>
                      <w:b w:val="0"/>
                      <w:bCs w:val="0"/>
                      <w:lang w:val="en-ID"/>
                    </w:rPr>
                    <w:t>1</w:t>
                  </w:r>
                </w:p>
              </w:tc>
              <w:tc>
                <w:tcPr>
                  <w:tcW w:w="2157" w:type="dxa"/>
                  <w:vAlign w:val="center"/>
                  <w:hideMark/>
                </w:tcPr>
                <w:p w14:paraId="664FE932" w14:textId="17983556" w:rsidR="00855285" w:rsidRPr="00427373" w:rsidRDefault="00D60F0C"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 xml:space="preserve">International gold price, Inflation, Exchange rate, Economy growth, Interest </w:t>
                  </w:r>
                  <w:proofErr w:type="spellStart"/>
                  <w:r w:rsidRPr="00427373">
                    <w:rPr>
                      <w:rFonts w:ascii="Book Antiqua" w:eastAsia="Times New Roman" w:hAnsi="Book Antiqua" w:cs="Times New Roman"/>
                      <w:sz w:val="20"/>
                      <w:szCs w:val="20"/>
                      <w:lang w:val="en-ID"/>
                    </w:rPr>
                    <w:t>rate</w:t>
                  </w:r>
                  <w:r w:rsidR="00855285" w:rsidRPr="00427373">
                    <w:rPr>
                      <w:rFonts w:ascii="Book Antiqua" w:eastAsia="Times New Roman" w:hAnsi="Book Antiqua" w:cs="Times New Roman"/>
                      <w:sz w:val="20"/>
                      <w:szCs w:val="20"/>
                      <w:vertAlign w:val="superscript"/>
                      <w:lang w:val="en-ID"/>
                    </w:rPr>
                    <w:t>b</w:t>
                  </w:r>
                  <w:proofErr w:type="spellEnd"/>
                </w:p>
              </w:tc>
              <w:tc>
                <w:tcPr>
                  <w:tcW w:w="1483" w:type="dxa"/>
                  <w:noWrap/>
                  <w:vAlign w:val="center"/>
                  <w:hideMark/>
                </w:tcPr>
                <w:p w14:paraId="22B20E8A" w14:textId="77777777" w:rsidR="00855285" w:rsidRPr="00427373" w:rsidRDefault="00855285"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p>
              </w:tc>
              <w:tc>
                <w:tcPr>
                  <w:tcW w:w="1823" w:type="dxa"/>
                  <w:noWrap/>
                  <w:vAlign w:val="center"/>
                  <w:hideMark/>
                </w:tcPr>
                <w:p w14:paraId="23E482C6" w14:textId="77777777" w:rsidR="00855285" w:rsidRPr="00427373" w:rsidRDefault="00855285"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Enter</w:t>
                  </w:r>
                </w:p>
              </w:tc>
            </w:tr>
            <w:tr w:rsidR="00D60F0C" w:rsidRPr="00427373" w14:paraId="58141FDC" w14:textId="77777777" w:rsidTr="00D60F0C">
              <w:trPr>
                <w:cnfStyle w:val="000000100000" w:firstRow="0" w:lastRow="0" w:firstColumn="0" w:lastColumn="0" w:oddVBand="0" w:evenVBand="0" w:oddHBand="1" w:evenHBand="0" w:firstRowFirstColumn="0" w:firstRowLastColumn="0" w:lastRowFirstColumn="0" w:lastRowLastColumn="0"/>
                <w:trHeight w:val="569"/>
                <w:jc w:val="center"/>
              </w:trPr>
              <w:tc>
                <w:tcPr>
                  <w:cnfStyle w:val="001000000000" w:firstRow="0" w:lastRow="0" w:firstColumn="1" w:lastColumn="0" w:oddVBand="0" w:evenVBand="0" w:oddHBand="0" w:evenHBand="0" w:firstRowFirstColumn="0" w:firstRowLastColumn="0" w:lastRowFirstColumn="0" w:lastRowLastColumn="0"/>
                  <w:tcW w:w="6294" w:type="dxa"/>
                  <w:gridSpan w:val="4"/>
                  <w:vAlign w:val="center"/>
                  <w:hideMark/>
                </w:tcPr>
                <w:p w14:paraId="28E44412" w14:textId="5631171F" w:rsidR="00855285" w:rsidRPr="00427373" w:rsidRDefault="00855285" w:rsidP="00D60F0C">
                  <w:pPr>
                    <w:spacing w:after="0" w:line="240" w:lineRule="auto"/>
                    <w:jc w:val="center"/>
                    <w:rPr>
                      <w:rFonts w:ascii="Book Antiqua" w:eastAsia="Times New Roman" w:hAnsi="Book Antiqua" w:cs="Times New Roman"/>
                      <w:b w:val="0"/>
                      <w:bCs w:val="0"/>
                      <w:sz w:val="20"/>
                      <w:szCs w:val="20"/>
                      <w:lang w:val="en-ID"/>
                    </w:rPr>
                  </w:pPr>
                  <w:r w:rsidRPr="00427373">
                    <w:rPr>
                      <w:rFonts w:ascii="Book Antiqua" w:eastAsia="Times New Roman" w:hAnsi="Book Antiqua" w:cs="Times New Roman"/>
                      <w:b w:val="0"/>
                      <w:bCs w:val="0"/>
                      <w:sz w:val="20"/>
                      <w:szCs w:val="20"/>
                      <w:lang w:val="en-ID"/>
                    </w:rPr>
                    <w:t xml:space="preserve">a. Dependent Variable: </w:t>
                  </w:r>
                  <w:r w:rsidR="00427373" w:rsidRPr="00427373">
                    <w:rPr>
                      <w:rFonts w:ascii="Book Antiqua" w:eastAsia="Times New Roman" w:hAnsi="Book Antiqua" w:cs="Times New Roman"/>
                      <w:b w:val="0"/>
                      <w:bCs w:val="0"/>
                      <w:sz w:val="20"/>
                      <w:szCs w:val="20"/>
                      <w:lang w:val="en-ID"/>
                    </w:rPr>
                    <w:t>Gold account</w:t>
                  </w:r>
                  <w:r w:rsidRPr="00427373">
                    <w:rPr>
                      <w:rFonts w:ascii="Book Antiqua" w:eastAsia="Times New Roman" w:hAnsi="Book Antiqua" w:cs="Times New Roman"/>
                      <w:b w:val="0"/>
                      <w:bCs w:val="0"/>
                      <w:sz w:val="20"/>
                      <w:szCs w:val="20"/>
                      <w:lang w:val="en-ID"/>
                    </w:rPr>
                    <w:br/>
                    <w:t>b. All requested variables entered.</w:t>
                  </w:r>
                </w:p>
              </w:tc>
            </w:tr>
          </w:tbl>
          <w:p w14:paraId="6EB13501" w14:textId="77777777" w:rsidR="00855285" w:rsidRDefault="00855285" w:rsidP="00855285">
            <w:pPr>
              <w:pStyle w:val="ListParagraph"/>
              <w:tabs>
                <w:tab w:val="left" w:pos="1545"/>
              </w:tabs>
              <w:spacing w:after="120" w:line="240" w:lineRule="auto"/>
              <w:ind w:left="1276" w:right="4"/>
              <w:jc w:val="both"/>
              <w:rPr>
                <w:rFonts w:ascii="Book Antiqua" w:eastAsiaTheme="minorEastAsia" w:hAnsi="Book Antiqua"/>
                <w:sz w:val="24"/>
                <w:szCs w:val="24"/>
              </w:rPr>
            </w:pPr>
          </w:p>
          <w:p w14:paraId="1717130A" w14:textId="66087D06" w:rsidR="00855285" w:rsidRPr="00E54420" w:rsidRDefault="00855285" w:rsidP="00855285">
            <w:pPr>
              <w:pStyle w:val="ListParagraph"/>
              <w:numPr>
                <w:ilvl w:val="1"/>
                <w:numId w:val="13"/>
              </w:numPr>
              <w:tabs>
                <w:tab w:val="left" w:pos="1545"/>
              </w:tabs>
              <w:spacing w:after="120" w:line="240" w:lineRule="auto"/>
              <w:ind w:left="914" w:right="6" w:hanging="284"/>
              <w:contextualSpacing w:val="0"/>
              <w:jc w:val="both"/>
              <w:rPr>
                <w:rFonts w:ascii="Book Antiqua" w:eastAsiaTheme="minorEastAsia" w:hAnsi="Book Antiqua"/>
                <w:sz w:val="24"/>
                <w:szCs w:val="24"/>
              </w:rPr>
            </w:pPr>
            <w:r w:rsidRPr="00E54420">
              <w:rPr>
                <w:rFonts w:ascii="Book Antiqua" w:eastAsiaTheme="minorEastAsia" w:hAnsi="Book Antiqua"/>
                <w:sz w:val="24"/>
                <w:szCs w:val="24"/>
              </w:rPr>
              <w:t xml:space="preserve">The Dependent Variable is the price of Pegadaian gold-account. </w:t>
            </w:r>
          </w:p>
          <w:p w14:paraId="6B42317C" w14:textId="77777777" w:rsidR="00855285" w:rsidRPr="00E54420" w:rsidRDefault="00855285" w:rsidP="00855285">
            <w:pPr>
              <w:pStyle w:val="ListParagraph"/>
              <w:numPr>
                <w:ilvl w:val="1"/>
                <w:numId w:val="13"/>
              </w:numPr>
              <w:tabs>
                <w:tab w:val="left" w:pos="1545"/>
              </w:tabs>
              <w:spacing w:after="120" w:line="240" w:lineRule="auto"/>
              <w:ind w:left="914" w:right="6" w:hanging="284"/>
              <w:contextualSpacing w:val="0"/>
              <w:jc w:val="both"/>
              <w:rPr>
                <w:rFonts w:ascii="Book Antiqua" w:eastAsiaTheme="minorEastAsia" w:hAnsi="Book Antiqua"/>
                <w:sz w:val="24"/>
                <w:szCs w:val="24"/>
              </w:rPr>
            </w:pPr>
            <w:r w:rsidRPr="00E54420">
              <w:rPr>
                <w:rFonts w:ascii="Book Antiqua" w:eastAsiaTheme="minorEastAsia" w:hAnsi="Book Antiqua"/>
                <w:sz w:val="24"/>
                <w:szCs w:val="24"/>
              </w:rPr>
              <w:t>The Independent Variables are the international price of gold, exchange rate, inflation rate, economic growth rate and interest rate.</w:t>
            </w:r>
          </w:p>
          <w:p w14:paraId="65714D7E" w14:textId="77777777" w:rsidR="00855285" w:rsidRPr="00E54420" w:rsidRDefault="00855285" w:rsidP="00855285">
            <w:pPr>
              <w:tabs>
                <w:tab w:val="left" w:pos="1545"/>
              </w:tabs>
              <w:spacing w:after="120" w:line="240" w:lineRule="auto"/>
              <w:ind w:left="993" w:right="4"/>
              <w:rPr>
                <w:rFonts w:ascii="Book Antiqua" w:eastAsiaTheme="minorEastAsia" w:hAnsi="Book Antiqua"/>
                <w:sz w:val="24"/>
                <w:szCs w:val="24"/>
              </w:rPr>
            </w:pPr>
          </w:p>
          <w:p w14:paraId="46B6C6E5" w14:textId="77777777" w:rsidR="00855285" w:rsidRPr="00855285" w:rsidRDefault="00855285" w:rsidP="00855285">
            <w:pPr>
              <w:tabs>
                <w:tab w:val="left" w:pos="1545"/>
              </w:tabs>
              <w:spacing w:after="120" w:line="240" w:lineRule="auto"/>
              <w:ind w:left="851" w:right="4"/>
              <w:jc w:val="center"/>
              <w:rPr>
                <w:rFonts w:ascii="Book Antiqua" w:hAnsi="Book Antiqua"/>
                <w:b/>
                <w:bCs/>
                <w:sz w:val="24"/>
                <w:szCs w:val="24"/>
              </w:rPr>
            </w:pPr>
            <w:r w:rsidRPr="00855285">
              <w:rPr>
                <w:rFonts w:ascii="Book Antiqua" w:eastAsiaTheme="minorEastAsia" w:hAnsi="Book Antiqua"/>
                <w:b/>
                <w:bCs/>
                <w:sz w:val="24"/>
                <w:szCs w:val="24"/>
              </w:rPr>
              <w:t>Tabel 11. Model Summary</w:t>
            </w:r>
          </w:p>
          <w:tbl>
            <w:tblPr>
              <w:tblStyle w:val="ListTable2"/>
              <w:tblW w:w="7020" w:type="dxa"/>
              <w:tblInd w:w="1031" w:type="dxa"/>
              <w:tblLook w:val="04A0" w:firstRow="1" w:lastRow="0" w:firstColumn="1" w:lastColumn="0" w:noHBand="0" w:noVBand="1"/>
            </w:tblPr>
            <w:tblGrid>
              <w:gridCol w:w="947"/>
              <w:gridCol w:w="1141"/>
              <w:gridCol w:w="1417"/>
              <w:gridCol w:w="1560"/>
              <w:gridCol w:w="1955"/>
            </w:tblGrid>
            <w:tr w:rsidR="00D60F0C" w:rsidRPr="00D60F0C" w14:paraId="2BE03277" w14:textId="77777777" w:rsidTr="00D60F0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020" w:type="dxa"/>
                  <w:gridSpan w:val="5"/>
                  <w:noWrap/>
                  <w:vAlign w:val="center"/>
                  <w:hideMark/>
                </w:tcPr>
                <w:p w14:paraId="6CF91D26" w14:textId="77777777" w:rsidR="00855285" w:rsidRPr="00427373" w:rsidRDefault="00855285" w:rsidP="00D60F0C">
                  <w:pPr>
                    <w:spacing w:after="0" w:line="240" w:lineRule="auto"/>
                    <w:jc w:val="center"/>
                    <w:rPr>
                      <w:rFonts w:ascii="Book Antiqua" w:eastAsia="Times New Roman" w:hAnsi="Book Antiqua" w:cs="Times New Roman"/>
                      <w:sz w:val="20"/>
                      <w:szCs w:val="20"/>
                      <w:vertAlign w:val="superscript"/>
                      <w:lang w:val="en-ID"/>
                    </w:rPr>
                  </w:pPr>
                  <w:r w:rsidRPr="00427373">
                    <w:rPr>
                      <w:rFonts w:ascii="Book Antiqua" w:eastAsia="Times New Roman" w:hAnsi="Book Antiqua" w:cs="Times New Roman"/>
                      <w:sz w:val="20"/>
                      <w:szCs w:val="20"/>
                      <w:lang w:val="en-ID"/>
                    </w:rPr>
                    <w:t xml:space="preserve">Model </w:t>
                  </w:r>
                  <w:proofErr w:type="spellStart"/>
                  <w:r w:rsidRPr="00427373">
                    <w:rPr>
                      <w:rFonts w:ascii="Book Antiqua" w:eastAsia="Times New Roman" w:hAnsi="Book Antiqua" w:cs="Times New Roman"/>
                      <w:sz w:val="20"/>
                      <w:szCs w:val="20"/>
                      <w:lang w:val="en-ID"/>
                    </w:rPr>
                    <w:t>Summary</w:t>
                  </w:r>
                  <w:r w:rsidRPr="00427373">
                    <w:rPr>
                      <w:rFonts w:ascii="Book Antiqua" w:eastAsia="Times New Roman" w:hAnsi="Book Antiqua" w:cs="Times New Roman"/>
                      <w:sz w:val="20"/>
                      <w:szCs w:val="20"/>
                      <w:vertAlign w:val="superscript"/>
                      <w:lang w:val="en-ID"/>
                    </w:rPr>
                    <w:t>b</w:t>
                  </w:r>
                  <w:proofErr w:type="spellEnd"/>
                </w:p>
              </w:tc>
            </w:tr>
            <w:tr w:rsidR="00D60F0C" w:rsidRPr="00D60F0C" w14:paraId="5DDD1CBD" w14:textId="77777777" w:rsidTr="00D60F0C">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47" w:type="dxa"/>
                  <w:noWrap/>
                  <w:vAlign w:val="center"/>
                  <w:hideMark/>
                </w:tcPr>
                <w:p w14:paraId="52FCDC37" w14:textId="77777777" w:rsidR="00855285" w:rsidRPr="00D60F0C" w:rsidRDefault="00855285" w:rsidP="00D60F0C">
                  <w:pPr>
                    <w:spacing w:after="0" w:line="240" w:lineRule="auto"/>
                    <w:jc w:val="center"/>
                    <w:rPr>
                      <w:rFonts w:ascii="Aptos Narrow" w:eastAsia="Times New Roman" w:hAnsi="Aptos Narrow" w:cs="Times New Roman"/>
                      <w:sz w:val="20"/>
                      <w:szCs w:val="20"/>
                      <w:lang w:val="en-ID"/>
                    </w:rPr>
                  </w:pPr>
                  <w:r w:rsidRPr="00D60F0C">
                    <w:rPr>
                      <w:rFonts w:ascii="Aptos Narrow" w:eastAsia="Times New Roman" w:hAnsi="Aptos Narrow" w:cs="Times New Roman"/>
                      <w:sz w:val="20"/>
                      <w:szCs w:val="20"/>
                      <w:lang w:val="en-ID"/>
                    </w:rPr>
                    <w:t>Model</w:t>
                  </w:r>
                </w:p>
              </w:tc>
              <w:tc>
                <w:tcPr>
                  <w:tcW w:w="1141" w:type="dxa"/>
                  <w:noWrap/>
                  <w:vAlign w:val="center"/>
                  <w:hideMark/>
                </w:tcPr>
                <w:p w14:paraId="499913C7" w14:textId="77777777" w:rsidR="00855285" w:rsidRPr="00427373" w:rsidRDefault="00855285"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R</w:t>
                  </w:r>
                </w:p>
              </w:tc>
              <w:tc>
                <w:tcPr>
                  <w:tcW w:w="1417" w:type="dxa"/>
                  <w:noWrap/>
                  <w:vAlign w:val="center"/>
                  <w:hideMark/>
                </w:tcPr>
                <w:p w14:paraId="1098A56B" w14:textId="77777777" w:rsidR="00855285" w:rsidRPr="00427373" w:rsidRDefault="00855285"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R Square</w:t>
                  </w:r>
                </w:p>
              </w:tc>
              <w:tc>
                <w:tcPr>
                  <w:tcW w:w="1560" w:type="dxa"/>
                  <w:vAlign w:val="center"/>
                  <w:hideMark/>
                </w:tcPr>
                <w:p w14:paraId="4B0EB178" w14:textId="77777777" w:rsidR="00855285" w:rsidRPr="00427373" w:rsidRDefault="00855285"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Adjusted R Square</w:t>
                  </w:r>
                </w:p>
              </w:tc>
              <w:tc>
                <w:tcPr>
                  <w:tcW w:w="1955" w:type="dxa"/>
                  <w:vAlign w:val="center"/>
                  <w:hideMark/>
                </w:tcPr>
                <w:p w14:paraId="0DBB19E5" w14:textId="77777777" w:rsidR="00855285" w:rsidRPr="00D60F0C" w:rsidRDefault="00855285"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sz w:val="20"/>
                      <w:szCs w:val="20"/>
                      <w:lang w:val="en-ID"/>
                    </w:rPr>
                  </w:pPr>
                  <w:r w:rsidRPr="00D60F0C">
                    <w:rPr>
                      <w:rFonts w:ascii="Aptos Narrow" w:eastAsia="Times New Roman" w:hAnsi="Aptos Narrow" w:cs="Times New Roman"/>
                      <w:sz w:val="20"/>
                      <w:szCs w:val="20"/>
                      <w:lang w:val="en-ID"/>
                    </w:rPr>
                    <w:t>Std. Error of the Estimate</w:t>
                  </w:r>
                </w:p>
              </w:tc>
            </w:tr>
            <w:tr w:rsidR="00D60F0C" w:rsidRPr="00D60F0C" w14:paraId="39B5AA2B" w14:textId="77777777" w:rsidTr="00D60F0C">
              <w:trPr>
                <w:trHeight w:val="320"/>
              </w:trPr>
              <w:tc>
                <w:tcPr>
                  <w:cnfStyle w:val="001000000000" w:firstRow="0" w:lastRow="0" w:firstColumn="1" w:lastColumn="0" w:oddVBand="0" w:evenVBand="0" w:oddHBand="0" w:evenHBand="0" w:firstRowFirstColumn="0" w:firstRowLastColumn="0" w:lastRowFirstColumn="0" w:lastRowLastColumn="0"/>
                  <w:tcW w:w="947" w:type="dxa"/>
                  <w:noWrap/>
                  <w:vAlign w:val="center"/>
                  <w:hideMark/>
                </w:tcPr>
                <w:p w14:paraId="06A4617F" w14:textId="77777777" w:rsidR="00855285" w:rsidRPr="00D60F0C" w:rsidRDefault="00855285" w:rsidP="00D60F0C">
                  <w:pPr>
                    <w:spacing w:after="0" w:line="240" w:lineRule="auto"/>
                    <w:jc w:val="center"/>
                    <w:rPr>
                      <w:rFonts w:ascii="Aptos Narrow" w:eastAsia="Times New Roman" w:hAnsi="Aptos Narrow" w:cs="Times New Roman"/>
                      <w:sz w:val="20"/>
                      <w:szCs w:val="20"/>
                      <w:lang w:val="en-ID"/>
                    </w:rPr>
                  </w:pPr>
                  <w:r w:rsidRPr="00D60F0C">
                    <w:rPr>
                      <w:rFonts w:ascii="Aptos Narrow" w:eastAsia="Times New Roman" w:hAnsi="Aptos Narrow" w:cs="Times New Roman"/>
                      <w:sz w:val="20"/>
                      <w:szCs w:val="20"/>
                      <w:lang w:val="en-ID"/>
                    </w:rPr>
                    <w:t>1</w:t>
                  </w:r>
                </w:p>
              </w:tc>
              <w:tc>
                <w:tcPr>
                  <w:tcW w:w="1141" w:type="dxa"/>
                  <w:noWrap/>
                  <w:vAlign w:val="center"/>
                  <w:hideMark/>
                </w:tcPr>
                <w:p w14:paraId="6B3CE8A7" w14:textId="77777777" w:rsidR="00855285" w:rsidRPr="00427373" w:rsidRDefault="00855285"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vertAlign w:val="superscript"/>
                      <w:lang w:val="en-ID"/>
                    </w:rPr>
                  </w:pPr>
                  <w:r w:rsidRPr="00427373">
                    <w:rPr>
                      <w:rFonts w:ascii="Book Antiqua" w:eastAsia="Times New Roman" w:hAnsi="Book Antiqua" w:cs="Times New Roman"/>
                      <w:sz w:val="20"/>
                      <w:szCs w:val="20"/>
                      <w:lang w:val="en-ID"/>
                    </w:rPr>
                    <w:t>.996</w:t>
                  </w:r>
                  <w:r w:rsidRPr="00427373">
                    <w:rPr>
                      <w:rFonts w:ascii="Book Antiqua" w:eastAsia="Times New Roman" w:hAnsi="Book Antiqua" w:cs="Times New Roman"/>
                      <w:sz w:val="20"/>
                      <w:szCs w:val="20"/>
                      <w:vertAlign w:val="superscript"/>
                      <w:lang w:val="en-ID"/>
                    </w:rPr>
                    <w:t>a</w:t>
                  </w:r>
                </w:p>
              </w:tc>
              <w:tc>
                <w:tcPr>
                  <w:tcW w:w="1417" w:type="dxa"/>
                  <w:noWrap/>
                  <w:vAlign w:val="center"/>
                  <w:hideMark/>
                </w:tcPr>
                <w:p w14:paraId="1AB62C42" w14:textId="77777777" w:rsidR="00855285" w:rsidRPr="00427373" w:rsidRDefault="00855285"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.992</w:t>
                  </w:r>
                </w:p>
              </w:tc>
              <w:tc>
                <w:tcPr>
                  <w:tcW w:w="1560" w:type="dxa"/>
                  <w:noWrap/>
                  <w:vAlign w:val="center"/>
                  <w:hideMark/>
                </w:tcPr>
                <w:p w14:paraId="59CC8E81" w14:textId="77777777" w:rsidR="00855285" w:rsidRPr="00427373" w:rsidRDefault="00855285"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.991</w:t>
                  </w:r>
                </w:p>
              </w:tc>
              <w:tc>
                <w:tcPr>
                  <w:tcW w:w="1955" w:type="dxa"/>
                  <w:noWrap/>
                  <w:vAlign w:val="center"/>
                  <w:hideMark/>
                </w:tcPr>
                <w:p w14:paraId="1783E35A" w14:textId="77777777" w:rsidR="00855285" w:rsidRPr="00D60F0C" w:rsidRDefault="00855285"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sz w:val="20"/>
                      <w:szCs w:val="20"/>
                      <w:lang w:val="en-ID"/>
                    </w:rPr>
                  </w:pPr>
                  <w:r w:rsidRPr="00D60F0C">
                    <w:rPr>
                      <w:rFonts w:ascii="Aptos Narrow" w:eastAsia="Times New Roman" w:hAnsi="Aptos Narrow" w:cs="Times New Roman"/>
                      <w:sz w:val="20"/>
                      <w:szCs w:val="20"/>
                      <w:lang w:val="en-ID"/>
                    </w:rPr>
                    <w:t>13725.014</w:t>
                  </w:r>
                </w:p>
              </w:tc>
            </w:tr>
            <w:tr w:rsidR="00D60F0C" w:rsidRPr="00D60F0C" w14:paraId="12B4D60D" w14:textId="77777777" w:rsidTr="00D60F0C">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7020" w:type="dxa"/>
                  <w:gridSpan w:val="5"/>
                  <w:vAlign w:val="center"/>
                  <w:hideMark/>
                </w:tcPr>
                <w:p w14:paraId="094E0F7D" w14:textId="3B635BED" w:rsidR="00855285" w:rsidRPr="00427373" w:rsidRDefault="00855285" w:rsidP="00D60F0C">
                  <w:pPr>
                    <w:spacing w:after="0" w:line="240" w:lineRule="auto"/>
                    <w:jc w:val="center"/>
                    <w:rPr>
                      <w:rFonts w:ascii="Book Antiqua" w:eastAsia="Times New Roman" w:hAnsi="Book Antiqua" w:cs="Times New Roman"/>
                      <w:b w:val="0"/>
                      <w:bCs w:val="0"/>
                      <w:sz w:val="20"/>
                      <w:szCs w:val="20"/>
                      <w:lang w:val="en-ID"/>
                    </w:rPr>
                  </w:pPr>
                  <w:r w:rsidRPr="00427373">
                    <w:rPr>
                      <w:rFonts w:ascii="Book Antiqua" w:eastAsia="Times New Roman" w:hAnsi="Book Antiqua" w:cs="Times New Roman"/>
                      <w:b w:val="0"/>
                      <w:bCs w:val="0"/>
                      <w:sz w:val="20"/>
                      <w:szCs w:val="20"/>
                      <w:lang w:val="en-ID"/>
                    </w:rPr>
                    <w:t xml:space="preserve">a. Predictors: (Constant), </w:t>
                  </w:r>
                  <w:r w:rsidR="00D60F0C" w:rsidRPr="00427373">
                    <w:rPr>
                      <w:rFonts w:ascii="Book Antiqua" w:eastAsia="Times New Roman" w:hAnsi="Book Antiqua" w:cs="Times New Roman"/>
                      <w:b w:val="0"/>
                      <w:bCs w:val="0"/>
                      <w:sz w:val="20"/>
                      <w:szCs w:val="20"/>
                      <w:lang w:val="en-ID"/>
                    </w:rPr>
                    <w:t>International gold price, Inflation, Exchange rate, Economy growth, Interest rate</w:t>
                  </w:r>
                  <w:r w:rsidRPr="00427373">
                    <w:rPr>
                      <w:rFonts w:ascii="Book Antiqua" w:eastAsia="Times New Roman" w:hAnsi="Book Antiqua" w:cs="Times New Roman"/>
                      <w:b w:val="0"/>
                      <w:bCs w:val="0"/>
                      <w:sz w:val="20"/>
                      <w:szCs w:val="20"/>
                      <w:lang w:val="en-ID"/>
                    </w:rPr>
                    <w:br/>
                    <w:t xml:space="preserve">b. Dependent Variable: </w:t>
                  </w:r>
                  <w:r w:rsidR="00D60F0C" w:rsidRPr="00427373">
                    <w:rPr>
                      <w:rFonts w:ascii="Book Antiqua" w:eastAsia="Times New Roman" w:hAnsi="Book Antiqua" w:cs="Times New Roman"/>
                      <w:b w:val="0"/>
                      <w:bCs w:val="0"/>
                      <w:sz w:val="20"/>
                      <w:szCs w:val="20"/>
                      <w:lang w:val="en-ID"/>
                    </w:rPr>
                    <w:t>Gold account</w:t>
                  </w:r>
                </w:p>
              </w:tc>
            </w:tr>
          </w:tbl>
          <w:p w14:paraId="37A13D4C" w14:textId="77777777" w:rsidR="00855285" w:rsidRDefault="00855285" w:rsidP="00855285">
            <w:pPr>
              <w:pStyle w:val="ListParagraph"/>
              <w:spacing w:after="120" w:line="240" w:lineRule="auto"/>
              <w:ind w:left="1418"/>
              <w:jc w:val="both"/>
              <w:rPr>
                <w:rFonts w:ascii="Book Antiqua" w:eastAsiaTheme="minorEastAsia" w:hAnsi="Book Antiqua"/>
                <w:sz w:val="24"/>
                <w:szCs w:val="24"/>
              </w:rPr>
            </w:pPr>
          </w:p>
          <w:p w14:paraId="3E846792" w14:textId="79B88A5E" w:rsidR="00855285" w:rsidRPr="00E54420" w:rsidRDefault="00855285" w:rsidP="00855285">
            <w:pPr>
              <w:pStyle w:val="ListParagraph"/>
              <w:numPr>
                <w:ilvl w:val="1"/>
                <w:numId w:val="21"/>
              </w:numPr>
              <w:spacing w:after="120" w:line="240" w:lineRule="auto"/>
              <w:ind w:left="913" w:hanging="425"/>
              <w:contextualSpacing w:val="0"/>
              <w:jc w:val="both"/>
              <w:rPr>
                <w:rFonts w:ascii="Book Antiqua" w:eastAsiaTheme="minorEastAsia" w:hAnsi="Book Antiqua"/>
                <w:sz w:val="24"/>
                <w:szCs w:val="24"/>
              </w:rPr>
            </w:pPr>
            <w:r w:rsidRPr="00E54420">
              <w:rPr>
                <w:rFonts w:ascii="Book Antiqua" w:eastAsiaTheme="minorEastAsia" w:hAnsi="Book Antiqua"/>
                <w:sz w:val="24"/>
                <w:szCs w:val="24"/>
              </w:rPr>
              <w:t>R</w:t>
            </w:r>
            <w:r w:rsidRPr="00E54420">
              <w:rPr>
                <w:rFonts w:ascii="Book Antiqua" w:eastAsiaTheme="minorEastAsia" w:hAnsi="Book Antiqua"/>
                <w:sz w:val="24"/>
                <w:szCs w:val="24"/>
                <w:lang w:val="en-US"/>
              </w:rPr>
              <w:t>-</w:t>
            </w:r>
            <w:r w:rsidRPr="00E54420">
              <w:rPr>
                <w:rFonts w:ascii="Book Antiqua" w:eastAsiaTheme="minorEastAsia" w:hAnsi="Book Antiqua"/>
                <w:sz w:val="24"/>
                <w:szCs w:val="24"/>
              </w:rPr>
              <w:t>Square is the Determination Coefficient which is used to measure the ability of the independent variable to explain variations in the dependent variable. For multiple regression, it is best to use Adjusted R Square.</w:t>
            </w:r>
          </w:p>
          <w:p w14:paraId="7C0081BE" w14:textId="1E0812C9" w:rsidR="00D60F0C" w:rsidRDefault="00855285" w:rsidP="00D60F0C">
            <w:pPr>
              <w:pStyle w:val="ListParagraph"/>
              <w:numPr>
                <w:ilvl w:val="1"/>
                <w:numId w:val="21"/>
              </w:numPr>
              <w:spacing w:after="120" w:line="240" w:lineRule="auto"/>
              <w:ind w:left="913" w:hanging="425"/>
              <w:contextualSpacing w:val="0"/>
              <w:jc w:val="both"/>
              <w:rPr>
                <w:rFonts w:ascii="Book Antiqua" w:eastAsiaTheme="minorEastAsia" w:hAnsi="Book Antiqua"/>
                <w:sz w:val="24"/>
                <w:szCs w:val="24"/>
              </w:rPr>
            </w:pPr>
            <w:r w:rsidRPr="00E54420">
              <w:rPr>
                <w:rFonts w:ascii="Book Antiqua" w:eastAsiaTheme="minorEastAsia" w:hAnsi="Book Antiqua"/>
                <w:sz w:val="24"/>
                <w:szCs w:val="24"/>
              </w:rPr>
              <w:t>All independent variables can explain 99.1% of the variation in gold accounts, while the remaining 0.9% is explained by other variables that were not studied.</w:t>
            </w:r>
          </w:p>
          <w:p w14:paraId="503D3A7C" w14:textId="77777777" w:rsidR="00D60F0C" w:rsidRPr="00D60F0C" w:rsidRDefault="00D60F0C" w:rsidP="00D60F0C">
            <w:pPr>
              <w:pStyle w:val="ListParagraph"/>
              <w:spacing w:after="120" w:line="240" w:lineRule="auto"/>
              <w:ind w:left="913"/>
              <w:contextualSpacing w:val="0"/>
              <w:jc w:val="both"/>
              <w:rPr>
                <w:rFonts w:ascii="Book Antiqua" w:eastAsiaTheme="minorEastAsia" w:hAnsi="Book Antiqua"/>
                <w:sz w:val="24"/>
                <w:szCs w:val="24"/>
              </w:rPr>
            </w:pPr>
          </w:p>
          <w:p w14:paraId="1CF34138" w14:textId="77777777" w:rsidR="00D60F0C" w:rsidRDefault="00D60F0C" w:rsidP="00D60F0C">
            <w:pPr>
              <w:spacing w:after="0" w:line="240" w:lineRule="auto"/>
              <w:ind w:left="851"/>
              <w:jc w:val="center"/>
              <w:rPr>
                <w:rFonts w:ascii="Book Antiqua" w:eastAsiaTheme="minorEastAsia" w:hAnsi="Book Antiqua"/>
                <w:b/>
                <w:bCs/>
                <w:sz w:val="24"/>
                <w:szCs w:val="24"/>
              </w:rPr>
            </w:pPr>
          </w:p>
          <w:p w14:paraId="6496A9D2" w14:textId="77777777" w:rsidR="00D60F0C" w:rsidRDefault="00D60F0C" w:rsidP="00D60F0C">
            <w:pPr>
              <w:spacing w:after="0" w:line="240" w:lineRule="auto"/>
              <w:ind w:left="851"/>
              <w:jc w:val="center"/>
              <w:rPr>
                <w:rFonts w:ascii="Book Antiqua" w:eastAsiaTheme="minorEastAsia" w:hAnsi="Book Antiqua"/>
                <w:b/>
                <w:bCs/>
                <w:sz w:val="24"/>
                <w:szCs w:val="24"/>
              </w:rPr>
            </w:pPr>
          </w:p>
          <w:p w14:paraId="5D91DA30" w14:textId="77777777" w:rsidR="00D60F0C" w:rsidRDefault="00D60F0C" w:rsidP="00D60F0C">
            <w:pPr>
              <w:spacing w:after="0" w:line="240" w:lineRule="auto"/>
              <w:ind w:left="851"/>
              <w:jc w:val="center"/>
              <w:rPr>
                <w:rFonts w:ascii="Book Antiqua" w:eastAsiaTheme="minorEastAsia" w:hAnsi="Book Antiqua"/>
                <w:b/>
                <w:bCs/>
                <w:sz w:val="24"/>
                <w:szCs w:val="24"/>
              </w:rPr>
            </w:pPr>
          </w:p>
          <w:p w14:paraId="3A77076E" w14:textId="77777777" w:rsidR="00D60F0C" w:rsidRDefault="00D60F0C" w:rsidP="00D60F0C">
            <w:pPr>
              <w:spacing w:after="0" w:line="240" w:lineRule="auto"/>
              <w:ind w:left="851"/>
              <w:jc w:val="center"/>
              <w:rPr>
                <w:rFonts w:ascii="Book Antiqua" w:eastAsiaTheme="minorEastAsia" w:hAnsi="Book Antiqua"/>
                <w:b/>
                <w:bCs/>
                <w:sz w:val="24"/>
                <w:szCs w:val="24"/>
              </w:rPr>
            </w:pPr>
          </w:p>
          <w:p w14:paraId="4D3F6A9B" w14:textId="77777777" w:rsidR="00D60F0C" w:rsidRDefault="00D60F0C" w:rsidP="00D60F0C">
            <w:pPr>
              <w:spacing w:after="0" w:line="240" w:lineRule="auto"/>
              <w:ind w:left="851"/>
              <w:jc w:val="center"/>
              <w:rPr>
                <w:rFonts w:ascii="Book Antiqua" w:eastAsiaTheme="minorEastAsia" w:hAnsi="Book Antiqua"/>
                <w:b/>
                <w:bCs/>
                <w:sz w:val="24"/>
                <w:szCs w:val="24"/>
              </w:rPr>
            </w:pPr>
          </w:p>
          <w:p w14:paraId="5FEA24B5" w14:textId="77777777" w:rsidR="00D60F0C" w:rsidRDefault="00D60F0C" w:rsidP="00D60F0C">
            <w:pPr>
              <w:spacing w:after="0" w:line="240" w:lineRule="auto"/>
              <w:ind w:left="851"/>
              <w:jc w:val="center"/>
              <w:rPr>
                <w:rFonts w:ascii="Book Antiqua" w:eastAsiaTheme="minorEastAsia" w:hAnsi="Book Antiqua"/>
                <w:b/>
                <w:bCs/>
                <w:sz w:val="24"/>
                <w:szCs w:val="24"/>
              </w:rPr>
            </w:pPr>
          </w:p>
          <w:p w14:paraId="72E90545" w14:textId="77777777" w:rsidR="00D60F0C" w:rsidRDefault="00D60F0C" w:rsidP="00D60F0C">
            <w:pPr>
              <w:spacing w:after="0" w:line="240" w:lineRule="auto"/>
              <w:ind w:left="851"/>
              <w:jc w:val="center"/>
              <w:rPr>
                <w:rFonts w:ascii="Book Antiqua" w:eastAsiaTheme="minorEastAsia" w:hAnsi="Book Antiqua"/>
                <w:b/>
                <w:bCs/>
                <w:sz w:val="24"/>
                <w:szCs w:val="24"/>
              </w:rPr>
            </w:pPr>
          </w:p>
          <w:p w14:paraId="65B755AC" w14:textId="77777777" w:rsidR="00D60F0C" w:rsidRDefault="00D60F0C" w:rsidP="00D60F0C">
            <w:pPr>
              <w:spacing w:after="0" w:line="240" w:lineRule="auto"/>
              <w:ind w:left="851"/>
              <w:jc w:val="center"/>
              <w:rPr>
                <w:rFonts w:ascii="Book Antiqua" w:eastAsiaTheme="minorEastAsia" w:hAnsi="Book Antiqua"/>
                <w:b/>
                <w:bCs/>
                <w:sz w:val="24"/>
                <w:szCs w:val="24"/>
              </w:rPr>
            </w:pPr>
          </w:p>
          <w:p w14:paraId="57770919" w14:textId="77777777" w:rsidR="00D60F0C" w:rsidRDefault="00D60F0C" w:rsidP="00D60F0C">
            <w:pPr>
              <w:spacing w:after="0" w:line="240" w:lineRule="auto"/>
              <w:ind w:left="851"/>
              <w:jc w:val="center"/>
              <w:rPr>
                <w:rFonts w:ascii="Book Antiqua" w:eastAsiaTheme="minorEastAsia" w:hAnsi="Book Antiqua"/>
                <w:b/>
                <w:bCs/>
                <w:sz w:val="24"/>
                <w:szCs w:val="24"/>
              </w:rPr>
            </w:pPr>
          </w:p>
          <w:p w14:paraId="2B8C3C4A" w14:textId="77777777" w:rsidR="00D60F0C" w:rsidRDefault="00D60F0C" w:rsidP="00D60F0C">
            <w:pPr>
              <w:spacing w:after="0" w:line="240" w:lineRule="auto"/>
              <w:ind w:left="851"/>
              <w:jc w:val="center"/>
              <w:rPr>
                <w:rFonts w:ascii="Book Antiqua" w:eastAsiaTheme="minorEastAsia" w:hAnsi="Book Antiqua"/>
                <w:b/>
                <w:bCs/>
                <w:sz w:val="24"/>
                <w:szCs w:val="24"/>
              </w:rPr>
            </w:pPr>
          </w:p>
          <w:p w14:paraId="79588B20" w14:textId="77777777" w:rsidR="00D60F0C" w:rsidRDefault="00D60F0C" w:rsidP="00D60F0C">
            <w:pPr>
              <w:spacing w:after="0" w:line="240" w:lineRule="auto"/>
              <w:ind w:left="851"/>
              <w:jc w:val="center"/>
              <w:rPr>
                <w:rFonts w:ascii="Book Antiqua" w:eastAsiaTheme="minorEastAsia" w:hAnsi="Book Antiqua"/>
                <w:b/>
                <w:bCs/>
                <w:sz w:val="24"/>
                <w:szCs w:val="24"/>
              </w:rPr>
            </w:pPr>
          </w:p>
          <w:p w14:paraId="6B62E15E" w14:textId="77777777" w:rsidR="00D60F0C" w:rsidRDefault="00D60F0C" w:rsidP="00D60F0C">
            <w:pPr>
              <w:spacing w:after="0" w:line="240" w:lineRule="auto"/>
              <w:ind w:left="851"/>
              <w:jc w:val="center"/>
              <w:rPr>
                <w:rFonts w:ascii="Book Antiqua" w:eastAsiaTheme="minorEastAsia" w:hAnsi="Book Antiqua"/>
                <w:b/>
                <w:bCs/>
                <w:sz w:val="24"/>
                <w:szCs w:val="24"/>
              </w:rPr>
            </w:pPr>
          </w:p>
          <w:p w14:paraId="28625BF7" w14:textId="77777777" w:rsidR="00D60F0C" w:rsidRDefault="00D60F0C" w:rsidP="00D60F0C">
            <w:pPr>
              <w:spacing w:after="0" w:line="240" w:lineRule="auto"/>
              <w:ind w:left="851"/>
              <w:jc w:val="center"/>
              <w:rPr>
                <w:rFonts w:ascii="Book Antiqua" w:eastAsiaTheme="minorEastAsia" w:hAnsi="Book Antiqua"/>
                <w:b/>
                <w:bCs/>
                <w:sz w:val="24"/>
                <w:szCs w:val="24"/>
              </w:rPr>
            </w:pPr>
          </w:p>
          <w:p w14:paraId="0B7E21E0" w14:textId="4B6CCF87" w:rsidR="00855285" w:rsidRPr="00855285" w:rsidRDefault="00855285" w:rsidP="00D60F0C">
            <w:pPr>
              <w:spacing w:after="0" w:line="240" w:lineRule="auto"/>
              <w:ind w:left="851"/>
              <w:jc w:val="center"/>
              <w:rPr>
                <w:rFonts w:ascii="Book Antiqua" w:eastAsiaTheme="minorEastAsia" w:hAnsi="Book Antiqua"/>
                <w:b/>
                <w:bCs/>
                <w:sz w:val="24"/>
                <w:szCs w:val="24"/>
              </w:rPr>
            </w:pPr>
            <w:r w:rsidRPr="00855285">
              <w:rPr>
                <w:rFonts w:ascii="Book Antiqua" w:eastAsiaTheme="minorEastAsia" w:hAnsi="Book Antiqua"/>
                <w:b/>
                <w:bCs/>
                <w:sz w:val="24"/>
                <w:szCs w:val="24"/>
              </w:rPr>
              <w:lastRenderedPageBreak/>
              <w:t xml:space="preserve">Tabel 12. </w:t>
            </w:r>
            <w:proofErr w:type="spellStart"/>
            <w:r w:rsidRPr="00855285">
              <w:rPr>
                <w:rFonts w:ascii="Book Antiqua" w:eastAsiaTheme="minorEastAsia" w:hAnsi="Book Antiqua"/>
                <w:b/>
                <w:bCs/>
                <w:sz w:val="24"/>
                <w:szCs w:val="24"/>
              </w:rPr>
              <w:t>Anova</w:t>
            </w:r>
            <w:proofErr w:type="spellEnd"/>
          </w:p>
          <w:tbl>
            <w:tblPr>
              <w:tblStyle w:val="GridTable2"/>
              <w:tblpPr w:leftFromText="180" w:rightFromText="180" w:vertAnchor="text" w:horzAnchor="margin" w:tblpXSpec="right" w:tblpY="412"/>
              <w:tblOverlap w:val="never"/>
              <w:tblW w:w="8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1228"/>
              <w:gridCol w:w="1332"/>
              <w:gridCol w:w="708"/>
              <w:gridCol w:w="1384"/>
              <w:gridCol w:w="978"/>
              <w:gridCol w:w="1407"/>
            </w:tblGrid>
            <w:tr w:rsidR="00D60F0C" w:rsidRPr="00D60F0C" w14:paraId="593A2CCB" w14:textId="77777777" w:rsidTr="00D60F0C">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118" w:type="dxa"/>
                  <w:tcBorders>
                    <w:top w:val="none" w:sz="0" w:space="0" w:color="auto"/>
                    <w:bottom w:val="none" w:sz="0" w:space="0" w:color="auto"/>
                    <w:right w:val="none" w:sz="0" w:space="0" w:color="auto"/>
                  </w:tcBorders>
                  <w:noWrap/>
                  <w:vAlign w:val="center"/>
                  <w:hideMark/>
                </w:tcPr>
                <w:p w14:paraId="00E63CAF" w14:textId="77777777" w:rsidR="00855285" w:rsidRPr="00427373" w:rsidRDefault="00855285" w:rsidP="00D60F0C">
                  <w:pPr>
                    <w:spacing w:after="0" w:line="240" w:lineRule="auto"/>
                    <w:jc w:val="center"/>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Model</w:t>
                  </w:r>
                </w:p>
              </w:tc>
              <w:tc>
                <w:tcPr>
                  <w:tcW w:w="1228" w:type="dxa"/>
                  <w:tcBorders>
                    <w:top w:val="none" w:sz="0" w:space="0" w:color="auto"/>
                    <w:left w:val="none" w:sz="0" w:space="0" w:color="auto"/>
                    <w:bottom w:val="none" w:sz="0" w:space="0" w:color="auto"/>
                    <w:right w:val="none" w:sz="0" w:space="0" w:color="auto"/>
                  </w:tcBorders>
                  <w:vAlign w:val="center"/>
                  <w:hideMark/>
                </w:tcPr>
                <w:p w14:paraId="1BB2C2CB" w14:textId="2DED32C7" w:rsidR="00855285" w:rsidRPr="00427373" w:rsidRDefault="00855285" w:rsidP="00D60F0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sz w:val="20"/>
                      <w:szCs w:val="20"/>
                      <w:lang w:val="en-ID"/>
                    </w:rPr>
                  </w:pPr>
                </w:p>
              </w:tc>
              <w:tc>
                <w:tcPr>
                  <w:tcW w:w="1332" w:type="dxa"/>
                  <w:tcBorders>
                    <w:top w:val="none" w:sz="0" w:space="0" w:color="auto"/>
                    <w:left w:val="none" w:sz="0" w:space="0" w:color="auto"/>
                    <w:bottom w:val="none" w:sz="0" w:space="0" w:color="auto"/>
                    <w:right w:val="none" w:sz="0" w:space="0" w:color="auto"/>
                  </w:tcBorders>
                  <w:vAlign w:val="center"/>
                  <w:hideMark/>
                </w:tcPr>
                <w:p w14:paraId="33E7A896" w14:textId="77777777" w:rsidR="00855285" w:rsidRPr="00427373" w:rsidRDefault="00855285" w:rsidP="00D60F0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sz w:val="20"/>
                      <w:szCs w:val="20"/>
                      <w:lang w:val="en-ID"/>
                    </w:rPr>
                  </w:pPr>
                  <w:r w:rsidRPr="00427373">
                    <w:rPr>
                      <w:rFonts w:ascii="Book Antiqua" w:eastAsia="Times New Roman" w:hAnsi="Book Antiqua" w:cs="Times New Roman"/>
                      <w:b w:val="0"/>
                      <w:bCs w:val="0"/>
                      <w:sz w:val="20"/>
                      <w:szCs w:val="20"/>
                      <w:lang w:val="en-ID"/>
                    </w:rPr>
                    <w:t>Sum of Squares</w:t>
                  </w:r>
                </w:p>
              </w:tc>
              <w:tc>
                <w:tcPr>
                  <w:tcW w:w="708" w:type="dxa"/>
                  <w:tcBorders>
                    <w:top w:val="none" w:sz="0" w:space="0" w:color="auto"/>
                    <w:left w:val="none" w:sz="0" w:space="0" w:color="auto"/>
                    <w:bottom w:val="none" w:sz="0" w:space="0" w:color="auto"/>
                    <w:right w:val="none" w:sz="0" w:space="0" w:color="auto"/>
                  </w:tcBorders>
                  <w:noWrap/>
                  <w:vAlign w:val="center"/>
                  <w:hideMark/>
                </w:tcPr>
                <w:p w14:paraId="593B425E" w14:textId="77777777" w:rsidR="00855285" w:rsidRPr="00427373" w:rsidRDefault="00855285" w:rsidP="00D60F0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sz w:val="20"/>
                      <w:szCs w:val="20"/>
                      <w:lang w:val="en-ID"/>
                    </w:rPr>
                  </w:pPr>
                  <w:proofErr w:type="spellStart"/>
                  <w:r w:rsidRPr="00427373">
                    <w:rPr>
                      <w:rFonts w:ascii="Book Antiqua" w:eastAsia="Times New Roman" w:hAnsi="Book Antiqua" w:cs="Times New Roman"/>
                      <w:b w:val="0"/>
                      <w:bCs w:val="0"/>
                      <w:sz w:val="20"/>
                      <w:szCs w:val="20"/>
                      <w:lang w:val="en-ID"/>
                    </w:rPr>
                    <w:t>df</w:t>
                  </w:r>
                  <w:proofErr w:type="spellEnd"/>
                </w:p>
              </w:tc>
              <w:tc>
                <w:tcPr>
                  <w:tcW w:w="1384" w:type="dxa"/>
                  <w:tcBorders>
                    <w:top w:val="none" w:sz="0" w:space="0" w:color="auto"/>
                    <w:left w:val="none" w:sz="0" w:space="0" w:color="auto"/>
                    <w:bottom w:val="none" w:sz="0" w:space="0" w:color="auto"/>
                    <w:right w:val="none" w:sz="0" w:space="0" w:color="auto"/>
                  </w:tcBorders>
                  <w:noWrap/>
                  <w:vAlign w:val="center"/>
                  <w:hideMark/>
                </w:tcPr>
                <w:p w14:paraId="516DF75D" w14:textId="77777777" w:rsidR="00855285" w:rsidRPr="00427373" w:rsidRDefault="00855285" w:rsidP="00D60F0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sz w:val="20"/>
                      <w:szCs w:val="20"/>
                      <w:lang w:val="en-ID"/>
                    </w:rPr>
                  </w:pPr>
                  <w:r w:rsidRPr="00427373">
                    <w:rPr>
                      <w:rFonts w:ascii="Book Antiqua" w:eastAsia="Times New Roman" w:hAnsi="Book Antiqua" w:cs="Times New Roman"/>
                      <w:b w:val="0"/>
                      <w:bCs w:val="0"/>
                      <w:sz w:val="20"/>
                      <w:szCs w:val="20"/>
                      <w:lang w:val="en-ID"/>
                    </w:rPr>
                    <w:t>Mean Square</w:t>
                  </w:r>
                </w:p>
              </w:tc>
              <w:tc>
                <w:tcPr>
                  <w:tcW w:w="978" w:type="dxa"/>
                  <w:tcBorders>
                    <w:top w:val="none" w:sz="0" w:space="0" w:color="auto"/>
                    <w:left w:val="none" w:sz="0" w:space="0" w:color="auto"/>
                    <w:bottom w:val="none" w:sz="0" w:space="0" w:color="auto"/>
                    <w:right w:val="none" w:sz="0" w:space="0" w:color="auto"/>
                  </w:tcBorders>
                  <w:noWrap/>
                  <w:vAlign w:val="center"/>
                  <w:hideMark/>
                </w:tcPr>
                <w:p w14:paraId="02B77977" w14:textId="77777777" w:rsidR="00855285" w:rsidRPr="00427373" w:rsidRDefault="00855285" w:rsidP="00D60F0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sz w:val="20"/>
                      <w:szCs w:val="20"/>
                      <w:lang w:val="en-ID"/>
                    </w:rPr>
                  </w:pPr>
                  <w:r w:rsidRPr="00427373">
                    <w:rPr>
                      <w:rFonts w:ascii="Book Antiqua" w:eastAsia="Times New Roman" w:hAnsi="Book Antiqua" w:cs="Times New Roman"/>
                      <w:b w:val="0"/>
                      <w:bCs w:val="0"/>
                      <w:sz w:val="20"/>
                      <w:szCs w:val="20"/>
                      <w:lang w:val="en-ID"/>
                    </w:rPr>
                    <w:t>F</w:t>
                  </w:r>
                </w:p>
              </w:tc>
              <w:tc>
                <w:tcPr>
                  <w:tcW w:w="1407" w:type="dxa"/>
                  <w:tcBorders>
                    <w:top w:val="none" w:sz="0" w:space="0" w:color="auto"/>
                    <w:left w:val="none" w:sz="0" w:space="0" w:color="auto"/>
                    <w:bottom w:val="none" w:sz="0" w:space="0" w:color="auto"/>
                  </w:tcBorders>
                  <w:noWrap/>
                  <w:vAlign w:val="center"/>
                  <w:hideMark/>
                </w:tcPr>
                <w:p w14:paraId="53BB7311" w14:textId="77777777" w:rsidR="00855285" w:rsidRPr="00427373" w:rsidRDefault="00855285" w:rsidP="00D60F0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sz w:val="20"/>
                      <w:szCs w:val="20"/>
                      <w:lang w:val="en-ID"/>
                    </w:rPr>
                  </w:pPr>
                  <w:r w:rsidRPr="00427373">
                    <w:rPr>
                      <w:rFonts w:ascii="Book Antiqua" w:eastAsia="Times New Roman" w:hAnsi="Book Antiqua" w:cs="Times New Roman"/>
                      <w:b w:val="0"/>
                      <w:bCs w:val="0"/>
                      <w:sz w:val="20"/>
                      <w:szCs w:val="20"/>
                      <w:lang w:val="en-ID"/>
                    </w:rPr>
                    <w:t>Sig.</w:t>
                  </w:r>
                </w:p>
              </w:tc>
            </w:tr>
            <w:tr w:rsidR="00D60F0C" w:rsidRPr="00D60F0C" w14:paraId="7EB621F0" w14:textId="77777777" w:rsidTr="00D60F0C">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118" w:type="dxa"/>
                  <w:noWrap/>
                  <w:vAlign w:val="center"/>
                  <w:hideMark/>
                </w:tcPr>
                <w:p w14:paraId="27D53B85" w14:textId="77777777" w:rsidR="00855285" w:rsidRPr="00427373" w:rsidRDefault="00855285" w:rsidP="00D60F0C">
                  <w:pPr>
                    <w:spacing w:after="0" w:line="240" w:lineRule="auto"/>
                    <w:jc w:val="center"/>
                    <w:rPr>
                      <w:rFonts w:ascii="Book Antiqua" w:eastAsia="Times New Roman" w:hAnsi="Book Antiqua" w:cs="Times New Roman"/>
                      <w:b w:val="0"/>
                      <w:bCs w:val="0"/>
                      <w:sz w:val="20"/>
                      <w:szCs w:val="20"/>
                      <w:lang w:val="en-ID"/>
                    </w:rPr>
                  </w:pPr>
                  <w:r w:rsidRPr="00427373">
                    <w:rPr>
                      <w:rFonts w:ascii="Book Antiqua" w:eastAsia="Times New Roman" w:hAnsi="Book Antiqua" w:cs="Times New Roman"/>
                      <w:b w:val="0"/>
                      <w:bCs w:val="0"/>
                      <w:sz w:val="20"/>
                      <w:szCs w:val="20"/>
                      <w:lang w:val="en-ID"/>
                    </w:rPr>
                    <w:t>1</w:t>
                  </w:r>
                </w:p>
              </w:tc>
              <w:tc>
                <w:tcPr>
                  <w:tcW w:w="1228" w:type="dxa"/>
                  <w:noWrap/>
                  <w:vAlign w:val="center"/>
                  <w:hideMark/>
                </w:tcPr>
                <w:p w14:paraId="3A5913A4" w14:textId="77777777" w:rsidR="00855285" w:rsidRPr="00427373" w:rsidRDefault="00855285"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Regression</w:t>
                  </w:r>
                </w:p>
              </w:tc>
              <w:tc>
                <w:tcPr>
                  <w:tcW w:w="1332" w:type="dxa"/>
                  <w:noWrap/>
                  <w:vAlign w:val="center"/>
                  <w:hideMark/>
                </w:tcPr>
                <w:p w14:paraId="06534882" w14:textId="77777777" w:rsidR="00855285" w:rsidRPr="00427373" w:rsidRDefault="00855285"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1.48E+12</w:t>
                  </w:r>
                </w:p>
              </w:tc>
              <w:tc>
                <w:tcPr>
                  <w:tcW w:w="708" w:type="dxa"/>
                  <w:noWrap/>
                  <w:vAlign w:val="center"/>
                  <w:hideMark/>
                </w:tcPr>
                <w:p w14:paraId="4411531B" w14:textId="77777777" w:rsidR="00855285" w:rsidRPr="00427373" w:rsidRDefault="00855285"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5</w:t>
                  </w:r>
                </w:p>
              </w:tc>
              <w:tc>
                <w:tcPr>
                  <w:tcW w:w="1384" w:type="dxa"/>
                  <w:noWrap/>
                  <w:vAlign w:val="center"/>
                  <w:hideMark/>
                </w:tcPr>
                <w:p w14:paraId="67AE0F45" w14:textId="77777777" w:rsidR="00855285" w:rsidRPr="00427373" w:rsidRDefault="00855285"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2.96E+11</w:t>
                  </w:r>
                </w:p>
              </w:tc>
              <w:tc>
                <w:tcPr>
                  <w:tcW w:w="978" w:type="dxa"/>
                  <w:noWrap/>
                  <w:vAlign w:val="center"/>
                  <w:hideMark/>
                </w:tcPr>
                <w:p w14:paraId="1B8CA974" w14:textId="77777777" w:rsidR="00855285" w:rsidRPr="00427373" w:rsidRDefault="00855285"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1571.513</w:t>
                  </w:r>
                </w:p>
              </w:tc>
              <w:tc>
                <w:tcPr>
                  <w:tcW w:w="1407" w:type="dxa"/>
                  <w:noWrap/>
                  <w:vAlign w:val="center"/>
                  <w:hideMark/>
                </w:tcPr>
                <w:p w14:paraId="7E4D8361" w14:textId="77777777" w:rsidR="00855285" w:rsidRPr="00427373" w:rsidRDefault="00855285"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vertAlign w:val="superscript"/>
                      <w:lang w:val="en-ID"/>
                    </w:rPr>
                  </w:pPr>
                  <w:r w:rsidRPr="00427373">
                    <w:rPr>
                      <w:rFonts w:ascii="Book Antiqua" w:eastAsia="Times New Roman" w:hAnsi="Book Antiqua" w:cs="Times New Roman"/>
                      <w:sz w:val="20"/>
                      <w:szCs w:val="20"/>
                      <w:lang w:val="en-ID"/>
                    </w:rPr>
                    <w:t>&lt;,001</w:t>
                  </w:r>
                  <w:r w:rsidRPr="00427373">
                    <w:rPr>
                      <w:rFonts w:ascii="Book Antiqua" w:eastAsia="Times New Roman" w:hAnsi="Book Antiqua" w:cs="Times New Roman"/>
                      <w:sz w:val="20"/>
                      <w:szCs w:val="20"/>
                      <w:vertAlign w:val="superscript"/>
                      <w:lang w:val="en-ID"/>
                    </w:rPr>
                    <w:t>b</w:t>
                  </w:r>
                </w:p>
              </w:tc>
            </w:tr>
            <w:tr w:rsidR="00D60F0C" w:rsidRPr="00D60F0C" w14:paraId="6DA3E486" w14:textId="77777777" w:rsidTr="00D60F0C">
              <w:trPr>
                <w:trHeight w:val="467"/>
              </w:trPr>
              <w:tc>
                <w:tcPr>
                  <w:cnfStyle w:val="001000000000" w:firstRow="0" w:lastRow="0" w:firstColumn="1" w:lastColumn="0" w:oddVBand="0" w:evenVBand="0" w:oddHBand="0" w:evenHBand="0" w:firstRowFirstColumn="0" w:firstRowLastColumn="0" w:lastRowFirstColumn="0" w:lastRowLastColumn="0"/>
                  <w:tcW w:w="1118" w:type="dxa"/>
                  <w:noWrap/>
                  <w:vAlign w:val="center"/>
                  <w:hideMark/>
                </w:tcPr>
                <w:p w14:paraId="2C40DE36" w14:textId="77777777" w:rsidR="00855285" w:rsidRPr="00427373" w:rsidRDefault="00855285" w:rsidP="00D60F0C">
                  <w:pPr>
                    <w:spacing w:after="0" w:line="240" w:lineRule="auto"/>
                    <w:jc w:val="center"/>
                    <w:rPr>
                      <w:rFonts w:ascii="Book Antiqua" w:eastAsia="Times New Roman" w:hAnsi="Book Antiqua" w:cs="Times New Roman"/>
                      <w:sz w:val="20"/>
                      <w:szCs w:val="20"/>
                      <w:lang w:val="en-ID"/>
                    </w:rPr>
                  </w:pPr>
                </w:p>
              </w:tc>
              <w:tc>
                <w:tcPr>
                  <w:tcW w:w="1228" w:type="dxa"/>
                  <w:noWrap/>
                  <w:vAlign w:val="center"/>
                  <w:hideMark/>
                </w:tcPr>
                <w:p w14:paraId="4F99985B" w14:textId="77777777" w:rsidR="00855285" w:rsidRPr="00427373" w:rsidRDefault="00855285"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Residual</w:t>
                  </w:r>
                </w:p>
              </w:tc>
              <w:tc>
                <w:tcPr>
                  <w:tcW w:w="1332" w:type="dxa"/>
                  <w:noWrap/>
                  <w:vAlign w:val="center"/>
                  <w:hideMark/>
                </w:tcPr>
                <w:p w14:paraId="5276B39F" w14:textId="77777777" w:rsidR="00855285" w:rsidRPr="00427373" w:rsidRDefault="00855285"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12432815863</w:t>
                  </w:r>
                </w:p>
              </w:tc>
              <w:tc>
                <w:tcPr>
                  <w:tcW w:w="708" w:type="dxa"/>
                  <w:noWrap/>
                  <w:vAlign w:val="center"/>
                  <w:hideMark/>
                </w:tcPr>
                <w:p w14:paraId="2ED5CF6D" w14:textId="77777777" w:rsidR="00855285" w:rsidRPr="00427373" w:rsidRDefault="00855285"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66</w:t>
                  </w:r>
                </w:p>
              </w:tc>
              <w:tc>
                <w:tcPr>
                  <w:tcW w:w="1384" w:type="dxa"/>
                  <w:noWrap/>
                  <w:vAlign w:val="center"/>
                  <w:hideMark/>
                </w:tcPr>
                <w:p w14:paraId="5B835B51" w14:textId="77777777" w:rsidR="00855285" w:rsidRPr="00427373" w:rsidRDefault="00855285"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188375997.92</w:t>
                  </w:r>
                </w:p>
              </w:tc>
              <w:tc>
                <w:tcPr>
                  <w:tcW w:w="978" w:type="dxa"/>
                  <w:noWrap/>
                  <w:vAlign w:val="center"/>
                  <w:hideMark/>
                </w:tcPr>
                <w:p w14:paraId="595320A5" w14:textId="77777777" w:rsidR="00855285" w:rsidRPr="00427373" w:rsidRDefault="00855285"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p>
              </w:tc>
              <w:tc>
                <w:tcPr>
                  <w:tcW w:w="1407" w:type="dxa"/>
                  <w:noWrap/>
                  <w:vAlign w:val="center"/>
                  <w:hideMark/>
                </w:tcPr>
                <w:p w14:paraId="65183B32" w14:textId="77777777" w:rsidR="00855285" w:rsidRPr="00427373" w:rsidRDefault="00855285"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p>
              </w:tc>
            </w:tr>
            <w:tr w:rsidR="00D60F0C" w:rsidRPr="00D60F0C" w14:paraId="5F467065" w14:textId="77777777" w:rsidTr="00D60F0C">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118" w:type="dxa"/>
                  <w:noWrap/>
                  <w:vAlign w:val="center"/>
                  <w:hideMark/>
                </w:tcPr>
                <w:p w14:paraId="4382D015" w14:textId="77777777" w:rsidR="00855285" w:rsidRPr="00427373" w:rsidRDefault="00855285" w:rsidP="00D60F0C">
                  <w:pPr>
                    <w:spacing w:after="0" w:line="240" w:lineRule="auto"/>
                    <w:jc w:val="center"/>
                    <w:rPr>
                      <w:rFonts w:ascii="Book Antiqua" w:eastAsia="Times New Roman" w:hAnsi="Book Antiqua" w:cs="Times New Roman"/>
                      <w:sz w:val="20"/>
                      <w:szCs w:val="20"/>
                      <w:lang w:val="en-ID"/>
                    </w:rPr>
                  </w:pPr>
                </w:p>
              </w:tc>
              <w:tc>
                <w:tcPr>
                  <w:tcW w:w="1228" w:type="dxa"/>
                  <w:noWrap/>
                  <w:vAlign w:val="center"/>
                  <w:hideMark/>
                </w:tcPr>
                <w:p w14:paraId="0C758295" w14:textId="77777777" w:rsidR="00855285" w:rsidRPr="00427373" w:rsidRDefault="00855285"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Total</w:t>
                  </w:r>
                </w:p>
              </w:tc>
              <w:tc>
                <w:tcPr>
                  <w:tcW w:w="1332" w:type="dxa"/>
                  <w:noWrap/>
                  <w:vAlign w:val="center"/>
                  <w:hideMark/>
                </w:tcPr>
                <w:p w14:paraId="131F5683" w14:textId="77777777" w:rsidR="00855285" w:rsidRPr="00427373" w:rsidRDefault="00855285"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1.49E+12</w:t>
                  </w:r>
                </w:p>
              </w:tc>
              <w:tc>
                <w:tcPr>
                  <w:tcW w:w="708" w:type="dxa"/>
                  <w:noWrap/>
                  <w:vAlign w:val="center"/>
                  <w:hideMark/>
                </w:tcPr>
                <w:p w14:paraId="3446A4E6" w14:textId="77777777" w:rsidR="00855285" w:rsidRPr="00427373" w:rsidRDefault="00855285"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71</w:t>
                  </w:r>
                </w:p>
              </w:tc>
              <w:tc>
                <w:tcPr>
                  <w:tcW w:w="1384" w:type="dxa"/>
                  <w:noWrap/>
                  <w:vAlign w:val="center"/>
                  <w:hideMark/>
                </w:tcPr>
                <w:p w14:paraId="1530E612" w14:textId="77777777" w:rsidR="00855285" w:rsidRPr="00427373" w:rsidRDefault="00855285"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p>
              </w:tc>
              <w:tc>
                <w:tcPr>
                  <w:tcW w:w="978" w:type="dxa"/>
                  <w:noWrap/>
                  <w:vAlign w:val="center"/>
                  <w:hideMark/>
                </w:tcPr>
                <w:p w14:paraId="0FF70434" w14:textId="77777777" w:rsidR="00855285" w:rsidRPr="00427373" w:rsidRDefault="00855285"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p>
              </w:tc>
              <w:tc>
                <w:tcPr>
                  <w:tcW w:w="1407" w:type="dxa"/>
                  <w:noWrap/>
                  <w:vAlign w:val="center"/>
                  <w:hideMark/>
                </w:tcPr>
                <w:p w14:paraId="1268F332" w14:textId="77777777" w:rsidR="00855285" w:rsidRPr="00427373" w:rsidRDefault="00855285"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p>
              </w:tc>
            </w:tr>
            <w:tr w:rsidR="00D60F0C" w:rsidRPr="00D60F0C" w14:paraId="7F54D9AA" w14:textId="77777777" w:rsidTr="00D60F0C">
              <w:trPr>
                <w:trHeight w:val="582"/>
              </w:trPr>
              <w:tc>
                <w:tcPr>
                  <w:cnfStyle w:val="001000000000" w:firstRow="0" w:lastRow="0" w:firstColumn="1" w:lastColumn="0" w:oddVBand="0" w:evenVBand="0" w:oddHBand="0" w:evenHBand="0" w:firstRowFirstColumn="0" w:firstRowLastColumn="0" w:lastRowFirstColumn="0" w:lastRowLastColumn="0"/>
                  <w:tcW w:w="8155" w:type="dxa"/>
                  <w:gridSpan w:val="7"/>
                  <w:vAlign w:val="center"/>
                  <w:hideMark/>
                </w:tcPr>
                <w:p w14:paraId="2C52CB7A" w14:textId="0C2C26BE" w:rsidR="00855285" w:rsidRPr="00427373" w:rsidRDefault="00855285" w:rsidP="00D60F0C">
                  <w:pPr>
                    <w:spacing w:after="0" w:line="240" w:lineRule="auto"/>
                    <w:jc w:val="center"/>
                    <w:rPr>
                      <w:rFonts w:ascii="Book Antiqua" w:eastAsia="Times New Roman" w:hAnsi="Book Antiqua" w:cs="Times New Roman"/>
                      <w:b w:val="0"/>
                      <w:bCs w:val="0"/>
                      <w:sz w:val="20"/>
                      <w:szCs w:val="20"/>
                      <w:lang w:val="en-ID"/>
                    </w:rPr>
                  </w:pPr>
                  <w:r w:rsidRPr="00427373">
                    <w:rPr>
                      <w:rFonts w:ascii="Book Antiqua" w:eastAsia="Times New Roman" w:hAnsi="Book Antiqua" w:cs="Times New Roman"/>
                      <w:b w:val="0"/>
                      <w:bCs w:val="0"/>
                      <w:sz w:val="20"/>
                      <w:szCs w:val="20"/>
                      <w:lang w:val="en-ID"/>
                    </w:rPr>
                    <w:t xml:space="preserve">a. Dependent Variable: </w:t>
                  </w:r>
                  <w:r w:rsidR="00D60F0C" w:rsidRPr="00427373">
                    <w:rPr>
                      <w:rFonts w:ascii="Book Antiqua" w:eastAsia="Times New Roman" w:hAnsi="Book Antiqua" w:cs="Times New Roman"/>
                      <w:b w:val="0"/>
                      <w:bCs w:val="0"/>
                      <w:sz w:val="20"/>
                      <w:szCs w:val="20"/>
                      <w:lang w:val="en-ID"/>
                    </w:rPr>
                    <w:t>Gold account</w:t>
                  </w:r>
                  <w:r w:rsidRPr="00427373">
                    <w:rPr>
                      <w:rFonts w:ascii="Book Antiqua" w:eastAsia="Times New Roman" w:hAnsi="Book Antiqua" w:cs="Times New Roman"/>
                      <w:b w:val="0"/>
                      <w:bCs w:val="0"/>
                      <w:sz w:val="20"/>
                      <w:szCs w:val="20"/>
                      <w:lang w:val="en-ID"/>
                    </w:rPr>
                    <w:br/>
                    <w:t xml:space="preserve">b. Predictors: (Constant), </w:t>
                  </w:r>
                  <w:r w:rsidR="00D60F0C" w:rsidRPr="00427373">
                    <w:rPr>
                      <w:rFonts w:ascii="Book Antiqua" w:eastAsia="Times New Roman" w:hAnsi="Book Antiqua" w:cs="Times New Roman"/>
                      <w:b w:val="0"/>
                      <w:bCs w:val="0"/>
                      <w:sz w:val="20"/>
                      <w:szCs w:val="20"/>
                      <w:lang w:val="en-ID"/>
                    </w:rPr>
                    <w:t>International gold price, Inflation, Exchange rate, Economy growth, Interest rate</w:t>
                  </w:r>
                </w:p>
              </w:tc>
            </w:tr>
          </w:tbl>
          <w:p w14:paraId="749F3C53" w14:textId="77777777" w:rsidR="00855285" w:rsidRDefault="00855285" w:rsidP="00855285">
            <w:pPr>
              <w:spacing w:after="120" w:line="240" w:lineRule="auto"/>
              <w:rPr>
                <w:rFonts w:ascii="Book Antiqua" w:hAnsi="Book Antiqua"/>
                <w:sz w:val="24"/>
                <w:szCs w:val="24"/>
              </w:rPr>
            </w:pPr>
          </w:p>
          <w:p w14:paraId="75CC8428" w14:textId="77777777" w:rsidR="00D60F0C" w:rsidRDefault="00D60F0C" w:rsidP="00855285">
            <w:pPr>
              <w:spacing w:after="120" w:line="240" w:lineRule="auto"/>
              <w:rPr>
                <w:rFonts w:ascii="Book Antiqua" w:hAnsi="Book Antiqua"/>
                <w:sz w:val="24"/>
                <w:szCs w:val="24"/>
              </w:rPr>
            </w:pPr>
          </w:p>
          <w:p w14:paraId="3597D86A" w14:textId="77777777" w:rsidR="00D60F0C" w:rsidRDefault="00D60F0C" w:rsidP="00855285">
            <w:pPr>
              <w:spacing w:after="120" w:line="240" w:lineRule="auto"/>
              <w:rPr>
                <w:rFonts w:ascii="Book Antiqua" w:hAnsi="Book Antiqua"/>
                <w:sz w:val="24"/>
                <w:szCs w:val="24"/>
              </w:rPr>
            </w:pPr>
          </w:p>
          <w:p w14:paraId="0B601755" w14:textId="77777777" w:rsidR="00D60F0C" w:rsidRDefault="00D60F0C" w:rsidP="00855285">
            <w:pPr>
              <w:spacing w:after="120" w:line="240" w:lineRule="auto"/>
              <w:rPr>
                <w:rFonts w:ascii="Book Antiqua" w:hAnsi="Book Antiqua"/>
                <w:sz w:val="24"/>
                <w:szCs w:val="24"/>
              </w:rPr>
            </w:pPr>
          </w:p>
          <w:p w14:paraId="423FD569" w14:textId="77777777" w:rsidR="00D60F0C" w:rsidRDefault="00D60F0C" w:rsidP="00855285">
            <w:pPr>
              <w:spacing w:after="120" w:line="240" w:lineRule="auto"/>
              <w:rPr>
                <w:rFonts w:ascii="Book Antiqua" w:hAnsi="Book Antiqua"/>
                <w:sz w:val="24"/>
                <w:szCs w:val="24"/>
              </w:rPr>
            </w:pPr>
          </w:p>
          <w:p w14:paraId="44484535" w14:textId="77777777" w:rsidR="00D60F0C" w:rsidRDefault="00D60F0C" w:rsidP="00855285">
            <w:pPr>
              <w:spacing w:after="120" w:line="240" w:lineRule="auto"/>
              <w:rPr>
                <w:rFonts w:ascii="Book Antiqua" w:hAnsi="Book Antiqua"/>
                <w:sz w:val="24"/>
                <w:szCs w:val="24"/>
              </w:rPr>
            </w:pPr>
          </w:p>
          <w:p w14:paraId="783BEFBC" w14:textId="77777777" w:rsidR="00D60F0C" w:rsidRDefault="00D60F0C" w:rsidP="00855285">
            <w:pPr>
              <w:spacing w:after="120" w:line="240" w:lineRule="auto"/>
              <w:rPr>
                <w:rFonts w:ascii="Book Antiqua" w:hAnsi="Book Antiqua"/>
                <w:sz w:val="24"/>
                <w:szCs w:val="24"/>
              </w:rPr>
            </w:pPr>
          </w:p>
          <w:p w14:paraId="132B8774" w14:textId="77777777" w:rsidR="00D60F0C" w:rsidRDefault="00D60F0C" w:rsidP="00855285">
            <w:pPr>
              <w:spacing w:after="120" w:line="240" w:lineRule="auto"/>
              <w:rPr>
                <w:rFonts w:ascii="Book Antiqua" w:hAnsi="Book Antiqua"/>
                <w:sz w:val="24"/>
                <w:szCs w:val="24"/>
              </w:rPr>
            </w:pPr>
          </w:p>
          <w:p w14:paraId="7C1BD827" w14:textId="7CF5C1CA" w:rsidR="00855285" w:rsidRPr="00E54420" w:rsidRDefault="00855285" w:rsidP="00855285">
            <w:pPr>
              <w:spacing w:after="120" w:line="240" w:lineRule="auto"/>
              <w:ind w:left="851" w:firstLine="630"/>
              <w:rPr>
                <w:rFonts w:ascii="Book Antiqua" w:hAnsi="Book Antiqua"/>
                <w:sz w:val="24"/>
                <w:szCs w:val="24"/>
              </w:rPr>
            </w:pPr>
            <w:r w:rsidRPr="00E54420">
              <w:rPr>
                <w:rFonts w:ascii="Book Antiqua" w:hAnsi="Book Antiqua"/>
                <w:sz w:val="24"/>
                <w:szCs w:val="24"/>
              </w:rPr>
              <w:t>Significance value &lt;0.05, all constants (independent variables) together influence the price of gold</w:t>
            </w:r>
            <w:r w:rsidR="00D60F0C">
              <w:rPr>
                <w:rFonts w:ascii="Book Antiqua" w:hAnsi="Book Antiqua"/>
                <w:sz w:val="24"/>
                <w:szCs w:val="24"/>
              </w:rPr>
              <w:t xml:space="preserve"> </w:t>
            </w:r>
            <w:r w:rsidRPr="00E54420">
              <w:rPr>
                <w:rFonts w:ascii="Book Antiqua" w:hAnsi="Book Antiqua"/>
                <w:sz w:val="24"/>
                <w:szCs w:val="24"/>
              </w:rPr>
              <w:t>accounts. This result is used for the Simultaneous Influence Test (F Value Test) in multiple regression tests or tests with more than one independent variable.</w:t>
            </w:r>
          </w:p>
          <w:p w14:paraId="5340438F" w14:textId="77777777" w:rsidR="00855285" w:rsidRPr="00E54420" w:rsidRDefault="00855285" w:rsidP="00855285">
            <w:pPr>
              <w:spacing w:after="120" w:line="240" w:lineRule="auto"/>
              <w:ind w:left="851"/>
              <w:rPr>
                <w:rFonts w:ascii="Book Antiqua" w:hAnsi="Book Antiqua"/>
                <w:sz w:val="24"/>
                <w:szCs w:val="24"/>
              </w:rPr>
            </w:pPr>
          </w:p>
          <w:p w14:paraId="636C944C" w14:textId="77777777" w:rsidR="00855285" w:rsidRPr="00855285" w:rsidRDefault="00855285" w:rsidP="00855285">
            <w:pPr>
              <w:spacing w:after="120" w:line="240" w:lineRule="auto"/>
              <w:ind w:left="851"/>
              <w:jc w:val="center"/>
              <w:rPr>
                <w:rFonts w:ascii="Book Antiqua" w:eastAsiaTheme="minorEastAsia" w:hAnsi="Book Antiqua"/>
                <w:b/>
                <w:bCs/>
                <w:sz w:val="24"/>
                <w:szCs w:val="24"/>
              </w:rPr>
            </w:pPr>
            <w:r w:rsidRPr="00855285">
              <w:rPr>
                <w:rFonts w:ascii="Book Antiqua" w:eastAsiaTheme="minorEastAsia" w:hAnsi="Book Antiqua"/>
                <w:b/>
                <w:bCs/>
                <w:sz w:val="24"/>
                <w:szCs w:val="24"/>
              </w:rPr>
              <w:t>Tabel 13. Coefficients</w:t>
            </w:r>
          </w:p>
          <w:tbl>
            <w:tblPr>
              <w:tblStyle w:val="GridTable2"/>
              <w:tblW w:w="8329" w:type="dxa"/>
              <w:tblInd w:w="851" w:type="dxa"/>
              <w:tblLook w:val="04A0" w:firstRow="1" w:lastRow="0" w:firstColumn="1" w:lastColumn="0" w:noHBand="0" w:noVBand="1"/>
            </w:tblPr>
            <w:tblGrid>
              <w:gridCol w:w="910"/>
              <w:gridCol w:w="1867"/>
              <w:gridCol w:w="1251"/>
              <w:gridCol w:w="1112"/>
              <w:gridCol w:w="1454"/>
              <w:gridCol w:w="900"/>
              <w:gridCol w:w="835"/>
            </w:tblGrid>
            <w:tr w:rsidR="00D60F0C" w:rsidRPr="00D60F0C" w14:paraId="338C72C9" w14:textId="77777777" w:rsidTr="00D60F0C">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8329" w:type="dxa"/>
                  <w:gridSpan w:val="7"/>
                  <w:noWrap/>
                  <w:vAlign w:val="center"/>
                  <w:hideMark/>
                </w:tcPr>
                <w:p w14:paraId="57820F29" w14:textId="77777777" w:rsidR="00855285" w:rsidRPr="00D60F0C" w:rsidRDefault="00855285" w:rsidP="00D60F0C">
                  <w:pPr>
                    <w:spacing w:after="120" w:line="240" w:lineRule="auto"/>
                    <w:jc w:val="center"/>
                    <w:rPr>
                      <w:rFonts w:ascii="Aptos Narrow" w:eastAsia="Times New Roman" w:hAnsi="Aptos Narrow" w:cs="Times New Roman"/>
                      <w:sz w:val="20"/>
                      <w:szCs w:val="20"/>
                      <w:vertAlign w:val="superscript"/>
                      <w:lang w:val="en-ID"/>
                    </w:rPr>
                  </w:pPr>
                  <w:proofErr w:type="spellStart"/>
                  <w:r w:rsidRPr="00D60F0C">
                    <w:rPr>
                      <w:rFonts w:ascii="Aptos Narrow" w:eastAsia="Times New Roman" w:hAnsi="Aptos Narrow" w:cs="Times New Roman"/>
                      <w:sz w:val="20"/>
                      <w:szCs w:val="20"/>
                      <w:lang w:val="en-ID"/>
                    </w:rPr>
                    <w:t>Coefficients</w:t>
                  </w:r>
                  <w:r w:rsidRPr="00D60F0C">
                    <w:rPr>
                      <w:rFonts w:ascii="Aptos Narrow" w:eastAsia="Times New Roman" w:hAnsi="Aptos Narrow" w:cs="Times New Roman"/>
                      <w:sz w:val="20"/>
                      <w:szCs w:val="20"/>
                      <w:vertAlign w:val="superscript"/>
                      <w:lang w:val="en-ID"/>
                    </w:rPr>
                    <w:t>a</w:t>
                  </w:r>
                  <w:proofErr w:type="spellEnd"/>
                </w:p>
              </w:tc>
            </w:tr>
            <w:tr w:rsidR="00D60F0C" w:rsidRPr="00D60F0C" w14:paraId="0069FAC1" w14:textId="77777777" w:rsidTr="00427373">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910" w:type="dxa"/>
                  <w:vMerge w:val="restart"/>
                  <w:noWrap/>
                  <w:vAlign w:val="center"/>
                  <w:hideMark/>
                </w:tcPr>
                <w:p w14:paraId="2E1C4929" w14:textId="77777777" w:rsidR="00855285" w:rsidRPr="00427373" w:rsidRDefault="00855285" w:rsidP="00D60F0C">
                  <w:pPr>
                    <w:spacing w:after="120" w:line="240" w:lineRule="auto"/>
                    <w:jc w:val="center"/>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Model</w:t>
                  </w:r>
                </w:p>
              </w:tc>
              <w:tc>
                <w:tcPr>
                  <w:tcW w:w="1867" w:type="dxa"/>
                  <w:vMerge w:val="restart"/>
                  <w:noWrap/>
                  <w:vAlign w:val="center"/>
                  <w:hideMark/>
                </w:tcPr>
                <w:p w14:paraId="0E2F6FF5" w14:textId="77777777" w:rsidR="00855285" w:rsidRPr="00427373" w:rsidRDefault="00855285" w:rsidP="00D60F0C">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p>
              </w:tc>
              <w:tc>
                <w:tcPr>
                  <w:tcW w:w="2363" w:type="dxa"/>
                  <w:gridSpan w:val="2"/>
                  <w:noWrap/>
                  <w:vAlign w:val="center"/>
                  <w:hideMark/>
                </w:tcPr>
                <w:p w14:paraId="4CE6B71C" w14:textId="77777777" w:rsidR="00855285" w:rsidRPr="00427373" w:rsidRDefault="00855285" w:rsidP="00D60F0C">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Unstandardized Coefficients</w:t>
                  </w:r>
                </w:p>
              </w:tc>
              <w:tc>
                <w:tcPr>
                  <w:tcW w:w="1454" w:type="dxa"/>
                  <w:vMerge w:val="restart"/>
                  <w:vAlign w:val="center"/>
                  <w:hideMark/>
                </w:tcPr>
                <w:p w14:paraId="4A0B9459" w14:textId="77777777" w:rsidR="00855285" w:rsidRPr="00427373" w:rsidRDefault="00855285" w:rsidP="00D60F0C">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Standardized Coefficients Beta</w:t>
                  </w:r>
                </w:p>
              </w:tc>
              <w:tc>
                <w:tcPr>
                  <w:tcW w:w="900" w:type="dxa"/>
                  <w:vMerge w:val="restart"/>
                  <w:noWrap/>
                  <w:vAlign w:val="center"/>
                  <w:hideMark/>
                </w:tcPr>
                <w:p w14:paraId="3946F8BE" w14:textId="77777777" w:rsidR="00855285" w:rsidRPr="00427373" w:rsidRDefault="00855285" w:rsidP="00D60F0C">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t</w:t>
                  </w:r>
                </w:p>
              </w:tc>
              <w:tc>
                <w:tcPr>
                  <w:tcW w:w="835" w:type="dxa"/>
                  <w:vMerge w:val="restart"/>
                  <w:noWrap/>
                  <w:vAlign w:val="center"/>
                  <w:hideMark/>
                </w:tcPr>
                <w:p w14:paraId="72C165C4" w14:textId="77777777" w:rsidR="00855285" w:rsidRPr="00427373" w:rsidRDefault="00855285" w:rsidP="00D60F0C">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Sig.</w:t>
                  </w:r>
                </w:p>
              </w:tc>
            </w:tr>
            <w:tr w:rsidR="00D60F0C" w:rsidRPr="00D60F0C" w14:paraId="5CB0F224" w14:textId="77777777" w:rsidTr="00427373">
              <w:trPr>
                <w:trHeight w:val="251"/>
              </w:trPr>
              <w:tc>
                <w:tcPr>
                  <w:cnfStyle w:val="001000000000" w:firstRow="0" w:lastRow="0" w:firstColumn="1" w:lastColumn="0" w:oddVBand="0" w:evenVBand="0" w:oddHBand="0" w:evenHBand="0" w:firstRowFirstColumn="0" w:firstRowLastColumn="0" w:lastRowFirstColumn="0" w:lastRowLastColumn="0"/>
                  <w:tcW w:w="910" w:type="dxa"/>
                  <w:vMerge/>
                  <w:vAlign w:val="center"/>
                  <w:hideMark/>
                </w:tcPr>
                <w:p w14:paraId="7CC57CFA" w14:textId="77777777" w:rsidR="00855285" w:rsidRPr="00427373" w:rsidRDefault="00855285" w:rsidP="00D60F0C">
                  <w:pPr>
                    <w:spacing w:after="120" w:line="240" w:lineRule="auto"/>
                    <w:jc w:val="center"/>
                    <w:rPr>
                      <w:rFonts w:ascii="Book Antiqua" w:eastAsia="Times New Roman" w:hAnsi="Book Antiqua" w:cs="Times New Roman"/>
                      <w:sz w:val="20"/>
                      <w:szCs w:val="20"/>
                      <w:lang w:val="en-ID"/>
                    </w:rPr>
                  </w:pPr>
                </w:p>
              </w:tc>
              <w:tc>
                <w:tcPr>
                  <w:tcW w:w="1867" w:type="dxa"/>
                  <w:vMerge/>
                  <w:vAlign w:val="center"/>
                  <w:hideMark/>
                </w:tcPr>
                <w:p w14:paraId="3F586BDF" w14:textId="77777777" w:rsidR="00855285" w:rsidRPr="00427373" w:rsidRDefault="00855285" w:rsidP="00D60F0C">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p>
              </w:tc>
              <w:tc>
                <w:tcPr>
                  <w:tcW w:w="1251" w:type="dxa"/>
                  <w:noWrap/>
                  <w:vAlign w:val="center"/>
                  <w:hideMark/>
                </w:tcPr>
                <w:p w14:paraId="3E2F2533" w14:textId="77777777" w:rsidR="00855285" w:rsidRPr="00427373" w:rsidRDefault="00855285" w:rsidP="00D60F0C">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B</w:t>
                  </w:r>
                </w:p>
              </w:tc>
              <w:tc>
                <w:tcPr>
                  <w:tcW w:w="1112" w:type="dxa"/>
                  <w:noWrap/>
                  <w:vAlign w:val="center"/>
                  <w:hideMark/>
                </w:tcPr>
                <w:p w14:paraId="31B2F18A" w14:textId="77777777" w:rsidR="00855285" w:rsidRPr="00427373" w:rsidRDefault="00855285" w:rsidP="00D60F0C">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Std. Error</w:t>
                  </w:r>
                </w:p>
              </w:tc>
              <w:tc>
                <w:tcPr>
                  <w:tcW w:w="1454" w:type="dxa"/>
                  <w:vMerge/>
                  <w:vAlign w:val="center"/>
                  <w:hideMark/>
                </w:tcPr>
                <w:p w14:paraId="38E91712" w14:textId="77777777" w:rsidR="00855285" w:rsidRPr="00427373" w:rsidRDefault="00855285" w:rsidP="00D60F0C">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p>
              </w:tc>
              <w:tc>
                <w:tcPr>
                  <w:tcW w:w="900" w:type="dxa"/>
                  <w:vMerge/>
                  <w:vAlign w:val="center"/>
                  <w:hideMark/>
                </w:tcPr>
                <w:p w14:paraId="6126E282" w14:textId="77777777" w:rsidR="00855285" w:rsidRPr="00427373" w:rsidRDefault="00855285" w:rsidP="00D60F0C">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p>
              </w:tc>
              <w:tc>
                <w:tcPr>
                  <w:tcW w:w="835" w:type="dxa"/>
                  <w:vMerge/>
                  <w:vAlign w:val="center"/>
                  <w:hideMark/>
                </w:tcPr>
                <w:p w14:paraId="2BCC6E51" w14:textId="77777777" w:rsidR="00855285" w:rsidRPr="00427373" w:rsidRDefault="00855285" w:rsidP="00D60F0C">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p>
              </w:tc>
            </w:tr>
            <w:tr w:rsidR="00D60F0C" w:rsidRPr="00D60F0C" w14:paraId="67CD6AF6" w14:textId="77777777" w:rsidTr="00427373">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10" w:type="dxa"/>
                  <w:vMerge w:val="restart"/>
                  <w:noWrap/>
                  <w:vAlign w:val="center"/>
                  <w:hideMark/>
                </w:tcPr>
                <w:p w14:paraId="0B462B52" w14:textId="77777777" w:rsidR="00D60F0C" w:rsidRPr="00427373" w:rsidRDefault="00D60F0C" w:rsidP="00D60F0C">
                  <w:pPr>
                    <w:spacing w:after="0" w:line="240" w:lineRule="auto"/>
                    <w:jc w:val="center"/>
                    <w:rPr>
                      <w:rFonts w:ascii="Book Antiqua" w:eastAsia="Times New Roman" w:hAnsi="Book Antiqua" w:cs="Times New Roman"/>
                      <w:b w:val="0"/>
                      <w:bCs w:val="0"/>
                      <w:sz w:val="20"/>
                      <w:szCs w:val="20"/>
                      <w:lang w:val="en-ID"/>
                    </w:rPr>
                  </w:pPr>
                  <w:r w:rsidRPr="00427373">
                    <w:rPr>
                      <w:rFonts w:ascii="Book Antiqua" w:eastAsia="Times New Roman" w:hAnsi="Book Antiqua" w:cs="Times New Roman"/>
                      <w:b w:val="0"/>
                      <w:bCs w:val="0"/>
                      <w:sz w:val="20"/>
                      <w:szCs w:val="20"/>
                      <w:lang w:val="en-ID"/>
                    </w:rPr>
                    <w:t>1</w:t>
                  </w:r>
                </w:p>
              </w:tc>
              <w:tc>
                <w:tcPr>
                  <w:tcW w:w="1867" w:type="dxa"/>
                  <w:noWrap/>
                  <w:vAlign w:val="center"/>
                  <w:hideMark/>
                </w:tcPr>
                <w:p w14:paraId="1DF88CE8" w14:textId="07033554" w:rsidR="00D60F0C" w:rsidRPr="00427373" w:rsidRDefault="00D60F0C"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b/>
                      <w:bCs/>
                      <w:sz w:val="20"/>
                      <w:szCs w:val="20"/>
                      <w:lang w:val="en-ID"/>
                    </w:rPr>
                    <w:t>Constant</w:t>
                  </w:r>
                </w:p>
              </w:tc>
              <w:tc>
                <w:tcPr>
                  <w:tcW w:w="1251" w:type="dxa"/>
                  <w:noWrap/>
                  <w:vAlign w:val="center"/>
                  <w:hideMark/>
                </w:tcPr>
                <w:p w14:paraId="634268E3" w14:textId="77777777" w:rsidR="00D60F0C" w:rsidRPr="00427373" w:rsidRDefault="00D60F0C"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-623091.532</w:t>
                  </w:r>
                </w:p>
              </w:tc>
              <w:tc>
                <w:tcPr>
                  <w:tcW w:w="1112" w:type="dxa"/>
                  <w:noWrap/>
                  <w:vAlign w:val="center"/>
                  <w:hideMark/>
                </w:tcPr>
                <w:p w14:paraId="05BEA6AF" w14:textId="77777777" w:rsidR="00D60F0C" w:rsidRPr="00427373" w:rsidRDefault="00D60F0C"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39191.887</w:t>
                  </w:r>
                </w:p>
              </w:tc>
              <w:tc>
                <w:tcPr>
                  <w:tcW w:w="1454" w:type="dxa"/>
                  <w:noWrap/>
                  <w:vAlign w:val="center"/>
                  <w:hideMark/>
                </w:tcPr>
                <w:p w14:paraId="7E0D2F5C" w14:textId="77777777" w:rsidR="00D60F0C" w:rsidRPr="00427373" w:rsidRDefault="00D60F0C"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p>
              </w:tc>
              <w:tc>
                <w:tcPr>
                  <w:tcW w:w="900" w:type="dxa"/>
                  <w:noWrap/>
                  <w:vAlign w:val="center"/>
                  <w:hideMark/>
                </w:tcPr>
                <w:p w14:paraId="5ADEC791" w14:textId="77777777" w:rsidR="00D60F0C" w:rsidRPr="00427373" w:rsidRDefault="00D60F0C"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-15.898</w:t>
                  </w:r>
                </w:p>
              </w:tc>
              <w:tc>
                <w:tcPr>
                  <w:tcW w:w="835" w:type="dxa"/>
                  <w:noWrap/>
                  <w:vAlign w:val="center"/>
                  <w:hideMark/>
                </w:tcPr>
                <w:p w14:paraId="2F9AFC4A" w14:textId="77777777" w:rsidR="00D60F0C" w:rsidRPr="00427373" w:rsidRDefault="00D60F0C"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&lt;.001</w:t>
                  </w:r>
                </w:p>
              </w:tc>
            </w:tr>
            <w:tr w:rsidR="00D60F0C" w:rsidRPr="00D60F0C" w14:paraId="4CD28EB0" w14:textId="77777777" w:rsidTr="00427373">
              <w:trPr>
                <w:trHeight w:val="251"/>
              </w:trPr>
              <w:tc>
                <w:tcPr>
                  <w:cnfStyle w:val="001000000000" w:firstRow="0" w:lastRow="0" w:firstColumn="1" w:lastColumn="0" w:oddVBand="0" w:evenVBand="0" w:oddHBand="0" w:evenHBand="0" w:firstRowFirstColumn="0" w:firstRowLastColumn="0" w:lastRowFirstColumn="0" w:lastRowLastColumn="0"/>
                  <w:tcW w:w="910" w:type="dxa"/>
                  <w:vMerge/>
                  <w:vAlign w:val="center"/>
                  <w:hideMark/>
                </w:tcPr>
                <w:p w14:paraId="4E8D5587" w14:textId="77777777" w:rsidR="00D60F0C" w:rsidRPr="00427373" w:rsidRDefault="00D60F0C" w:rsidP="00D60F0C">
                  <w:pPr>
                    <w:spacing w:after="0" w:line="240" w:lineRule="auto"/>
                    <w:jc w:val="center"/>
                    <w:rPr>
                      <w:rFonts w:ascii="Book Antiqua" w:eastAsia="Times New Roman" w:hAnsi="Book Antiqua" w:cs="Times New Roman"/>
                      <w:sz w:val="20"/>
                      <w:szCs w:val="20"/>
                      <w:lang w:val="en-ID"/>
                    </w:rPr>
                  </w:pPr>
                </w:p>
              </w:tc>
              <w:tc>
                <w:tcPr>
                  <w:tcW w:w="1867" w:type="dxa"/>
                  <w:noWrap/>
                  <w:vAlign w:val="center"/>
                  <w:hideMark/>
                </w:tcPr>
                <w:p w14:paraId="1F17070B" w14:textId="22617413" w:rsidR="00D60F0C" w:rsidRPr="00427373" w:rsidRDefault="00D60F0C"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I</w:t>
                  </w:r>
                  <w:r w:rsidRPr="00427373">
                    <w:rPr>
                      <w:rFonts w:ascii="Book Antiqua" w:eastAsia="Times New Roman" w:hAnsi="Book Antiqua" w:cs="Times New Roman"/>
                      <w:b/>
                      <w:bCs/>
                      <w:sz w:val="20"/>
                      <w:szCs w:val="20"/>
                      <w:lang w:val="en-ID"/>
                    </w:rPr>
                    <w:t>nflation</w:t>
                  </w:r>
                </w:p>
              </w:tc>
              <w:tc>
                <w:tcPr>
                  <w:tcW w:w="1251" w:type="dxa"/>
                  <w:noWrap/>
                  <w:vAlign w:val="center"/>
                  <w:hideMark/>
                </w:tcPr>
                <w:p w14:paraId="5175F328" w14:textId="77777777" w:rsidR="00D60F0C" w:rsidRPr="00427373" w:rsidRDefault="00D60F0C"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4359.969</w:t>
                  </w:r>
                </w:p>
              </w:tc>
              <w:tc>
                <w:tcPr>
                  <w:tcW w:w="1112" w:type="dxa"/>
                  <w:noWrap/>
                  <w:vAlign w:val="center"/>
                  <w:hideMark/>
                </w:tcPr>
                <w:p w14:paraId="34FE2E48" w14:textId="77777777" w:rsidR="00D60F0C" w:rsidRPr="00427373" w:rsidRDefault="00D60F0C"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2155.256</w:t>
                  </w:r>
                </w:p>
              </w:tc>
              <w:tc>
                <w:tcPr>
                  <w:tcW w:w="1454" w:type="dxa"/>
                  <w:noWrap/>
                  <w:vAlign w:val="center"/>
                  <w:hideMark/>
                </w:tcPr>
                <w:p w14:paraId="16425773" w14:textId="77777777" w:rsidR="00D60F0C" w:rsidRPr="00427373" w:rsidRDefault="00D60F0C"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.034</w:t>
                  </w:r>
                </w:p>
              </w:tc>
              <w:tc>
                <w:tcPr>
                  <w:tcW w:w="900" w:type="dxa"/>
                  <w:noWrap/>
                  <w:vAlign w:val="center"/>
                  <w:hideMark/>
                </w:tcPr>
                <w:p w14:paraId="0A21A1B6" w14:textId="77777777" w:rsidR="00D60F0C" w:rsidRPr="00427373" w:rsidRDefault="00D60F0C"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2.023</w:t>
                  </w:r>
                </w:p>
              </w:tc>
              <w:tc>
                <w:tcPr>
                  <w:tcW w:w="835" w:type="dxa"/>
                  <w:noWrap/>
                  <w:vAlign w:val="center"/>
                  <w:hideMark/>
                </w:tcPr>
                <w:p w14:paraId="474568CE" w14:textId="77777777" w:rsidR="00D60F0C" w:rsidRPr="00427373" w:rsidRDefault="00D60F0C"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.047</w:t>
                  </w:r>
                </w:p>
              </w:tc>
            </w:tr>
            <w:tr w:rsidR="00D60F0C" w:rsidRPr="00D60F0C" w14:paraId="5CA15CC9" w14:textId="77777777" w:rsidTr="00427373">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10" w:type="dxa"/>
                  <w:vMerge/>
                  <w:vAlign w:val="center"/>
                  <w:hideMark/>
                </w:tcPr>
                <w:p w14:paraId="44B8C656" w14:textId="77777777" w:rsidR="00D60F0C" w:rsidRPr="00427373" w:rsidRDefault="00D60F0C" w:rsidP="00D60F0C">
                  <w:pPr>
                    <w:spacing w:after="0" w:line="240" w:lineRule="auto"/>
                    <w:jc w:val="center"/>
                    <w:rPr>
                      <w:rFonts w:ascii="Book Antiqua" w:eastAsia="Times New Roman" w:hAnsi="Book Antiqua" w:cs="Times New Roman"/>
                      <w:sz w:val="20"/>
                      <w:szCs w:val="20"/>
                      <w:lang w:val="en-ID"/>
                    </w:rPr>
                  </w:pPr>
                </w:p>
              </w:tc>
              <w:tc>
                <w:tcPr>
                  <w:tcW w:w="1867" w:type="dxa"/>
                  <w:noWrap/>
                  <w:vAlign w:val="center"/>
                  <w:hideMark/>
                </w:tcPr>
                <w:p w14:paraId="7F9DA742" w14:textId="3E26CE97" w:rsidR="00D60F0C" w:rsidRPr="00427373" w:rsidRDefault="00D60F0C"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b/>
                      <w:bCs/>
                      <w:sz w:val="20"/>
                      <w:szCs w:val="20"/>
                      <w:lang w:val="en-ID"/>
                    </w:rPr>
                    <w:t>Exchange rate</w:t>
                  </w:r>
                </w:p>
              </w:tc>
              <w:tc>
                <w:tcPr>
                  <w:tcW w:w="1251" w:type="dxa"/>
                  <w:noWrap/>
                  <w:vAlign w:val="center"/>
                  <w:hideMark/>
                </w:tcPr>
                <w:p w14:paraId="5E267CE5" w14:textId="77777777" w:rsidR="00D60F0C" w:rsidRPr="00427373" w:rsidRDefault="00D60F0C"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42.650</w:t>
                  </w:r>
                </w:p>
              </w:tc>
              <w:tc>
                <w:tcPr>
                  <w:tcW w:w="1112" w:type="dxa"/>
                  <w:noWrap/>
                  <w:vAlign w:val="center"/>
                  <w:hideMark/>
                </w:tcPr>
                <w:p w14:paraId="05924904" w14:textId="77777777" w:rsidR="00D60F0C" w:rsidRPr="00427373" w:rsidRDefault="00D60F0C"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3.729</w:t>
                  </w:r>
                </w:p>
              </w:tc>
              <w:tc>
                <w:tcPr>
                  <w:tcW w:w="1454" w:type="dxa"/>
                  <w:noWrap/>
                  <w:vAlign w:val="center"/>
                  <w:hideMark/>
                </w:tcPr>
                <w:p w14:paraId="5807E08A" w14:textId="77777777" w:rsidR="00D60F0C" w:rsidRPr="00427373" w:rsidRDefault="00D60F0C"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.185</w:t>
                  </w:r>
                </w:p>
              </w:tc>
              <w:tc>
                <w:tcPr>
                  <w:tcW w:w="900" w:type="dxa"/>
                  <w:noWrap/>
                  <w:vAlign w:val="center"/>
                  <w:hideMark/>
                </w:tcPr>
                <w:p w14:paraId="413DEFEA" w14:textId="77777777" w:rsidR="00D60F0C" w:rsidRPr="00427373" w:rsidRDefault="00D60F0C"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11.438</w:t>
                  </w:r>
                </w:p>
              </w:tc>
              <w:tc>
                <w:tcPr>
                  <w:tcW w:w="835" w:type="dxa"/>
                  <w:noWrap/>
                  <w:vAlign w:val="center"/>
                  <w:hideMark/>
                </w:tcPr>
                <w:p w14:paraId="0029BF6D" w14:textId="77777777" w:rsidR="00D60F0C" w:rsidRPr="00427373" w:rsidRDefault="00D60F0C"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&lt;.001</w:t>
                  </w:r>
                </w:p>
              </w:tc>
            </w:tr>
            <w:tr w:rsidR="00D60F0C" w:rsidRPr="00D60F0C" w14:paraId="0470970F" w14:textId="77777777" w:rsidTr="00427373">
              <w:trPr>
                <w:trHeight w:val="251"/>
              </w:trPr>
              <w:tc>
                <w:tcPr>
                  <w:cnfStyle w:val="001000000000" w:firstRow="0" w:lastRow="0" w:firstColumn="1" w:lastColumn="0" w:oddVBand="0" w:evenVBand="0" w:oddHBand="0" w:evenHBand="0" w:firstRowFirstColumn="0" w:firstRowLastColumn="0" w:lastRowFirstColumn="0" w:lastRowLastColumn="0"/>
                  <w:tcW w:w="910" w:type="dxa"/>
                  <w:vMerge/>
                  <w:vAlign w:val="center"/>
                  <w:hideMark/>
                </w:tcPr>
                <w:p w14:paraId="357180F6" w14:textId="77777777" w:rsidR="00D60F0C" w:rsidRPr="00427373" w:rsidRDefault="00D60F0C" w:rsidP="00D60F0C">
                  <w:pPr>
                    <w:spacing w:after="0" w:line="240" w:lineRule="auto"/>
                    <w:jc w:val="center"/>
                    <w:rPr>
                      <w:rFonts w:ascii="Book Antiqua" w:eastAsia="Times New Roman" w:hAnsi="Book Antiqua" w:cs="Times New Roman"/>
                      <w:sz w:val="20"/>
                      <w:szCs w:val="20"/>
                      <w:lang w:val="en-ID"/>
                    </w:rPr>
                  </w:pPr>
                </w:p>
              </w:tc>
              <w:tc>
                <w:tcPr>
                  <w:tcW w:w="1867" w:type="dxa"/>
                  <w:noWrap/>
                  <w:vAlign w:val="center"/>
                  <w:hideMark/>
                </w:tcPr>
                <w:p w14:paraId="5E6D1B7B" w14:textId="5C9E11E6" w:rsidR="00D60F0C" w:rsidRPr="00427373" w:rsidRDefault="00D60F0C"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b/>
                      <w:bCs/>
                      <w:sz w:val="20"/>
                      <w:szCs w:val="20"/>
                      <w:lang w:val="en-ID"/>
                    </w:rPr>
                    <w:t>Interest rate</w:t>
                  </w:r>
                </w:p>
              </w:tc>
              <w:tc>
                <w:tcPr>
                  <w:tcW w:w="1251" w:type="dxa"/>
                  <w:noWrap/>
                  <w:vAlign w:val="center"/>
                  <w:hideMark/>
                </w:tcPr>
                <w:p w14:paraId="1AC42DC7" w14:textId="77777777" w:rsidR="00D60F0C" w:rsidRPr="00427373" w:rsidRDefault="00D60F0C"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779.421</w:t>
                  </w:r>
                </w:p>
              </w:tc>
              <w:tc>
                <w:tcPr>
                  <w:tcW w:w="1112" w:type="dxa"/>
                  <w:noWrap/>
                  <w:vAlign w:val="center"/>
                  <w:hideMark/>
                </w:tcPr>
                <w:p w14:paraId="731CFAF0" w14:textId="77777777" w:rsidR="00D60F0C" w:rsidRPr="00427373" w:rsidRDefault="00D60F0C"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3275.145</w:t>
                  </w:r>
                </w:p>
              </w:tc>
              <w:tc>
                <w:tcPr>
                  <w:tcW w:w="1454" w:type="dxa"/>
                  <w:noWrap/>
                  <w:vAlign w:val="center"/>
                  <w:hideMark/>
                </w:tcPr>
                <w:p w14:paraId="39D3CC9D" w14:textId="77777777" w:rsidR="00D60F0C" w:rsidRPr="00427373" w:rsidRDefault="00D60F0C"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.005</w:t>
                  </w:r>
                </w:p>
              </w:tc>
              <w:tc>
                <w:tcPr>
                  <w:tcW w:w="900" w:type="dxa"/>
                  <w:noWrap/>
                  <w:vAlign w:val="center"/>
                  <w:hideMark/>
                </w:tcPr>
                <w:p w14:paraId="0D5D6D98" w14:textId="77777777" w:rsidR="00D60F0C" w:rsidRPr="00427373" w:rsidRDefault="00D60F0C"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.238</w:t>
                  </w:r>
                </w:p>
              </w:tc>
              <w:tc>
                <w:tcPr>
                  <w:tcW w:w="835" w:type="dxa"/>
                  <w:noWrap/>
                  <w:vAlign w:val="center"/>
                  <w:hideMark/>
                </w:tcPr>
                <w:p w14:paraId="5442096E" w14:textId="77777777" w:rsidR="00D60F0C" w:rsidRPr="00427373" w:rsidRDefault="00D60F0C"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.813</w:t>
                  </w:r>
                </w:p>
              </w:tc>
            </w:tr>
            <w:tr w:rsidR="00D60F0C" w:rsidRPr="00D60F0C" w14:paraId="6C9818C5" w14:textId="77777777" w:rsidTr="00427373">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10" w:type="dxa"/>
                  <w:vMerge/>
                  <w:vAlign w:val="center"/>
                  <w:hideMark/>
                </w:tcPr>
                <w:p w14:paraId="6E5FC29C" w14:textId="77777777" w:rsidR="00D60F0C" w:rsidRPr="00427373" w:rsidRDefault="00D60F0C" w:rsidP="00D60F0C">
                  <w:pPr>
                    <w:spacing w:after="0" w:line="240" w:lineRule="auto"/>
                    <w:jc w:val="center"/>
                    <w:rPr>
                      <w:rFonts w:ascii="Book Antiqua" w:eastAsia="Times New Roman" w:hAnsi="Book Antiqua" w:cs="Times New Roman"/>
                      <w:sz w:val="20"/>
                      <w:szCs w:val="20"/>
                      <w:lang w:val="en-ID"/>
                    </w:rPr>
                  </w:pPr>
                </w:p>
              </w:tc>
              <w:tc>
                <w:tcPr>
                  <w:tcW w:w="1867" w:type="dxa"/>
                  <w:noWrap/>
                  <w:vAlign w:val="center"/>
                  <w:hideMark/>
                </w:tcPr>
                <w:p w14:paraId="6AB9C24C" w14:textId="1E089730" w:rsidR="00D60F0C" w:rsidRPr="00427373" w:rsidRDefault="00D60F0C"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b/>
                      <w:bCs/>
                      <w:sz w:val="20"/>
                      <w:szCs w:val="20"/>
                      <w:lang w:val="en-ID"/>
                    </w:rPr>
                    <w:t>Economy growth</w:t>
                  </w:r>
                </w:p>
              </w:tc>
              <w:tc>
                <w:tcPr>
                  <w:tcW w:w="1251" w:type="dxa"/>
                  <w:noWrap/>
                  <w:vAlign w:val="center"/>
                  <w:hideMark/>
                </w:tcPr>
                <w:p w14:paraId="735FBF8A" w14:textId="77777777" w:rsidR="00D60F0C" w:rsidRPr="00427373" w:rsidRDefault="00D60F0C"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-2031.065</w:t>
                  </w:r>
                </w:p>
              </w:tc>
              <w:tc>
                <w:tcPr>
                  <w:tcW w:w="1112" w:type="dxa"/>
                  <w:noWrap/>
                  <w:vAlign w:val="center"/>
                  <w:hideMark/>
                </w:tcPr>
                <w:p w14:paraId="3B43FA7C" w14:textId="77777777" w:rsidR="00D60F0C" w:rsidRPr="00427373" w:rsidRDefault="00D60F0C"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688.450</w:t>
                  </w:r>
                </w:p>
              </w:tc>
              <w:tc>
                <w:tcPr>
                  <w:tcW w:w="1454" w:type="dxa"/>
                  <w:noWrap/>
                  <w:vAlign w:val="center"/>
                  <w:hideMark/>
                </w:tcPr>
                <w:p w14:paraId="39ED2982" w14:textId="77777777" w:rsidR="00D60F0C" w:rsidRPr="00427373" w:rsidRDefault="00D60F0C"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-.054</w:t>
                  </w:r>
                </w:p>
              </w:tc>
              <w:tc>
                <w:tcPr>
                  <w:tcW w:w="900" w:type="dxa"/>
                  <w:noWrap/>
                  <w:vAlign w:val="center"/>
                  <w:hideMark/>
                </w:tcPr>
                <w:p w14:paraId="5A5E3E7C" w14:textId="77777777" w:rsidR="00D60F0C" w:rsidRPr="00427373" w:rsidRDefault="00D60F0C"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-2.950</w:t>
                  </w:r>
                </w:p>
              </w:tc>
              <w:tc>
                <w:tcPr>
                  <w:tcW w:w="835" w:type="dxa"/>
                  <w:noWrap/>
                  <w:vAlign w:val="center"/>
                  <w:hideMark/>
                </w:tcPr>
                <w:p w14:paraId="6C900837" w14:textId="77777777" w:rsidR="00D60F0C" w:rsidRPr="00427373" w:rsidRDefault="00D60F0C" w:rsidP="00D60F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.004</w:t>
                  </w:r>
                </w:p>
              </w:tc>
            </w:tr>
            <w:tr w:rsidR="00D60F0C" w:rsidRPr="00D60F0C" w14:paraId="03698254" w14:textId="77777777" w:rsidTr="00427373">
              <w:trPr>
                <w:trHeight w:val="535"/>
              </w:trPr>
              <w:tc>
                <w:tcPr>
                  <w:cnfStyle w:val="001000000000" w:firstRow="0" w:lastRow="0" w:firstColumn="1" w:lastColumn="0" w:oddVBand="0" w:evenVBand="0" w:oddHBand="0" w:evenHBand="0" w:firstRowFirstColumn="0" w:firstRowLastColumn="0" w:lastRowFirstColumn="0" w:lastRowLastColumn="0"/>
                  <w:tcW w:w="910" w:type="dxa"/>
                  <w:vMerge/>
                  <w:vAlign w:val="center"/>
                  <w:hideMark/>
                </w:tcPr>
                <w:p w14:paraId="21FB21E6" w14:textId="77777777" w:rsidR="00D60F0C" w:rsidRPr="00427373" w:rsidRDefault="00D60F0C" w:rsidP="00D60F0C">
                  <w:pPr>
                    <w:spacing w:after="0" w:line="240" w:lineRule="auto"/>
                    <w:jc w:val="center"/>
                    <w:rPr>
                      <w:rFonts w:ascii="Book Antiqua" w:eastAsia="Times New Roman" w:hAnsi="Book Antiqua" w:cs="Times New Roman"/>
                      <w:sz w:val="20"/>
                      <w:szCs w:val="20"/>
                      <w:lang w:val="en-ID"/>
                    </w:rPr>
                  </w:pPr>
                </w:p>
              </w:tc>
              <w:tc>
                <w:tcPr>
                  <w:tcW w:w="1867" w:type="dxa"/>
                  <w:vAlign w:val="center"/>
                  <w:hideMark/>
                </w:tcPr>
                <w:p w14:paraId="3A50306C" w14:textId="7EE7D2B9" w:rsidR="00D60F0C" w:rsidRPr="00427373" w:rsidRDefault="00D60F0C"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b/>
                      <w:bCs/>
                      <w:sz w:val="20"/>
                      <w:szCs w:val="20"/>
                      <w:lang w:val="en-ID"/>
                    </w:rPr>
                    <w:t>International gold price</w:t>
                  </w:r>
                </w:p>
              </w:tc>
              <w:tc>
                <w:tcPr>
                  <w:tcW w:w="1251" w:type="dxa"/>
                  <w:noWrap/>
                  <w:vAlign w:val="center"/>
                  <w:hideMark/>
                </w:tcPr>
                <w:p w14:paraId="315E7E18" w14:textId="77777777" w:rsidR="00D60F0C" w:rsidRPr="00427373" w:rsidRDefault="00D60F0C"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15183.092</w:t>
                  </w:r>
                </w:p>
              </w:tc>
              <w:tc>
                <w:tcPr>
                  <w:tcW w:w="1112" w:type="dxa"/>
                  <w:noWrap/>
                  <w:vAlign w:val="center"/>
                  <w:hideMark/>
                </w:tcPr>
                <w:p w14:paraId="111836EA" w14:textId="77777777" w:rsidR="00D60F0C" w:rsidRPr="00427373" w:rsidRDefault="00D60F0C"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412.390</w:t>
                  </w:r>
                </w:p>
              </w:tc>
              <w:tc>
                <w:tcPr>
                  <w:tcW w:w="1454" w:type="dxa"/>
                  <w:noWrap/>
                  <w:vAlign w:val="center"/>
                  <w:hideMark/>
                </w:tcPr>
                <w:p w14:paraId="68FF5A77" w14:textId="77777777" w:rsidR="00D60F0C" w:rsidRPr="00427373" w:rsidRDefault="00D60F0C"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.877</w:t>
                  </w:r>
                </w:p>
              </w:tc>
              <w:tc>
                <w:tcPr>
                  <w:tcW w:w="900" w:type="dxa"/>
                  <w:noWrap/>
                  <w:vAlign w:val="center"/>
                  <w:hideMark/>
                </w:tcPr>
                <w:p w14:paraId="273E6E8F" w14:textId="77777777" w:rsidR="00D60F0C" w:rsidRPr="00427373" w:rsidRDefault="00D60F0C"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36.817</w:t>
                  </w:r>
                </w:p>
              </w:tc>
              <w:tc>
                <w:tcPr>
                  <w:tcW w:w="835" w:type="dxa"/>
                  <w:noWrap/>
                  <w:vAlign w:val="center"/>
                  <w:hideMark/>
                </w:tcPr>
                <w:p w14:paraId="212429EF" w14:textId="77777777" w:rsidR="00D60F0C" w:rsidRPr="00427373" w:rsidRDefault="00D60F0C" w:rsidP="00D60F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ID"/>
                    </w:rPr>
                  </w:pPr>
                  <w:r w:rsidRPr="00427373">
                    <w:rPr>
                      <w:rFonts w:ascii="Book Antiqua" w:eastAsia="Times New Roman" w:hAnsi="Book Antiqua" w:cs="Times New Roman"/>
                      <w:sz w:val="20"/>
                      <w:szCs w:val="20"/>
                      <w:lang w:val="en-ID"/>
                    </w:rPr>
                    <w:t>&lt;.001</w:t>
                  </w:r>
                </w:p>
              </w:tc>
            </w:tr>
            <w:tr w:rsidR="00D60F0C" w:rsidRPr="00D60F0C" w14:paraId="47A73AD0" w14:textId="77777777" w:rsidTr="00D60F0C">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8329" w:type="dxa"/>
                  <w:gridSpan w:val="7"/>
                  <w:noWrap/>
                  <w:vAlign w:val="center"/>
                  <w:hideMark/>
                </w:tcPr>
                <w:p w14:paraId="01B99574" w14:textId="256B9E69" w:rsidR="00855285" w:rsidRPr="00427373" w:rsidRDefault="00855285" w:rsidP="00D60F0C">
                  <w:pPr>
                    <w:spacing w:after="120" w:line="240" w:lineRule="auto"/>
                    <w:jc w:val="center"/>
                    <w:rPr>
                      <w:rFonts w:ascii="Book Antiqua" w:eastAsia="Times New Roman" w:hAnsi="Book Antiqua" w:cs="Times New Roman"/>
                      <w:b w:val="0"/>
                      <w:bCs w:val="0"/>
                      <w:sz w:val="20"/>
                      <w:szCs w:val="20"/>
                      <w:lang w:val="en-ID"/>
                    </w:rPr>
                  </w:pPr>
                  <w:r w:rsidRPr="00427373">
                    <w:rPr>
                      <w:rFonts w:ascii="Book Antiqua" w:eastAsia="Times New Roman" w:hAnsi="Book Antiqua" w:cs="Times New Roman"/>
                      <w:b w:val="0"/>
                      <w:bCs w:val="0"/>
                      <w:sz w:val="20"/>
                      <w:szCs w:val="20"/>
                      <w:lang w:val="en-ID"/>
                    </w:rPr>
                    <w:t xml:space="preserve">a. Dependent Variable: </w:t>
                  </w:r>
                  <w:r w:rsidR="00D60F0C" w:rsidRPr="00427373">
                    <w:rPr>
                      <w:rFonts w:ascii="Book Antiqua" w:eastAsia="Times New Roman" w:hAnsi="Book Antiqua" w:cs="Times New Roman"/>
                      <w:b w:val="0"/>
                      <w:bCs w:val="0"/>
                      <w:sz w:val="20"/>
                      <w:szCs w:val="20"/>
                      <w:lang w:val="en-ID"/>
                    </w:rPr>
                    <w:t>Gold account</w:t>
                  </w:r>
                </w:p>
              </w:tc>
            </w:tr>
          </w:tbl>
          <w:p w14:paraId="2D2D80BB" w14:textId="77777777" w:rsidR="00855285" w:rsidRDefault="00855285" w:rsidP="00427373">
            <w:pPr>
              <w:spacing w:after="120" w:line="240" w:lineRule="auto"/>
              <w:ind w:right="4"/>
              <w:rPr>
                <w:rFonts w:ascii="Book Antiqua" w:eastAsiaTheme="minorEastAsia" w:hAnsi="Book Antiqua"/>
                <w:b/>
                <w:bCs/>
                <w:sz w:val="24"/>
                <w:szCs w:val="24"/>
              </w:rPr>
            </w:pPr>
          </w:p>
          <w:p w14:paraId="0B3190CB" w14:textId="685B96FB" w:rsidR="00855285" w:rsidRPr="00855285" w:rsidRDefault="00855285" w:rsidP="00855285">
            <w:pPr>
              <w:spacing w:after="120" w:line="240" w:lineRule="auto"/>
              <w:ind w:left="914" w:right="4"/>
              <w:jc w:val="center"/>
              <w:rPr>
                <w:rFonts w:ascii="Book Antiqua" w:eastAsiaTheme="minorEastAsia" w:hAnsi="Book Antiqua"/>
                <w:b/>
                <w:bCs/>
                <w:sz w:val="24"/>
                <w:szCs w:val="24"/>
              </w:rPr>
            </w:pPr>
            <w:r w:rsidRPr="00855285">
              <w:rPr>
                <w:rFonts w:ascii="Book Antiqua" w:eastAsiaTheme="minorEastAsia" w:hAnsi="Book Antiqua"/>
                <w:b/>
                <w:bCs/>
                <w:sz w:val="24"/>
                <w:szCs w:val="24"/>
              </w:rPr>
              <w:t>Tabel 14. Summary of Multiple Regression Analysis Results of the Influence of Macroeconomic Factors on the Price of Gold Accounts</w:t>
            </w:r>
          </w:p>
          <w:tbl>
            <w:tblPr>
              <w:tblW w:w="8111" w:type="dxa"/>
              <w:jc w:val="right"/>
              <w:tblBorders>
                <w:top w:val="single" w:sz="4" w:space="0" w:color="auto"/>
                <w:bottom w:val="single" w:sz="4" w:space="0" w:color="auto"/>
              </w:tblBorders>
              <w:tblLook w:val="04A0" w:firstRow="1" w:lastRow="0" w:firstColumn="1" w:lastColumn="0" w:noHBand="0" w:noVBand="1"/>
            </w:tblPr>
            <w:tblGrid>
              <w:gridCol w:w="567"/>
              <w:gridCol w:w="4425"/>
              <w:gridCol w:w="1418"/>
              <w:gridCol w:w="1701"/>
            </w:tblGrid>
            <w:tr w:rsidR="00855285" w:rsidRPr="00E54420" w14:paraId="45CE0CF1" w14:textId="77777777" w:rsidTr="00855285">
              <w:trPr>
                <w:jc w:val="right"/>
              </w:trPr>
              <w:tc>
                <w:tcPr>
                  <w:tcW w:w="567" w:type="dxa"/>
                  <w:tcBorders>
                    <w:top w:val="single" w:sz="4" w:space="0" w:color="auto"/>
                    <w:bottom w:val="single" w:sz="4" w:space="0" w:color="auto"/>
                  </w:tcBorders>
                  <w:shd w:val="clear" w:color="auto" w:fill="auto"/>
                  <w:vAlign w:val="center"/>
                </w:tcPr>
                <w:p w14:paraId="078C69CB" w14:textId="77777777" w:rsidR="00855285" w:rsidRPr="00E54420" w:rsidRDefault="00855285" w:rsidP="00855285">
                  <w:pPr>
                    <w:spacing w:after="0" w:line="240" w:lineRule="auto"/>
                    <w:jc w:val="center"/>
                    <w:rPr>
                      <w:rFonts w:ascii="Book Antiqua" w:hAnsi="Book Antiqua"/>
                      <w:b/>
                      <w:bCs/>
                      <w:sz w:val="23"/>
                      <w:szCs w:val="23"/>
                    </w:rPr>
                  </w:pPr>
                  <w:r w:rsidRPr="00E54420">
                    <w:rPr>
                      <w:rFonts w:ascii="Book Antiqua" w:hAnsi="Book Antiqua"/>
                      <w:b/>
                      <w:bCs/>
                      <w:sz w:val="23"/>
                      <w:szCs w:val="23"/>
                    </w:rPr>
                    <w:t>No</w:t>
                  </w:r>
                </w:p>
              </w:tc>
              <w:tc>
                <w:tcPr>
                  <w:tcW w:w="4425" w:type="dxa"/>
                  <w:tcBorders>
                    <w:top w:val="single" w:sz="4" w:space="0" w:color="auto"/>
                    <w:bottom w:val="single" w:sz="4" w:space="0" w:color="auto"/>
                  </w:tcBorders>
                  <w:shd w:val="clear" w:color="auto" w:fill="auto"/>
                  <w:vAlign w:val="center"/>
                </w:tcPr>
                <w:p w14:paraId="30C348C2" w14:textId="77777777" w:rsidR="00855285" w:rsidRPr="00E54420" w:rsidRDefault="00855285" w:rsidP="00855285">
                  <w:pPr>
                    <w:spacing w:after="0" w:line="240" w:lineRule="auto"/>
                    <w:jc w:val="center"/>
                    <w:rPr>
                      <w:rFonts w:ascii="Book Antiqua" w:hAnsi="Book Antiqua"/>
                      <w:b/>
                      <w:bCs/>
                      <w:sz w:val="23"/>
                      <w:szCs w:val="23"/>
                    </w:rPr>
                  </w:pPr>
                  <w:r w:rsidRPr="00E54420">
                    <w:rPr>
                      <w:rFonts w:ascii="Book Antiqua" w:hAnsi="Book Antiqua"/>
                      <w:b/>
                      <w:bCs/>
                      <w:sz w:val="23"/>
                      <w:szCs w:val="23"/>
                    </w:rPr>
                    <w:t>Variables</w:t>
                  </w:r>
                </w:p>
              </w:tc>
              <w:tc>
                <w:tcPr>
                  <w:tcW w:w="1418" w:type="dxa"/>
                  <w:tcBorders>
                    <w:top w:val="single" w:sz="4" w:space="0" w:color="auto"/>
                    <w:bottom w:val="single" w:sz="4" w:space="0" w:color="auto"/>
                  </w:tcBorders>
                  <w:shd w:val="clear" w:color="auto" w:fill="auto"/>
                  <w:vAlign w:val="center"/>
                </w:tcPr>
                <w:p w14:paraId="4ECAF88E" w14:textId="77777777" w:rsidR="00855285" w:rsidRPr="00E54420" w:rsidRDefault="00855285" w:rsidP="00855285">
                  <w:pPr>
                    <w:spacing w:after="0" w:line="240" w:lineRule="auto"/>
                    <w:jc w:val="center"/>
                    <w:rPr>
                      <w:rFonts w:ascii="Book Antiqua" w:hAnsi="Book Antiqua"/>
                      <w:b/>
                      <w:bCs/>
                      <w:sz w:val="23"/>
                      <w:szCs w:val="23"/>
                    </w:rPr>
                  </w:pPr>
                  <w:r w:rsidRPr="00E54420">
                    <w:rPr>
                      <w:rFonts w:ascii="Book Antiqua" w:hAnsi="Book Antiqua"/>
                      <w:b/>
                      <w:bCs/>
                      <w:sz w:val="23"/>
                      <w:szCs w:val="23"/>
                    </w:rPr>
                    <w:t>Correlation</w:t>
                  </w:r>
                </w:p>
              </w:tc>
              <w:tc>
                <w:tcPr>
                  <w:tcW w:w="1701" w:type="dxa"/>
                  <w:tcBorders>
                    <w:top w:val="single" w:sz="4" w:space="0" w:color="auto"/>
                    <w:bottom w:val="single" w:sz="4" w:space="0" w:color="auto"/>
                  </w:tcBorders>
                  <w:shd w:val="clear" w:color="auto" w:fill="auto"/>
                  <w:vAlign w:val="center"/>
                </w:tcPr>
                <w:p w14:paraId="5BAE3903" w14:textId="77777777" w:rsidR="00855285" w:rsidRPr="00E54420" w:rsidRDefault="00855285" w:rsidP="00855285">
                  <w:pPr>
                    <w:spacing w:after="0" w:line="240" w:lineRule="auto"/>
                    <w:ind w:hanging="2"/>
                    <w:jc w:val="center"/>
                    <w:rPr>
                      <w:rFonts w:ascii="Book Antiqua" w:hAnsi="Book Antiqua"/>
                      <w:b/>
                      <w:bCs/>
                      <w:sz w:val="23"/>
                      <w:szCs w:val="23"/>
                    </w:rPr>
                  </w:pPr>
                  <w:r w:rsidRPr="00E54420">
                    <w:rPr>
                      <w:rFonts w:ascii="Book Antiqua" w:hAnsi="Book Antiqua"/>
                      <w:b/>
                      <w:bCs/>
                      <w:sz w:val="23"/>
                      <w:szCs w:val="23"/>
                    </w:rPr>
                    <w:t>Impact</w:t>
                  </w:r>
                </w:p>
              </w:tc>
            </w:tr>
            <w:tr w:rsidR="00855285" w:rsidRPr="00E54420" w14:paraId="16FAF197" w14:textId="77777777" w:rsidTr="00855285">
              <w:trPr>
                <w:jc w:val="right"/>
              </w:trPr>
              <w:tc>
                <w:tcPr>
                  <w:tcW w:w="567" w:type="dxa"/>
                  <w:tcBorders>
                    <w:top w:val="single" w:sz="4" w:space="0" w:color="auto"/>
                  </w:tcBorders>
                  <w:shd w:val="clear" w:color="auto" w:fill="auto"/>
                  <w:vAlign w:val="center"/>
                </w:tcPr>
                <w:p w14:paraId="0CD36620" w14:textId="77777777" w:rsidR="00855285" w:rsidRPr="00E54420" w:rsidRDefault="00855285" w:rsidP="00855285">
                  <w:pPr>
                    <w:spacing w:after="0" w:line="240" w:lineRule="auto"/>
                    <w:ind w:hanging="2"/>
                    <w:jc w:val="center"/>
                    <w:rPr>
                      <w:rFonts w:ascii="Book Antiqua" w:hAnsi="Book Antiqua"/>
                      <w:sz w:val="23"/>
                      <w:szCs w:val="23"/>
                    </w:rPr>
                  </w:pPr>
                  <w:r w:rsidRPr="00E54420">
                    <w:rPr>
                      <w:rFonts w:ascii="Book Antiqua" w:hAnsi="Book Antiqua"/>
                      <w:sz w:val="23"/>
                      <w:szCs w:val="23"/>
                    </w:rPr>
                    <w:t>1</w:t>
                  </w:r>
                </w:p>
              </w:tc>
              <w:tc>
                <w:tcPr>
                  <w:tcW w:w="4425" w:type="dxa"/>
                  <w:tcBorders>
                    <w:top w:val="single" w:sz="4" w:space="0" w:color="auto"/>
                  </w:tcBorders>
                  <w:shd w:val="clear" w:color="auto" w:fill="auto"/>
                  <w:vAlign w:val="center"/>
                </w:tcPr>
                <w:p w14:paraId="250194AC" w14:textId="77777777" w:rsidR="00855285" w:rsidRPr="00E54420" w:rsidRDefault="00855285" w:rsidP="00855285">
                  <w:pPr>
                    <w:spacing w:after="0" w:line="240" w:lineRule="auto"/>
                    <w:ind w:hanging="2"/>
                    <w:jc w:val="center"/>
                    <w:rPr>
                      <w:rFonts w:ascii="Book Antiqua" w:hAnsi="Book Antiqua"/>
                      <w:sz w:val="23"/>
                      <w:szCs w:val="23"/>
                    </w:rPr>
                  </w:pPr>
                  <w:r w:rsidRPr="00E54420">
                    <w:rPr>
                      <w:rFonts w:ascii="Book Antiqua" w:eastAsiaTheme="minorEastAsia" w:hAnsi="Book Antiqua"/>
                      <w:sz w:val="23"/>
                      <w:szCs w:val="23"/>
                    </w:rPr>
                    <w:t>International Price of Gold</w:t>
                  </w:r>
                </w:p>
              </w:tc>
              <w:tc>
                <w:tcPr>
                  <w:tcW w:w="1418" w:type="dxa"/>
                  <w:tcBorders>
                    <w:top w:val="single" w:sz="4" w:space="0" w:color="auto"/>
                  </w:tcBorders>
                  <w:shd w:val="clear" w:color="auto" w:fill="auto"/>
                  <w:vAlign w:val="center"/>
                </w:tcPr>
                <w:p w14:paraId="48B1430E" w14:textId="77777777" w:rsidR="00855285" w:rsidRPr="00E54420" w:rsidRDefault="00855285" w:rsidP="00855285">
                  <w:pPr>
                    <w:spacing w:after="0" w:line="240" w:lineRule="auto"/>
                    <w:ind w:hanging="2"/>
                    <w:jc w:val="center"/>
                    <w:rPr>
                      <w:rFonts w:ascii="Book Antiqua" w:hAnsi="Book Antiqua"/>
                      <w:sz w:val="23"/>
                      <w:szCs w:val="23"/>
                    </w:rPr>
                  </w:pPr>
                  <w:r w:rsidRPr="00E54420">
                    <w:rPr>
                      <w:rFonts w:ascii="Book Antiqua" w:hAnsi="Book Antiqua"/>
                      <w:sz w:val="23"/>
                      <w:szCs w:val="23"/>
                    </w:rPr>
                    <w:t>Positive</w:t>
                  </w:r>
                </w:p>
              </w:tc>
              <w:tc>
                <w:tcPr>
                  <w:tcW w:w="1701" w:type="dxa"/>
                  <w:tcBorders>
                    <w:top w:val="single" w:sz="4" w:space="0" w:color="auto"/>
                  </w:tcBorders>
                  <w:shd w:val="clear" w:color="auto" w:fill="auto"/>
                  <w:vAlign w:val="center"/>
                </w:tcPr>
                <w:p w14:paraId="53664F3E" w14:textId="77777777" w:rsidR="00855285" w:rsidRPr="00E54420" w:rsidRDefault="00855285" w:rsidP="00855285">
                  <w:pPr>
                    <w:spacing w:after="0" w:line="240" w:lineRule="auto"/>
                    <w:ind w:hanging="2"/>
                    <w:jc w:val="center"/>
                    <w:rPr>
                      <w:rFonts w:ascii="Book Antiqua" w:hAnsi="Book Antiqua"/>
                      <w:sz w:val="23"/>
                      <w:szCs w:val="23"/>
                    </w:rPr>
                  </w:pPr>
                  <w:r w:rsidRPr="00E54420">
                    <w:rPr>
                      <w:rFonts w:ascii="Book Antiqua" w:hAnsi="Book Antiqua"/>
                      <w:sz w:val="23"/>
                      <w:szCs w:val="23"/>
                    </w:rPr>
                    <w:t>Significant</w:t>
                  </w:r>
                </w:p>
              </w:tc>
            </w:tr>
            <w:tr w:rsidR="00855285" w:rsidRPr="00E54420" w14:paraId="53C31B5B" w14:textId="77777777" w:rsidTr="00855285">
              <w:trPr>
                <w:jc w:val="right"/>
              </w:trPr>
              <w:tc>
                <w:tcPr>
                  <w:tcW w:w="567" w:type="dxa"/>
                  <w:shd w:val="clear" w:color="auto" w:fill="auto"/>
                  <w:vAlign w:val="center"/>
                </w:tcPr>
                <w:p w14:paraId="3412EF32" w14:textId="77777777" w:rsidR="00855285" w:rsidRPr="00E54420" w:rsidRDefault="00855285" w:rsidP="00855285">
                  <w:pPr>
                    <w:spacing w:after="0" w:line="240" w:lineRule="auto"/>
                    <w:ind w:hanging="2"/>
                    <w:jc w:val="center"/>
                    <w:rPr>
                      <w:rFonts w:ascii="Book Antiqua" w:hAnsi="Book Antiqua"/>
                      <w:sz w:val="23"/>
                      <w:szCs w:val="23"/>
                    </w:rPr>
                  </w:pPr>
                  <w:r w:rsidRPr="00E54420">
                    <w:rPr>
                      <w:rFonts w:ascii="Book Antiqua" w:hAnsi="Book Antiqua"/>
                      <w:sz w:val="23"/>
                      <w:szCs w:val="23"/>
                    </w:rPr>
                    <w:t>2</w:t>
                  </w:r>
                </w:p>
              </w:tc>
              <w:tc>
                <w:tcPr>
                  <w:tcW w:w="4425" w:type="dxa"/>
                  <w:shd w:val="clear" w:color="auto" w:fill="auto"/>
                  <w:vAlign w:val="center"/>
                </w:tcPr>
                <w:p w14:paraId="556F13A0" w14:textId="77777777" w:rsidR="00855285" w:rsidRPr="00E54420" w:rsidRDefault="00855285" w:rsidP="00855285">
                  <w:pPr>
                    <w:spacing w:after="0" w:line="240" w:lineRule="auto"/>
                    <w:ind w:hanging="2"/>
                    <w:jc w:val="center"/>
                    <w:rPr>
                      <w:rFonts w:ascii="Book Antiqua" w:hAnsi="Book Antiqua"/>
                      <w:sz w:val="23"/>
                      <w:szCs w:val="23"/>
                    </w:rPr>
                  </w:pPr>
                  <w:r w:rsidRPr="00E54420">
                    <w:rPr>
                      <w:rFonts w:ascii="Book Antiqua" w:eastAsiaTheme="minorEastAsia" w:hAnsi="Book Antiqua"/>
                      <w:sz w:val="23"/>
                      <w:szCs w:val="23"/>
                    </w:rPr>
                    <w:t>Rupiah Exchange Rate against USD</w:t>
                  </w:r>
                </w:p>
              </w:tc>
              <w:tc>
                <w:tcPr>
                  <w:tcW w:w="1418" w:type="dxa"/>
                  <w:shd w:val="clear" w:color="auto" w:fill="auto"/>
                  <w:vAlign w:val="center"/>
                </w:tcPr>
                <w:p w14:paraId="2150BF63" w14:textId="77777777" w:rsidR="00855285" w:rsidRPr="00E54420" w:rsidRDefault="00855285" w:rsidP="00855285">
                  <w:pPr>
                    <w:spacing w:after="0" w:line="240" w:lineRule="auto"/>
                    <w:ind w:hanging="2"/>
                    <w:jc w:val="center"/>
                    <w:rPr>
                      <w:rFonts w:ascii="Book Antiqua" w:hAnsi="Book Antiqua"/>
                      <w:sz w:val="23"/>
                      <w:szCs w:val="23"/>
                    </w:rPr>
                  </w:pPr>
                  <w:r w:rsidRPr="00E54420">
                    <w:rPr>
                      <w:rFonts w:ascii="Book Antiqua" w:hAnsi="Book Antiqua"/>
                      <w:sz w:val="23"/>
                      <w:szCs w:val="23"/>
                    </w:rPr>
                    <w:t>Positive</w:t>
                  </w:r>
                </w:p>
              </w:tc>
              <w:tc>
                <w:tcPr>
                  <w:tcW w:w="1701" w:type="dxa"/>
                  <w:shd w:val="clear" w:color="auto" w:fill="auto"/>
                  <w:vAlign w:val="center"/>
                </w:tcPr>
                <w:p w14:paraId="31CAFFC6" w14:textId="77777777" w:rsidR="00855285" w:rsidRPr="00E54420" w:rsidRDefault="00855285" w:rsidP="00855285">
                  <w:pPr>
                    <w:spacing w:after="0" w:line="240" w:lineRule="auto"/>
                    <w:ind w:hanging="2"/>
                    <w:jc w:val="center"/>
                    <w:rPr>
                      <w:rFonts w:ascii="Book Antiqua" w:hAnsi="Book Antiqua"/>
                      <w:sz w:val="23"/>
                      <w:szCs w:val="23"/>
                    </w:rPr>
                  </w:pPr>
                  <w:r w:rsidRPr="00E54420">
                    <w:rPr>
                      <w:rFonts w:ascii="Book Antiqua" w:hAnsi="Book Antiqua"/>
                      <w:sz w:val="23"/>
                      <w:szCs w:val="23"/>
                    </w:rPr>
                    <w:t>Significant</w:t>
                  </w:r>
                </w:p>
              </w:tc>
            </w:tr>
            <w:tr w:rsidR="00855285" w:rsidRPr="00E54420" w14:paraId="32EB6B10" w14:textId="77777777" w:rsidTr="00855285">
              <w:trPr>
                <w:jc w:val="right"/>
              </w:trPr>
              <w:tc>
                <w:tcPr>
                  <w:tcW w:w="567" w:type="dxa"/>
                  <w:shd w:val="clear" w:color="auto" w:fill="auto"/>
                  <w:vAlign w:val="center"/>
                </w:tcPr>
                <w:p w14:paraId="7EFD5662" w14:textId="77777777" w:rsidR="00855285" w:rsidRPr="00E54420" w:rsidRDefault="00855285" w:rsidP="00855285">
                  <w:pPr>
                    <w:spacing w:after="0" w:line="240" w:lineRule="auto"/>
                    <w:ind w:hanging="2"/>
                    <w:jc w:val="center"/>
                    <w:rPr>
                      <w:rFonts w:ascii="Book Antiqua" w:hAnsi="Book Antiqua"/>
                      <w:sz w:val="23"/>
                      <w:szCs w:val="23"/>
                    </w:rPr>
                  </w:pPr>
                  <w:r w:rsidRPr="00E54420">
                    <w:rPr>
                      <w:rFonts w:ascii="Book Antiqua" w:hAnsi="Book Antiqua"/>
                      <w:sz w:val="23"/>
                      <w:szCs w:val="23"/>
                    </w:rPr>
                    <w:t>3</w:t>
                  </w:r>
                </w:p>
              </w:tc>
              <w:tc>
                <w:tcPr>
                  <w:tcW w:w="4425" w:type="dxa"/>
                  <w:shd w:val="clear" w:color="auto" w:fill="auto"/>
                  <w:vAlign w:val="center"/>
                </w:tcPr>
                <w:p w14:paraId="57E7F61F" w14:textId="77777777" w:rsidR="00855285" w:rsidRPr="00E54420" w:rsidRDefault="00855285" w:rsidP="00855285">
                  <w:pPr>
                    <w:spacing w:after="0" w:line="240" w:lineRule="auto"/>
                    <w:ind w:hanging="2"/>
                    <w:jc w:val="center"/>
                    <w:rPr>
                      <w:rFonts w:ascii="Book Antiqua" w:hAnsi="Book Antiqua"/>
                      <w:sz w:val="23"/>
                      <w:szCs w:val="23"/>
                    </w:rPr>
                  </w:pPr>
                  <w:r w:rsidRPr="00E54420">
                    <w:rPr>
                      <w:rFonts w:ascii="Book Antiqua" w:eastAsiaTheme="minorEastAsia" w:hAnsi="Book Antiqua"/>
                      <w:sz w:val="23"/>
                      <w:szCs w:val="23"/>
                    </w:rPr>
                    <w:t>Inflation Rate</w:t>
                  </w:r>
                </w:p>
              </w:tc>
              <w:tc>
                <w:tcPr>
                  <w:tcW w:w="1418" w:type="dxa"/>
                  <w:shd w:val="clear" w:color="auto" w:fill="auto"/>
                  <w:vAlign w:val="center"/>
                </w:tcPr>
                <w:p w14:paraId="78D9DB4D" w14:textId="77777777" w:rsidR="00855285" w:rsidRPr="00E54420" w:rsidRDefault="00855285" w:rsidP="00855285">
                  <w:pPr>
                    <w:spacing w:after="0" w:line="240" w:lineRule="auto"/>
                    <w:ind w:hanging="2"/>
                    <w:jc w:val="center"/>
                    <w:rPr>
                      <w:rFonts w:ascii="Book Antiqua" w:hAnsi="Book Antiqua"/>
                      <w:sz w:val="23"/>
                      <w:szCs w:val="23"/>
                    </w:rPr>
                  </w:pPr>
                  <w:r w:rsidRPr="00E54420">
                    <w:rPr>
                      <w:rFonts w:ascii="Book Antiqua" w:hAnsi="Book Antiqua"/>
                      <w:sz w:val="23"/>
                      <w:szCs w:val="23"/>
                    </w:rPr>
                    <w:t>Negative</w:t>
                  </w:r>
                </w:p>
              </w:tc>
              <w:tc>
                <w:tcPr>
                  <w:tcW w:w="1701" w:type="dxa"/>
                  <w:shd w:val="clear" w:color="auto" w:fill="auto"/>
                  <w:vAlign w:val="center"/>
                </w:tcPr>
                <w:p w14:paraId="58BF0338" w14:textId="77777777" w:rsidR="00855285" w:rsidRPr="00E54420" w:rsidRDefault="00855285" w:rsidP="00855285">
                  <w:pPr>
                    <w:spacing w:after="0" w:line="240" w:lineRule="auto"/>
                    <w:ind w:hanging="2"/>
                    <w:jc w:val="center"/>
                    <w:rPr>
                      <w:rFonts w:ascii="Book Antiqua" w:hAnsi="Book Antiqua"/>
                      <w:sz w:val="23"/>
                      <w:szCs w:val="23"/>
                    </w:rPr>
                  </w:pPr>
                  <w:r w:rsidRPr="00E54420">
                    <w:rPr>
                      <w:rFonts w:ascii="Book Antiqua" w:hAnsi="Book Antiqua"/>
                      <w:sz w:val="23"/>
                      <w:szCs w:val="23"/>
                    </w:rPr>
                    <w:t>Significant</w:t>
                  </w:r>
                </w:p>
              </w:tc>
            </w:tr>
            <w:tr w:rsidR="00855285" w:rsidRPr="00E54420" w14:paraId="3D5EA633" w14:textId="77777777" w:rsidTr="00855285">
              <w:trPr>
                <w:jc w:val="right"/>
              </w:trPr>
              <w:tc>
                <w:tcPr>
                  <w:tcW w:w="567" w:type="dxa"/>
                  <w:shd w:val="clear" w:color="auto" w:fill="auto"/>
                  <w:vAlign w:val="center"/>
                </w:tcPr>
                <w:p w14:paraId="0C7717FD" w14:textId="77777777" w:rsidR="00855285" w:rsidRPr="00E54420" w:rsidRDefault="00855285" w:rsidP="00855285">
                  <w:pPr>
                    <w:spacing w:after="0" w:line="240" w:lineRule="auto"/>
                    <w:ind w:hanging="2"/>
                    <w:jc w:val="center"/>
                    <w:rPr>
                      <w:rFonts w:ascii="Book Antiqua" w:hAnsi="Book Antiqua"/>
                      <w:sz w:val="23"/>
                      <w:szCs w:val="23"/>
                    </w:rPr>
                  </w:pPr>
                  <w:r w:rsidRPr="00E54420">
                    <w:rPr>
                      <w:rFonts w:ascii="Book Antiqua" w:hAnsi="Book Antiqua"/>
                      <w:sz w:val="23"/>
                      <w:szCs w:val="23"/>
                    </w:rPr>
                    <w:t>4</w:t>
                  </w:r>
                </w:p>
              </w:tc>
              <w:tc>
                <w:tcPr>
                  <w:tcW w:w="4425" w:type="dxa"/>
                  <w:shd w:val="clear" w:color="auto" w:fill="auto"/>
                  <w:vAlign w:val="center"/>
                </w:tcPr>
                <w:p w14:paraId="4FDFE9D9" w14:textId="77777777" w:rsidR="00855285" w:rsidRPr="00E54420" w:rsidRDefault="00855285" w:rsidP="00855285">
                  <w:pPr>
                    <w:spacing w:after="0" w:line="240" w:lineRule="auto"/>
                    <w:ind w:hanging="2"/>
                    <w:jc w:val="center"/>
                    <w:rPr>
                      <w:rFonts w:ascii="Book Antiqua" w:hAnsi="Book Antiqua"/>
                      <w:sz w:val="23"/>
                      <w:szCs w:val="23"/>
                    </w:rPr>
                  </w:pPr>
                  <w:r w:rsidRPr="00E54420">
                    <w:rPr>
                      <w:rFonts w:ascii="Book Antiqua" w:eastAsiaTheme="minorEastAsia" w:hAnsi="Book Antiqua"/>
                      <w:sz w:val="23"/>
                      <w:szCs w:val="23"/>
                    </w:rPr>
                    <w:t>Reference Interest Rate</w:t>
                  </w:r>
                </w:p>
              </w:tc>
              <w:tc>
                <w:tcPr>
                  <w:tcW w:w="1418" w:type="dxa"/>
                  <w:shd w:val="clear" w:color="auto" w:fill="auto"/>
                  <w:vAlign w:val="center"/>
                </w:tcPr>
                <w:p w14:paraId="5C1B18B9" w14:textId="77777777" w:rsidR="00855285" w:rsidRPr="00E54420" w:rsidRDefault="00855285" w:rsidP="00855285">
                  <w:pPr>
                    <w:spacing w:after="0" w:line="240" w:lineRule="auto"/>
                    <w:ind w:hanging="2"/>
                    <w:jc w:val="center"/>
                    <w:rPr>
                      <w:rFonts w:ascii="Book Antiqua" w:hAnsi="Book Antiqua"/>
                      <w:sz w:val="23"/>
                      <w:szCs w:val="23"/>
                    </w:rPr>
                  </w:pPr>
                  <w:r w:rsidRPr="00E54420">
                    <w:rPr>
                      <w:rFonts w:ascii="Book Antiqua" w:hAnsi="Book Antiqua"/>
                      <w:sz w:val="23"/>
                      <w:szCs w:val="23"/>
                    </w:rPr>
                    <w:t>Negative</w:t>
                  </w:r>
                </w:p>
              </w:tc>
              <w:tc>
                <w:tcPr>
                  <w:tcW w:w="1701" w:type="dxa"/>
                  <w:shd w:val="clear" w:color="auto" w:fill="auto"/>
                  <w:vAlign w:val="center"/>
                </w:tcPr>
                <w:p w14:paraId="16906AD2" w14:textId="77777777" w:rsidR="00855285" w:rsidRPr="00E54420" w:rsidRDefault="00855285" w:rsidP="00855285">
                  <w:pPr>
                    <w:spacing w:after="0" w:line="240" w:lineRule="auto"/>
                    <w:ind w:hanging="2"/>
                    <w:jc w:val="center"/>
                    <w:rPr>
                      <w:rFonts w:ascii="Book Antiqua" w:hAnsi="Book Antiqua"/>
                      <w:sz w:val="23"/>
                      <w:szCs w:val="23"/>
                    </w:rPr>
                  </w:pPr>
                  <w:r w:rsidRPr="00E54420">
                    <w:rPr>
                      <w:rFonts w:ascii="Book Antiqua" w:hAnsi="Book Antiqua"/>
                      <w:sz w:val="23"/>
                      <w:szCs w:val="23"/>
                    </w:rPr>
                    <w:t>Unsignificant</w:t>
                  </w:r>
                </w:p>
              </w:tc>
            </w:tr>
            <w:tr w:rsidR="00855285" w:rsidRPr="00E54420" w14:paraId="047E5DE9" w14:textId="77777777" w:rsidTr="00855285">
              <w:trPr>
                <w:jc w:val="right"/>
              </w:trPr>
              <w:tc>
                <w:tcPr>
                  <w:tcW w:w="567" w:type="dxa"/>
                  <w:shd w:val="clear" w:color="auto" w:fill="auto"/>
                  <w:vAlign w:val="center"/>
                </w:tcPr>
                <w:p w14:paraId="731AB6EF" w14:textId="77777777" w:rsidR="00855285" w:rsidRPr="00E54420" w:rsidRDefault="00855285" w:rsidP="00855285">
                  <w:pPr>
                    <w:spacing w:after="0" w:line="240" w:lineRule="auto"/>
                    <w:ind w:hanging="2"/>
                    <w:jc w:val="center"/>
                    <w:rPr>
                      <w:rFonts w:ascii="Book Antiqua" w:hAnsi="Book Antiqua"/>
                      <w:sz w:val="23"/>
                      <w:szCs w:val="23"/>
                    </w:rPr>
                  </w:pPr>
                  <w:r w:rsidRPr="00E54420">
                    <w:rPr>
                      <w:rFonts w:ascii="Book Antiqua" w:hAnsi="Book Antiqua"/>
                      <w:sz w:val="23"/>
                      <w:szCs w:val="23"/>
                    </w:rPr>
                    <w:t>5</w:t>
                  </w:r>
                </w:p>
              </w:tc>
              <w:tc>
                <w:tcPr>
                  <w:tcW w:w="4425" w:type="dxa"/>
                  <w:shd w:val="clear" w:color="auto" w:fill="auto"/>
                  <w:vAlign w:val="center"/>
                </w:tcPr>
                <w:p w14:paraId="62E8E8CE" w14:textId="77777777" w:rsidR="00855285" w:rsidRPr="00E54420" w:rsidRDefault="00855285" w:rsidP="00855285">
                  <w:pPr>
                    <w:spacing w:after="0" w:line="240" w:lineRule="auto"/>
                    <w:ind w:hanging="2"/>
                    <w:jc w:val="center"/>
                    <w:rPr>
                      <w:rFonts w:ascii="Book Antiqua" w:hAnsi="Book Antiqua"/>
                      <w:sz w:val="23"/>
                      <w:szCs w:val="23"/>
                    </w:rPr>
                  </w:pPr>
                  <w:r w:rsidRPr="00E54420">
                    <w:rPr>
                      <w:rFonts w:ascii="Book Antiqua" w:eastAsiaTheme="minorEastAsia" w:hAnsi="Book Antiqua"/>
                      <w:sz w:val="23"/>
                      <w:szCs w:val="23"/>
                    </w:rPr>
                    <w:t>Economic Growth Rate</w:t>
                  </w:r>
                </w:p>
              </w:tc>
              <w:tc>
                <w:tcPr>
                  <w:tcW w:w="1418" w:type="dxa"/>
                  <w:shd w:val="clear" w:color="auto" w:fill="auto"/>
                  <w:vAlign w:val="center"/>
                </w:tcPr>
                <w:p w14:paraId="1C381BF4" w14:textId="77777777" w:rsidR="00855285" w:rsidRPr="00E54420" w:rsidRDefault="00855285" w:rsidP="00855285">
                  <w:pPr>
                    <w:spacing w:after="0" w:line="240" w:lineRule="auto"/>
                    <w:ind w:hanging="2"/>
                    <w:jc w:val="center"/>
                    <w:rPr>
                      <w:rFonts w:ascii="Book Antiqua" w:hAnsi="Book Antiqua"/>
                      <w:sz w:val="23"/>
                      <w:szCs w:val="23"/>
                    </w:rPr>
                  </w:pPr>
                  <w:r w:rsidRPr="00E54420">
                    <w:rPr>
                      <w:rFonts w:ascii="Book Antiqua" w:hAnsi="Book Antiqua"/>
                      <w:sz w:val="23"/>
                      <w:szCs w:val="23"/>
                    </w:rPr>
                    <w:t>Negative</w:t>
                  </w:r>
                </w:p>
              </w:tc>
              <w:tc>
                <w:tcPr>
                  <w:tcW w:w="1701" w:type="dxa"/>
                  <w:shd w:val="clear" w:color="auto" w:fill="auto"/>
                  <w:vAlign w:val="center"/>
                </w:tcPr>
                <w:p w14:paraId="2F950F72" w14:textId="77777777" w:rsidR="00855285" w:rsidRPr="00E54420" w:rsidRDefault="00855285" w:rsidP="00855285">
                  <w:pPr>
                    <w:spacing w:after="0" w:line="240" w:lineRule="auto"/>
                    <w:ind w:hanging="2"/>
                    <w:jc w:val="center"/>
                    <w:rPr>
                      <w:rFonts w:ascii="Book Antiqua" w:hAnsi="Book Antiqua"/>
                      <w:sz w:val="23"/>
                      <w:szCs w:val="23"/>
                    </w:rPr>
                  </w:pPr>
                  <w:r w:rsidRPr="00E54420">
                    <w:rPr>
                      <w:rFonts w:ascii="Book Antiqua" w:hAnsi="Book Antiqua"/>
                      <w:sz w:val="23"/>
                      <w:szCs w:val="23"/>
                    </w:rPr>
                    <w:t>Significant</w:t>
                  </w:r>
                </w:p>
              </w:tc>
            </w:tr>
          </w:tbl>
          <w:p w14:paraId="025EA9A9" w14:textId="77777777" w:rsidR="00855285" w:rsidRDefault="00855285" w:rsidP="00855285">
            <w:pPr>
              <w:spacing w:after="120" w:line="240" w:lineRule="auto"/>
              <w:ind w:left="851"/>
              <w:rPr>
                <w:rFonts w:ascii="Book Antiqua" w:eastAsiaTheme="minorEastAsia" w:hAnsi="Book Antiqua"/>
                <w:sz w:val="24"/>
                <w:szCs w:val="24"/>
              </w:rPr>
            </w:pPr>
          </w:p>
          <w:p w14:paraId="694DCA6D" w14:textId="77777777" w:rsidR="00D60F0C" w:rsidRDefault="00D60F0C" w:rsidP="00855285">
            <w:pPr>
              <w:spacing w:after="120" w:line="240" w:lineRule="auto"/>
              <w:ind w:left="851" w:firstLine="630"/>
              <w:rPr>
                <w:rFonts w:ascii="Book Antiqua" w:eastAsiaTheme="minorEastAsia" w:hAnsi="Book Antiqua"/>
                <w:sz w:val="24"/>
                <w:szCs w:val="24"/>
              </w:rPr>
            </w:pPr>
          </w:p>
          <w:p w14:paraId="70A4F095" w14:textId="77777777" w:rsidR="00D60F0C" w:rsidRDefault="00D60F0C" w:rsidP="00855285">
            <w:pPr>
              <w:spacing w:after="120" w:line="240" w:lineRule="auto"/>
              <w:ind w:left="851" w:firstLine="630"/>
              <w:rPr>
                <w:rFonts w:ascii="Book Antiqua" w:eastAsiaTheme="minorEastAsia" w:hAnsi="Book Antiqua"/>
                <w:sz w:val="24"/>
                <w:szCs w:val="24"/>
              </w:rPr>
            </w:pPr>
          </w:p>
          <w:p w14:paraId="1E51B839" w14:textId="77777777" w:rsidR="00427373" w:rsidRDefault="00427373" w:rsidP="00855285">
            <w:pPr>
              <w:spacing w:after="120" w:line="240" w:lineRule="auto"/>
              <w:ind w:left="851" w:firstLine="630"/>
              <w:rPr>
                <w:rFonts w:ascii="Book Antiqua" w:eastAsiaTheme="minorEastAsia" w:hAnsi="Book Antiqua"/>
                <w:sz w:val="24"/>
                <w:szCs w:val="24"/>
              </w:rPr>
            </w:pPr>
          </w:p>
          <w:p w14:paraId="7A2E681D" w14:textId="7B185C96" w:rsidR="00855285" w:rsidRDefault="00855285" w:rsidP="00855285">
            <w:pPr>
              <w:spacing w:after="120" w:line="240" w:lineRule="auto"/>
              <w:ind w:left="851" w:firstLine="630"/>
              <w:rPr>
                <w:rFonts w:ascii="Book Antiqua" w:eastAsiaTheme="minorEastAsia" w:hAnsi="Book Antiqua"/>
                <w:sz w:val="24"/>
                <w:szCs w:val="24"/>
              </w:rPr>
            </w:pPr>
            <w:r w:rsidRPr="00E54420">
              <w:rPr>
                <w:rFonts w:ascii="Book Antiqua" w:eastAsiaTheme="minorEastAsia" w:hAnsi="Book Antiqua"/>
                <w:sz w:val="24"/>
                <w:szCs w:val="24"/>
              </w:rPr>
              <w:lastRenderedPageBreak/>
              <w:t xml:space="preserve">The variables of international gold prices and the Rupiah exchange rate against the USD are positively correlated, while the variables of inflation rate, reference interest rate and economic growth rate are negatively correlated with the price of </w:t>
            </w:r>
            <w:proofErr w:type="spellStart"/>
            <w:r w:rsidRPr="00E54420">
              <w:rPr>
                <w:rFonts w:ascii="Book Antiqua" w:eastAsiaTheme="minorEastAsia" w:hAnsi="Book Antiqua"/>
                <w:sz w:val="24"/>
                <w:szCs w:val="24"/>
              </w:rPr>
              <w:t>Pegadaian</w:t>
            </w:r>
            <w:proofErr w:type="spellEnd"/>
            <w:r w:rsidRPr="00E54420">
              <w:rPr>
                <w:rFonts w:ascii="Book Antiqua" w:eastAsiaTheme="minorEastAsia" w:hAnsi="Book Antiqua"/>
                <w:sz w:val="24"/>
                <w:szCs w:val="24"/>
              </w:rPr>
              <w:t xml:space="preserve"> gold accounts.</w:t>
            </w:r>
          </w:p>
          <w:p w14:paraId="3364EE67" w14:textId="63533075" w:rsidR="00855285" w:rsidRDefault="00855285" w:rsidP="00855285">
            <w:pPr>
              <w:spacing w:after="120" w:line="240" w:lineRule="auto"/>
              <w:ind w:left="851" w:firstLine="630"/>
              <w:rPr>
                <w:rFonts w:ascii="Book Antiqua" w:eastAsiaTheme="minorEastAsia" w:hAnsi="Book Antiqua"/>
                <w:sz w:val="24"/>
                <w:szCs w:val="24"/>
              </w:rPr>
            </w:pPr>
            <w:r w:rsidRPr="00E54420">
              <w:rPr>
                <w:rFonts w:ascii="Book Antiqua" w:eastAsiaTheme="minorEastAsia" w:hAnsi="Book Antiqua"/>
                <w:sz w:val="24"/>
                <w:szCs w:val="24"/>
              </w:rPr>
              <w:t>The results of the regression analysis of the international gold price variable which has a significant and positive effect on gold accounts are in line with theory because the domestic gold price is actually used to describe the foreign gold price expressed in rupiah. Spot price and fixed price are two global gold price parameters that are generally used in the market. London is the main center of world gold trading where the gold price is set every day at 10.30 GMT (London Gold AM Fix) and again at 15.00 GMT (London Gold PM Fix). LBMA sets the Gold Fix price (</w:t>
            </w:r>
            <w:hyperlink r:id="rId13" w:history="1">
              <w:r w:rsidRPr="00D60F0C">
                <w:rPr>
                  <w:rStyle w:val="Hyperlink"/>
                  <w:rFonts w:ascii="Book Antiqua" w:eastAsiaTheme="minorEastAsia" w:hAnsi="Book Antiqua"/>
                  <w:i/>
                  <w:iCs/>
                  <w:sz w:val="24"/>
                  <w:szCs w:val="24"/>
                </w:rPr>
                <w:t>https://www.bareksa.com/</w:t>
              </w:r>
            </w:hyperlink>
            <w:r w:rsidRPr="00E54420">
              <w:rPr>
                <w:rFonts w:ascii="Book Antiqua" w:eastAsiaTheme="minorEastAsia" w:hAnsi="Book Antiqua"/>
                <w:sz w:val="24"/>
                <w:szCs w:val="24"/>
              </w:rPr>
              <w:t>).</w:t>
            </w:r>
          </w:p>
          <w:p w14:paraId="3A479719" w14:textId="28165B31" w:rsidR="00855285" w:rsidRDefault="00855285" w:rsidP="00855285">
            <w:pPr>
              <w:spacing w:after="120" w:line="240" w:lineRule="auto"/>
              <w:ind w:left="851" w:firstLine="630"/>
              <w:rPr>
                <w:rFonts w:ascii="Book Antiqua" w:eastAsiaTheme="minorEastAsia" w:hAnsi="Book Antiqua"/>
                <w:sz w:val="24"/>
                <w:szCs w:val="24"/>
              </w:rPr>
            </w:pPr>
            <w:r w:rsidRPr="00E54420">
              <w:rPr>
                <w:rFonts w:ascii="Book Antiqua" w:eastAsiaTheme="minorEastAsia" w:hAnsi="Book Antiqua"/>
                <w:sz w:val="24"/>
                <w:szCs w:val="24"/>
              </w:rPr>
              <w:t xml:space="preserve">The results of the regression analysis show that the variable Rupiah exchange rate against USD has a significant influence and positive correlation on </w:t>
            </w:r>
            <w:proofErr w:type="spellStart"/>
            <w:r w:rsidRPr="00E54420">
              <w:rPr>
                <w:rFonts w:ascii="Book Antiqua" w:eastAsiaTheme="minorEastAsia" w:hAnsi="Book Antiqua"/>
                <w:sz w:val="24"/>
                <w:szCs w:val="24"/>
              </w:rPr>
              <w:t>Pegadaian's</w:t>
            </w:r>
            <w:proofErr w:type="spellEnd"/>
            <w:r w:rsidRPr="00E54420">
              <w:rPr>
                <w:rFonts w:ascii="Book Antiqua" w:eastAsiaTheme="minorEastAsia" w:hAnsi="Book Antiqua"/>
                <w:sz w:val="24"/>
                <w:szCs w:val="24"/>
              </w:rPr>
              <w:t xml:space="preserve"> gold account. This result is in line with research by </w:t>
            </w:r>
            <w:proofErr w:type="spellStart"/>
            <w:r w:rsidRPr="00E54420">
              <w:rPr>
                <w:rFonts w:ascii="Book Antiqua" w:eastAsiaTheme="minorEastAsia" w:hAnsi="Book Antiqua"/>
                <w:sz w:val="24"/>
                <w:szCs w:val="24"/>
              </w:rPr>
              <w:t>Kesarditama</w:t>
            </w:r>
            <w:proofErr w:type="spellEnd"/>
            <w:r w:rsidRPr="00E54420">
              <w:rPr>
                <w:rFonts w:ascii="Book Antiqua" w:eastAsiaTheme="minorEastAsia" w:hAnsi="Book Antiqua"/>
                <w:sz w:val="24"/>
                <w:szCs w:val="24"/>
              </w:rPr>
              <w:t xml:space="preserve">, Haryadi, and </w:t>
            </w:r>
            <w:proofErr w:type="spellStart"/>
            <w:r w:rsidRPr="00E54420">
              <w:rPr>
                <w:rFonts w:ascii="Book Antiqua" w:eastAsiaTheme="minorEastAsia" w:hAnsi="Book Antiqua"/>
                <w:sz w:val="24"/>
                <w:szCs w:val="24"/>
              </w:rPr>
              <w:t>Vyn</w:t>
            </w:r>
            <w:proofErr w:type="spellEnd"/>
            <w:r w:rsidRPr="00E54420">
              <w:rPr>
                <w:rFonts w:ascii="Book Antiqua" w:eastAsiaTheme="minorEastAsia" w:hAnsi="Book Antiqua"/>
                <w:sz w:val="24"/>
                <w:szCs w:val="24"/>
              </w:rPr>
              <w:t xml:space="preserve"> </w:t>
            </w:r>
            <w:proofErr w:type="spellStart"/>
            <w:r w:rsidRPr="00E54420">
              <w:rPr>
                <w:rFonts w:ascii="Book Antiqua" w:eastAsiaTheme="minorEastAsia" w:hAnsi="Book Antiqua"/>
                <w:sz w:val="24"/>
                <w:szCs w:val="24"/>
              </w:rPr>
              <w:t>Amzar</w:t>
            </w:r>
            <w:proofErr w:type="spellEnd"/>
            <w:r w:rsidRPr="00E54420">
              <w:rPr>
                <w:rFonts w:ascii="Book Antiqua" w:eastAsiaTheme="minorEastAsia" w:hAnsi="Book Antiqua"/>
                <w:sz w:val="24"/>
                <w:szCs w:val="24"/>
              </w:rPr>
              <w:t xml:space="preserve"> in 2020 which states that the Rupiah exchange rate against USD shows a positive and significant influence on gold prices in Indonesia. According to the official Precious Metals website, basically the prices of gold and the United States dollar do have a negative or opposite correlation. When the American Central Bank issues a policy regarding interest rates that strengthens the dollar currency, the world gold price, including local gold, will automatically decrease. Conversely, if the price of the United States dollar weakens and the rupiah strengthens, the price of gold will soar (</w:t>
            </w:r>
            <w:hyperlink r:id="rId14" w:history="1">
              <w:r w:rsidRPr="00D60F0C">
                <w:rPr>
                  <w:rStyle w:val="Hyperlink"/>
                  <w:rFonts w:ascii="Book Antiqua" w:eastAsiaTheme="minorEastAsia" w:hAnsi="Book Antiqua"/>
                  <w:i/>
                  <w:iCs/>
                  <w:sz w:val="24"/>
                  <w:szCs w:val="24"/>
                </w:rPr>
                <w:t>https://www.logammulia.com/</w:t>
              </w:r>
            </w:hyperlink>
            <w:r w:rsidRPr="00E54420">
              <w:rPr>
                <w:rFonts w:ascii="Book Antiqua" w:eastAsiaTheme="minorEastAsia" w:hAnsi="Book Antiqua"/>
                <w:sz w:val="24"/>
                <w:szCs w:val="24"/>
              </w:rPr>
              <w:t>).</w:t>
            </w:r>
          </w:p>
          <w:p w14:paraId="1C231E98" w14:textId="02AE7B58" w:rsidR="00855285" w:rsidRDefault="00855285" w:rsidP="00D60F0C">
            <w:pPr>
              <w:spacing w:after="120" w:line="240" w:lineRule="auto"/>
              <w:ind w:left="851" w:firstLine="630"/>
              <w:rPr>
                <w:rFonts w:ascii="Book Antiqua" w:eastAsiaTheme="minorEastAsia" w:hAnsi="Book Antiqua"/>
                <w:sz w:val="24"/>
                <w:szCs w:val="24"/>
              </w:rPr>
            </w:pPr>
            <w:r w:rsidRPr="00E54420">
              <w:rPr>
                <w:rFonts w:ascii="Book Antiqua" w:eastAsiaTheme="minorEastAsia" w:hAnsi="Book Antiqua"/>
                <w:sz w:val="24"/>
                <w:szCs w:val="24"/>
              </w:rPr>
              <w:t xml:space="preserve">The results of the regression analysis of the inflation variable are also in line with the findings of </w:t>
            </w:r>
            <w:proofErr w:type="spellStart"/>
            <w:r w:rsidRPr="00E54420">
              <w:rPr>
                <w:rFonts w:ascii="Book Antiqua" w:eastAsiaTheme="minorEastAsia" w:hAnsi="Book Antiqua"/>
                <w:sz w:val="24"/>
                <w:szCs w:val="24"/>
              </w:rPr>
              <w:t>Wicaksono's</w:t>
            </w:r>
            <w:proofErr w:type="spellEnd"/>
            <w:r w:rsidRPr="00E54420">
              <w:rPr>
                <w:rFonts w:ascii="Book Antiqua" w:eastAsiaTheme="minorEastAsia" w:hAnsi="Book Antiqua"/>
                <w:sz w:val="24"/>
                <w:szCs w:val="24"/>
              </w:rPr>
              <w:t xml:space="preserve"> research in 2016, where it was stated that inflation had a significant impact on the price of gold in Indonesia. This research advises investors to sell their gold holdings when inflation increases, this is because increasing inflation in Indonesia will push the price of gold up. Gold can be used as a hedge to prevent economic events such as inflation or currency depreciation (</w:t>
            </w:r>
            <w:proofErr w:type="spellStart"/>
            <w:r w:rsidRPr="00E54420">
              <w:rPr>
                <w:rFonts w:ascii="Book Antiqua" w:eastAsiaTheme="minorEastAsia" w:hAnsi="Book Antiqua"/>
                <w:sz w:val="24"/>
                <w:szCs w:val="24"/>
              </w:rPr>
              <w:t>Witjaksono</w:t>
            </w:r>
            <w:proofErr w:type="spellEnd"/>
            <w:r w:rsidRPr="00E54420">
              <w:rPr>
                <w:rFonts w:ascii="Book Antiqua" w:eastAsiaTheme="minorEastAsia" w:hAnsi="Book Antiqua"/>
                <w:sz w:val="24"/>
                <w:szCs w:val="24"/>
              </w:rPr>
              <w:t xml:space="preserve"> et al., 2022).</w:t>
            </w:r>
          </w:p>
          <w:p w14:paraId="126F13F0" w14:textId="77777777" w:rsidR="00855285" w:rsidRDefault="00855285" w:rsidP="00855285">
            <w:pPr>
              <w:spacing w:after="120" w:line="240" w:lineRule="auto"/>
              <w:ind w:left="851" w:firstLine="630"/>
              <w:rPr>
                <w:rFonts w:ascii="Book Antiqua" w:eastAsiaTheme="minorEastAsia" w:hAnsi="Book Antiqua"/>
                <w:sz w:val="24"/>
                <w:szCs w:val="24"/>
              </w:rPr>
            </w:pPr>
            <w:r w:rsidRPr="00E54420">
              <w:rPr>
                <w:rFonts w:ascii="Book Antiqua" w:eastAsiaTheme="minorEastAsia" w:hAnsi="Book Antiqua"/>
                <w:sz w:val="24"/>
                <w:szCs w:val="24"/>
              </w:rPr>
              <w:t xml:space="preserve">The results of the regression analysis of the economic growth rate variable are also in line with a number of studies which state the effectiveness of gold as a safe-haven and hedging instrument in the financial market. In theory, the level of economic growth is negatively correlated with the price of gold, where if an event occurs that causes uncertainty and negative economic growth, the performance of the gold price will be better. The research period was carried out from 2017 to 2022, during which the Covid pandemic occurred from 2020 to 2022. During the pandemic there was negative economic growth while the price of gold as a safe haven asset experienced a significant spike, so the analysis results show that the level of economic growth had a significant impact. significant with a negative correlation to the price of </w:t>
            </w:r>
            <w:proofErr w:type="spellStart"/>
            <w:r w:rsidRPr="00E54420">
              <w:rPr>
                <w:rFonts w:ascii="Book Antiqua" w:eastAsiaTheme="minorEastAsia" w:hAnsi="Book Antiqua"/>
                <w:sz w:val="24"/>
                <w:szCs w:val="24"/>
              </w:rPr>
              <w:t>Pegadaian</w:t>
            </w:r>
            <w:proofErr w:type="spellEnd"/>
            <w:r w:rsidRPr="00E54420">
              <w:rPr>
                <w:rFonts w:ascii="Book Antiqua" w:eastAsiaTheme="minorEastAsia" w:hAnsi="Book Antiqua"/>
                <w:sz w:val="24"/>
                <w:szCs w:val="24"/>
              </w:rPr>
              <w:t xml:space="preserve"> gold accounts.</w:t>
            </w:r>
          </w:p>
          <w:p w14:paraId="7BF9719A" w14:textId="77777777" w:rsidR="00D60F0C" w:rsidRDefault="00D60F0C" w:rsidP="00855285">
            <w:pPr>
              <w:spacing w:after="240" w:line="240" w:lineRule="auto"/>
              <w:ind w:left="851" w:firstLine="629"/>
              <w:rPr>
                <w:rFonts w:ascii="Book Antiqua" w:eastAsiaTheme="minorEastAsia" w:hAnsi="Book Antiqua"/>
                <w:sz w:val="24"/>
                <w:szCs w:val="24"/>
              </w:rPr>
            </w:pPr>
          </w:p>
          <w:p w14:paraId="23C0C95A" w14:textId="7ABE9224" w:rsidR="00855285" w:rsidRPr="00855285" w:rsidRDefault="00855285" w:rsidP="00855285">
            <w:pPr>
              <w:spacing w:after="240" w:line="240" w:lineRule="auto"/>
              <w:ind w:left="851" w:firstLine="629"/>
              <w:rPr>
                <w:rFonts w:ascii="Book Antiqua" w:eastAsiaTheme="minorEastAsia" w:hAnsi="Book Antiqua"/>
                <w:sz w:val="24"/>
                <w:szCs w:val="24"/>
              </w:rPr>
            </w:pPr>
            <w:r w:rsidRPr="00E54420">
              <w:rPr>
                <w:rFonts w:ascii="Book Antiqua" w:eastAsiaTheme="minorEastAsia" w:hAnsi="Book Antiqua"/>
                <w:sz w:val="24"/>
                <w:szCs w:val="24"/>
              </w:rPr>
              <w:lastRenderedPageBreak/>
              <w:t xml:space="preserve">Meanwhile, regression analysis shows that </w:t>
            </w:r>
            <w:proofErr w:type="spellStart"/>
            <w:r w:rsidRPr="00E54420">
              <w:rPr>
                <w:rFonts w:ascii="Book Antiqua" w:eastAsiaTheme="minorEastAsia" w:hAnsi="Book Antiqua"/>
                <w:sz w:val="24"/>
                <w:szCs w:val="24"/>
              </w:rPr>
              <w:t>Pegadaian</w:t>
            </w:r>
            <w:proofErr w:type="spellEnd"/>
            <w:r w:rsidRPr="00E54420">
              <w:rPr>
                <w:rFonts w:ascii="Book Antiqua" w:eastAsiaTheme="minorEastAsia" w:hAnsi="Book Antiqua"/>
                <w:sz w:val="24"/>
                <w:szCs w:val="24"/>
              </w:rPr>
              <w:t xml:space="preserve"> gold accounts are not affected by interest rate variables. One theory that supports the results of this research is Lawrence's empirical study in 2003 which stated that interest rates were not related to the price of gold (</w:t>
            </w:r>
            <w:proofErr w:type="spellStart"/>
            <w:r w:rsidRPr="00E54420">
              <w:rPr>
                <w:rFonts w:ascii="Book Antiqua" w:eastAsiaTheme="minorEastAsia" w:hAnsi="Book Antiqua"/>
                <w:sz w:val="24"/>
                <w:szCs w:val="24"/>
              </w:rPr>
              <w:t>Sabilawa</w:t>
            </w:r>
            <w:proofErr w:type="spellEnd"/>
            <w:r w:rsidRPr="00E54420">
              <w:rPr>
                <w:rFonts w:ascii="Book Antiqua" w:eastAsiaTheme="minorEastAsia" w:hAnsi="Book Antiqua"/>
                <w:sz w:val="24"/>
                <w:szCs w:val="24"/>
              </w:rPr>
              <w:t>, 2019).</w:t>
            </w:r>
          </w:p>
          <w:p w14:paraId="3EBBA4FD" w14:textId="77777777" w:rsidR="00855285" w:rsidRDefault="00855285" w:rsidP="00855285">
            <w:pPr>
              <w:spacing w:after="120" w:line="240" w:lineRule="auto"/>
              <w:ind w:left="851" w:hanging="504"/>
              <w:rPr>
                <w:rFonts w:ascii="Book Antiqua" w:eastAsiaTheme="minorEastAsia" w:hAnsi="Book Antiqua"/>
                <w:b/>
                <w:bCs/>
                <w:sz w:val="24"/>
                <w:szCs w:val="24"/>
              </w:rPr>
            </w:pPr>
            <w:r w:rsidRPr="00E54420">
              <w:rPr>
                <w:rFonts w:ascii="Book Antiqua" w:eastAsiaTheme="minorEastAsia" w:hAnsi="Book Antiqua"/>
                <w:b/>
                <w:bCs/>
                <w:sz w:val="24"/>
                <w:szCs w:val="24"/>
              </w:rPr>
              <w:t>D.3 ANP Result Analysis</w:t>
            </w:r>
          </w:p>
          <w:p w14:paraId="5C6B4373" w14:textId="51D3FDE2" w:rsidR="00855285" w:rsidRPr="00855285" w:rsidRDefault="00855285" w:rsidP="00F22110">
            <w:pPr>
              <w:spacing w:after="360" w:line="240" w:lineRule="auto"/>
              <w:ind w:left="346"/>
              <w:rPr>
                <w:rFonts w:ascii="Book Antiqua" w:eastAsiaTheme="minorEastAsia" w:hAnsi="Book Antiqua"/>
                <w:b/>
                <w:bCs/>
                <w:sz w:val="24"/>
                <w:szCs w:val="24"/>
              </w:rPr>
            </w:pPr>
            <w:r w:rsidRPr="00855285">
              <w:rPr>
                <w:rFonts w:ascii="Book Antiqua" w:eastAsiaTheme="minorEastAsia" w:hAnsi="Book Antiqua"/>
                <w:sz w:val="24"/>
                <w:szCs w:val="24"/>
              </w:rPr>
              <w:t>The results of the ANP analysis process show that the combined assessment of criteria, sub-criteria and alternatives made by respondents regarding the structure has a good level of consistency.  Furthermore, this assessment produces an assessment of each element, as well as creating an overview of the priorities for each element.</w:t>
            </w:r>
          </w:p>
          <w:p w14:paraId="1A077828" w14:textId="77777777" w:rsidR="00855285" w:rsidRPr="00855285" w:rsidRDefault="00855285" w:rsidP="00855285">
            <w:pPr>
              <w:spacing w:after="120" w:line="240" w:lineRule="auto"/>
              <w:ind w:firstLine="720"/>
              <w:jc w:val="center"/>
              <w:rPr>
                <w:rFonts w:ascii="Book Antiqua" w:hAnsi="Book Antiqua" w:cs="Times New Roman"/>
                <w:b/>
                <w:sz w:val="24"/>
                <w:szCs w:val="24"/>
              </w:rPr>
            </w:pPr>
            <w:r w:rsidRPr="00855285">
              <w:rPr>
                <w:rFonts w:ascii="Book Antiqua" w:hAnsi="Book Antiqua" w:cs="Times New Roman"/>
                <w:b/>
                <w:sz w:val="24"/>
                <w:szCs w:val="24"/>
              </w:rPr>
              <w:t>Tabel 15. Result of Analytic Network Process Data Processing</w:t>
            </w:r>
          </w:p>
          <w:tbl>
            <w:tblPr>
              <w:tblW w:w="8029" w:type="dxa"/>
              <w:tblInd w:w="715" w:type="dxa"/>
              <w:tblLook w:val="04A0" w:firstRow="1" w:lastRow="0" w:firstColumn="1" w:lastColumn="0" w:noHBand="0" w:noVBand="1"/>
            </w:tblPr>
            <w:tblGrid>
              <w:gridCol w:w="5400"/>
              <w:gridCol w:w="1016"/>
              <w:gridCol w:w="803"/>
              <w:gridCol w:w="810"/>
            </w:tblGrid>
            <w:tr w:rsidR="00855285" w:rsidRPr="00E54420" w14:paraId="68E7CADE" w14:textId="77777777" w:rsidTr="007F2E78">
              <w:trPr>
                <w:trHeight w:val="300"/>
              </w:trPr>
              <w:tc>
                <w:tcPr>
                  <w:tcW w:w="5400" w:type="dxa"/>
                  <w:tcBorders>
                    <w:top w:val="single" w:sz="4" w:space="0" w:color="auto"/>
                    <w:left w:val="single" w:sz="4" w:space="0" w:color="auto"/>
                    <w:bottom w:val="single" w:sz="4" w:space="0" w:color="auto"/>
                    <w:right w:val="single" w:sz="4" w:space="0" w:color="auto"/>
                  </w:tcBorders>
                  <w:shd w:val="clear" w:color="auto" w:fill="auto"/>
                  <w:noWrap/>
                  <w:hideMark/>
                </w:tcPr>
                <w:p w14:paraId="2B996728" w14:textId="2B8821E6" w:rsidR="00855285" w:rsidRPr="00E54420" w:rsidRDefault="00855285" w:rsidP="00855285">
                  <w:pPr>
                    <w:spacing w:after="0" w:line="240" w:lineRule="auto"/>
                    <w:rPr>
                      <w:rFonts w:ascii="Book Antiqua" w:hAnsi="Book Antiqua"/>
                      <w:b/>
                      <w:bCs/>
                      <w:color w:val="000000"/>
                      <w:sz w:val="24"/>
                      <w:szCs w:val="24"/>
                    </w:rPr>
                  </w:pPr>
                  <w:proofErr w:type="spellStart"/>
                  <w:r w:rsidRPr="00E54420">
                    <w:rPr>
                      <w:rFonts w:ascii="Book Antiqua" w:hAnsi="Book Antiqua"/>
                      <w:b/>
                      <w:bCs/>
                      <w:color w:val="000000"/>
                      <w:sz w:val="24"/>
                      <w:szCs w:val="24"/>
                    </w:rPr>
                    <w:t>Criteria</w:t>
                  </w:r>
                  <w:r w:rsidR="00D60F0C">
                    <w:rPr>
                      <w:rFonts w:ascii="Book Antiqua" w:hAnsi="Book Antiqua"/>
                      <w:b/>
                      <w:bCs/>
                      <w:color w:val="000000"/>
                      <w:sz w:val="24"/>
                      <w:szCs w:val="24"/>
                    </w:rPr>
                    <w:t>s</w:t>
                  </w:r>
                  <w:proofErr w:type="spellEnd"/>
                </w:p>
              </w:tc>
              <w:tc>
                <w:tcPr>
                  <w:tcW w:w="1016" w:type="dxa"/>
                  <w:tcBorders>
                    <w:top w:val="single" w:sz="4" w:space="0" w:color="auto"/>
                    <w:left w:val="nil"/>
                    <w:bottom w:val="single" w:sz="4" w:space="0" w:color="auto"/>
                    <w:right w:val="single" w:sz="4" w:space="0" w:color="auto"/>
                  </w:tcBorders>
                  <w:shd w:val="clear" w:color="auto" w:fill="auto"/>
                  <w:hideMark/>
                </w:tcPr>
                <w:p w14:paraId="37172E17" w14:textId="77777777" w:rsidR="00855285" w:rsidRPr="00E54420" w:rsidRDefault="00855285" w:rsidP="00855285">
                  <w:pPr>
                    <w:spacing w:after="0" w:line="240" w:lineRule="auto"/>
                    <w:jc w:val="center"/>
                    <w:rPr>
                      <w:rFonts w:ascii="Book Antiqua" w:hAnsi="Book Antiqua"/>
                      <w:b/>
                      <w:bCs/>
                      <w:color w:val="000000"/>
                      <w:sz w:val="24"/>
                      <w:szCs w:val="24"/>
                    </w:rPr>
                  </w:pPr>
                  <w:r w:rsidRPr="00E54420">
                    <w:rPr>
                      <w:rFonts w:ascii="Book Antiqua" w:hAnsi="Book Antiqua"/>
                      <w:b/>
                      <w:bCs/>
                      <w:color w:val="000000"/>
                      <w:sz w:val="24"/>
                      <w:szCs w:val="24"/>
                    </w:rPr>
                    <w:t>Weight</w:t>
                  </w:r>
                </w:p>
              </w:tc>
              <w:tc>
                <w:tcPr>
                  <w:tcW w:w="803" w:type="dxa"/>
                  <w:tcBorders>
                    <w:top w:val="single" w:sz="4" w:space="0" w:color="auto"/>
                    <w:left w:val="nil"/>
                    <w:bottom w:val="single" w:sz="4" w:space="0" w:color="auto"/>
                    <w:right w:val="single" w:sz="4" w:space="0" w:color="auto"/>
                  </w:tcBorders>
                  <w:shd w:val="clear" w:color="auto" w:fill="auto"/>
                  <w:hideMark/>
                </w:tcPr>
                <w:p w14:paraId="0F5009EA" w14:textId="77777777" w:rsidR="00855285" w:rsidRPr="00E54420" w:rsidRDefault="00855285" w:rsidP="00855285">
                  <w:pPr>
                    <w:spacing w:after="0" w:line="240" w:lineRule="auto"/>
                    <w:jc w:val="center"/>
                    <w:rPr>
                      <w:rFonts w:ascii="Book Antiqua" w:hAnsi="Book Antiqua"/>
                      <w:b/>
                      <w:bCs/>
                      <w:color w:val="000000"/>
                      <w:sz w:val="24"/>
                      <w:szCs w:val="24"/>
                    </w:rPr>
                  </w:pPr>
                  <w:r w:rsidRPr="00E54420">
                    <w:rPr>
                      <w:rFonts w:ascii="Book Antiqua" w:hAnsi="Book Antiqua"/>
                      <w:b/>
                      <w:bCs/>
                      <w:color w:val="000000"/>
                      <w:sz w:val="24"/>
                      <w:szCs w:val="24"/>
                    </w:rPr>
                    <w:t>Rank</w:t>
                  </w:r>
                </w:p>
              </w:tc>
              <w:tc>
                <w:tcPr>
                  <w:tcW w:w="810" w:type="dxa"/>
                  <w:tcBorders>
                    <w:top w:val="single" w:sz="4" w:space="0" w:color="auto"/>
                    <w:left w:val="nil"/>
                    <w:bottom w:val="single" w:sz="4" w:space="0" w:color="auto"/>
                    <w:right w:val="single" w:sz="4" w:space="0" w:color="auto"/>
                  </w:tcBorders>
                  <w:shd w:val="clear" w:color="auto" w:fill="auto"/>
                  <w:noWrap/>
                  <w:hideMark/>
                </w:tcPr>
                <w:p w14:paraId="0C991C85" w14:textId="77777777" w:rsidR="00855285" w:rsidRPr="00E54420" w:rsidRDefault="00855285" w:rsidP="00855285">
                  <w:pPr>
                    <w:spacing w:after="0" w:line="240" w:lineRule="auto"/>
                    <w:jc w:val="center"/>
                    <w:rPr>
                      <w:rFonts w:ascii="Book Antiqua" w:hAnsi="Book Antiqua"/>
                      <w:b/>
                      <w:bCs/>
                      <w:color w:val="000000"/>
                      <w:sz w:val="24"/>
                      <w:szCs w:val="24"/>
                    </w:rPr>
                  </w:pPr>
                  <w:r w:rsidRPr="00E54420">
                    <w:rPr>
                      <w:rFonts w:ascii="Book Antiqua" w:hAnsi="Book Antiqua"/>
                      <w:b/>
                      <w:bCs/>
                      <w:color w:val="000000"/>
                      <w:sz w:val="24"/>
                      <w:szCs w:val="24"/>
                    </w:rPr>
                    <w:t>W</w:t>
                  </w:r>
                </w:p>
              </w:tc>
            </w:tr>
            <w:tr w:rsidR="00855285" w:rsidRPr="00E54420" w14:paraId="1A7C5C97" w14:textId="77777777" w:rsidTr="007F2E78">
              <w:trPr>
                <w:trHeight w:val="308"/>
              </w:trPr>
              <w:tc>
                <w:tcPr>
                  <w:tcW w:w="5400" w:type="dxa"/>
                  <w:tcBorders>
                    <w:top w:val="nil"/>
                    <w:left w:val="single" w:sz="4" w:space="0" w:color="auto"/>
                    <w:bottom w:val="single" w:sz="4" w:space="0" w:color="auto"/>
                    <w:right w:val="single" w:sz="4" w:space="0" w:color="auto"/>
                  </w:tcBorders>
                  <w:shd w:val="clear" w:color="auto" w:fill="auto"/>
                  <w:noWrap/>
                  <w:hideMark/>
                </w:tcPr>
                <w:p w14:paraId="1F5E9B77" w14:textId="77777777" w:rsidR="00855285" w:rsidRPr="00E54420" w:rsidRDefault="00855285" w:rsidP="00855285">
                  <w:pPr>
                    <w:spacing w:after="0" w:line="240" w:lineRule="auto"/>
                    <w:rPr>
                      <w:rFonts w:ascii="Book Antiqua" w:hAnsi="Book Antiqua"/>
                      <w:color w:val="000000"/>
                      <w:sz w:val="24"/>
                      <w:szCs w:val="24"/>
                    </w:rPr>
                  </w:pPr>
                  <w:r w:rsidRPr="00E54420">
                    <w:rPr>
                      <w:rFonts w:ascii="Book Antiqua" w:hAnsi="Book Antiqua"/>
                      <w:color w:val="000000"/>
                      <w:sz w:val="24"/>
                      <w:szCs w:val="24"/>
                    </w:rPr>
                    <w:t>1. Makro Economics</w:t>
                  </w:r>
                </w:p>
              </w:tc>
              <w:tc>
                <w:tcPr>
                  <w:tcW w:w="1016" w:type="dxa"/>
                  <w:tcBorders>
                    <w:top w:val="nil"/>
                    <w:left w:val="nil"/>
                    <w:bottom w:val="single" w:sz="4" w:space="0" w:color="auto"/>
                    <w:right w:val="single" w:sz="4" w:space="0" w:color="auto"/>
                  </w:tcBorders>
                  <w:shd w:val="clear" w:color="auto" w:fill="auto"/>
                  <w:hideMark/>
                </w:tcPr>
                <w:p w14:paraId="0B7EDE87"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0.35</w:t>
                  </w:r>
                </w:p>
              </w:tc>
              <w:tc>
                <w:tcPr>
                  <w:tcW w:w="803" w:type="dxa"/>
                  <w:tcBorders>
                    <w:top w:val="nil"/>
                    <w:left w:val="nil"/>
                    <w:bottom w:val="single" w:sz="4" w:space="0" w:color="auto"/>
                    <w:right w:val="single" w:sz="4" w:space="0" w:color="auto"/>
                  </w:tcBorders>
                  <w:shd w:val="clear" w:color="auto" w:fill="auto"/>
                  <w:hideMark/>
                </w:tcPr>
                <w:p w14:paraId="1D2BA0A9"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1</w:t>
                  </w:r>
                </w:p>
              </w:tc>
              <w:tc>
                <w:tcPr>
                  <w:tcW w:w="810" w:type="dxa"/>
                  <w:vMerge w:val="restart"/>
                  <w:tcBorders>
                    <w:top w:val="nil"/>
                    <w:left w:val="single" w:sz="4" w:space="0" w:color="auto"/>
                    <w:bottom w:val="single" w:sz="4" w:space="0" w:color="auto"/>
                    <w:right w:val="single" w:sz="4" w:space="0" w:color="auto"/>
                  </w:tcBorders>
                  <w:shd w:val="clear" w:color="auto" w:fill="auto"/>
                  <w:noWrap/>
                  <w:hideMark/>
                </w:tcPr>
                <w:p w14:paraId="2DBF2F0A"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0.000</w:t>
                  </w:r>
                </w:p>
              </w:tc>
            </w:tr>
            <w:tr w:rsidR="00855285" w:rsidRPr="00E54420" w14:paraId="40C3D4DC" w14:textId="77777777" w:rsidTr="007F2E78">
              <w:trPr>
                <w:trHeight w:val="308"/>
              </w:trPr>
              <w:tc>
                <w:tcPr>
                  <w:tcW w:w="5400" w:type="dxa"/>
                  <w:tcBorders>
                    <w:top w:val="nil"/>
                    <w:left w:val="single" w:sz="4" w:space="0" w:color="auto"/>
                    <w:bottom w:val="single" w:sz="4" w:space="0" w:color="auto"/>
                    <w:right w:val="single" w:sz="4" w:space="0" w:color="auto"/>
                  </w:tcBorders>
                  <w:shd w:val="clear" w:color="auto" w:fill="auto"/>
                  <w:noWrap/>
                  <w:hideMark/>
                </w:tcPr>
                <w:p w14:paraId="2FF8CB0C" w14:textId="77777777" w:rsidR="00855285" w:rsidRPr="00E54420" w:rsidRDefault="00855285" w:rsidP="00855285">
                  <w:pPr>
                    <w:spacing w:after="0" w:line="240" w:lineRule="auto"/>
                    <w:rPr>
                      <w:rFonts w:ascii="Book Antiqua" w:hAnsi="Book Antiqua"/>
                      <w:color w:val="000000"/>
                      <w:sz w:val="24"/>
                      <w:szCs w:val="24"/>
                    </w:rPr>
                  </w:pPr>
                  <w:r w:rsidRPr="00E54420">
                    <w:rPr>
                      <w:rFonts w:ascii="Book Antiqua" w:hAnsi="Book Antiqua"/>
                      <w:color w:val="000000"/>
                      <w:sz w:val="24"/>
                      <w:szCs w:val="24"/>
                    </w:rPr>
                    <w:t>2. Risk</w:t>
                  </w:r>
                </w:p>
              </w:tc>
              <w:tc>
                <w:tcPr>
                  <w:tcW w:w="1016" w:type="dxa"/>
                  <w:tcBorders>
                    <w:top w:val="nil"/>
                    <w:left w:val="nil"/>
                    <w:bottom w:val="single" w:sz="4" w:space="0" w:color="auto"/>
                    <w:right w:val="single" w:sz="4" w:space="0" w:color="auto"/>
                  </w:tcBorders>
                  <w:shd w:val="clear" w:color="auto" w:fill="auto"/>
                  <w:hideMark/>
                </w:tcPr>
                <w:p w14:paraId="76925C0E"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0.24</w:t>
                  </w:r>
                </w:p>
              </w:tc>
              <w:tc>
                <w:tcPr>
                  <w:tcW w:w="803" w:type="dxa"/>
                  <w:tcBorders>
                    <w:top w:val="nil"/>
                    <w:left w:val="nil"/>
                    <w:bottom w:val="single" w:sz="4" w:space="0" w:color="auto"/>
                    <w:right w:val="single" w:sz="4" w:space="0" w:color="auto"/>
                  </w:tcBorders>
                  <w:shd w:val="clear" w:color="auto" w:fill="auto"/>
                  <w:hideMark/>
                </w:tcPr>
                <w:p w14:paraId="67E276FA"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3</w:t>
                  </w:r>
                </w:p>
              </w:tc>
              <w:tc>
                <w:tcPr>
                  <w:tcW w:w="810" w:type="dxa"/>
                  <w:vMerge/>
                  <w:tcBorders>
                    <w:top w:val="nil"/>
                    <w:left w:val="single" w:sz="4" w:space="0" w:color="auto"/>
                    <w:bottom w:val="single" w:sz="4" w:space="0" w:color="auto"/>
                    <w:right w:val="single" w:sz="4" w:space="0" w:color="auto"/>
                  </w:tcBorders>
                  <w:vAlign w:val="center"/>
                  <w:hideMark/>
                </w:tcPr>
                <w:p w14:paraId="75FB3241" w14:textId="77777777" w:rsidR="00855285" w:rsidRPr="00E54420" w:rsidRDefault="00855285" w:rsidP="00855285">
                  <w:pPr>
                    <w:spacing w:after="0" w:line="240" w:lineRule="auto"/>
                    <w:rPr>
                      <w:rFonts w:ascii="Book Antiqua" w:hAnsi="Book Antiqua"/>
                      <w:color w:val="000000"/>
                      <w:sz w:val="24"/>
                      <w:szCs w:val="24"/>
                    </w:rPr>
                  </w:pPr>
                </w:p>
              </w:tc>
            </w:tr>
            <w:tr w:rsidR="00855285" w:rsidRPr="00E54420" w14:paraId="52369CE7" w14:textId="77777777" w:rsidTr="007F2E78">
              <w:trPr>
                <w:trHeight w:val="308"/>
              </w:trPr>
              <w:tc>
                <w:tcPr>
                  <w:tcW w:w="5400" w:type="dxa"/>
                  <w:tcBorders>
                    <w:top w:val="nil"/>
                    <w:left w:val="single" w:sz="4" w:space="0" w:color="auto"/>
                    <w:bottom w:val="single" w:sz="4" w:space="0" w:color="auto"/>
                    <w:right w:val="single" w:sz="4" w:space="0" w:color="auto"/>
                  </w:tcBorders>
                  <w:shd w:val="clear" w:color="auto" w:fill="auto"/>
                  <w:noWrap/>
                  <w:hideMark/>
                </w:tcPr>
                <w:p w14:paraId="33C9CF78" w14:textId="77777777" w:rsidR="00855285" w:rsidRPr="00E54420" w:rsidRDefault="00855285" w:rsidP="00855285">
                  <w:pPr>
                    <w:spacing w:after="0" w:line="240" w:lineRule="auto"/>
                    <w:rPr>
                      <w:rFonts w:ascii="Book Antiqua" w:hAnsi="Book Antiqua"/>
                      <w:color w:val="000000"/>
                      <w:sz w:val="24"/>
                      <w:szCs w:val="24"/>
                    </w:rPr>
                  </w:pPr>
                  <w:r w:rsidRPr="00E54420">
                    <w:rPr>
                      <w:rFonts w:ascii="Book Antiqua" w:hAnsi="Book Antiqua"/>
                      <w:color w:val="000000"/>
                      <w:sz w:val="24"/>
                      <w:szCs w:val="24"/>
                    </w:rPr>
                    <w:t>3. Sharia-Comply</w:t>
                  </w:r>
                </w:p>
              </w:tc>
              <w:tc>
                <w:tcPr>
                  <w:tcW w:w="1016" w:type="dxa"/>
                  <w:tcBorders>
                    <w:top w:val="nil"/>
                    <w:left w:val="nil"/>
                    <w:bottom w:val="single" w:sz="4" w:space="0" w:color="auto"/>
                    <w:right w:val="single" w:sz="4" w:space="0" w:color="auto"/>
                  </w:tcBorders>
                  <w:shd w:val="clear" w:color="auto" w:fill="auto"/>
                  <w:hideMark/>
                </w:tcPr>
                <w:p w14:paraId="6028F660"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0.25</w:t>
                  </w:r>
                </w:p>
              </w:tc>
              <w:tc>
                <w:tcPr>
                  <w:tcW w:w="803" w:type="dxa"/>
                  <w:tcBorders>
                    <w:top w:val="nil"/>
                    <w:left w:val="nil"/>
                    <w:bottom w:val="single" w:sz="4" w:space="0" w:color="auto"/>
                    <w:right w:val="single" w:sz="4" w:space="0" w:color="auto"/>
                  </w:tcBorders>
                  <w:shd w:val="clear" w:color="auto" w:fill="auto"/>
                  <w:hideMark/>
                </w:tcPr>
                <w:p w14:paraId="1E809B2A"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2</w:t>
                  </w:r>
                </w:p>
              </w:tc>
              <w:tc>
                <w:tcPr>
                  <w:tcW w:w="810" w:type="dxa"/>
                  <w:vMerge/>
                  <w:tcBorders>
                    <w:top w:val="nil"/>
                    <w:left w:val="single" w:sz="4" w:space="0" w:color="auto"/>
                    <w:bottom w:val="single" w:sz="4" w:space="0" w:color="auto"/>
                    <w:right w:val="single" w:sz="4" w:space="0" w:color="auto"/>
                  </w:tcBorders>
                  <w:vAlign w:val="center"/>
                  <w:hideMark/>
                </w:tcPr>
                <w:p w14:paraId="46CD6F60" w14:textId="77777777" w:rsidR="00855285" w:rsidRPr="00E54420" w:rsidRDefault="00855285" w:rsidP="00855285">
                  <w:pPr>
                    <w:spacing w:after="0" w:line="240" w:lineRule="auto"/>
                    <w:rPr>
                      <w:rFonts w:ascii="Book Antiqua" w:hAnsi="Book Antiqua"/>
                      <w:color w:val="000000"/>
                      <w:sz w:val="24"/>
                      <w:szCs w:val="24"/>
                    </w:rPr>
                  </w:pPr>
                </w:p>
              </w:tc>
            </w:tr>
            <w:tr w:rsidR="00855285" w:rsidRPr="00E54420" w14:paraId="771964F4" w14:textId="77777777" w:rsidTr="007F2E78">
              <w:trPr>
                <w:trHeight w:val="308"/>
              </w:trPr>
              <w:tc>
                <w:tcPr>
                  <w:tcW w:w="5400" w:type="dxa"/>
                  <w:tcBorders>
                    <w:top w:val="nil"/>
                    <w:left w:val="single" w:sz="4" w:space="0" w:color="auto"/>
                    <w:bottom w:val="single" w:sz="4" w:space="0" w:color="auto"/>
                    <w:right w:val="single" w:sz="4" w:space="0" w:color="auto"/>
                  </w:tcBorders>
                  <w:shd w:val="clear" w:color="auto" w:fill="auto"/>
                  <w:noWrap/>
                  <w:hideMark/>
                </w:tcPr>
                <w:p w14:paraId="142E1A65" w14:textId="77777777" w:rsidR="00855285" w:rsidRPr="00E54420" w:rsidRDefault="00855285" w:rsidP="00855285">
                  <w:pPr>
                    <w:spacing w:after="0" w:line="240" w:lineRule="auto"/>
                    <w:rPr>
                      <w:rFonts w:ascii="Book Antiqua" w:hAnsi="Book Antiqua"/>
                      <w:color w:val="000000"/>
                      <w:sz w:val="24"/>
                      <w:szCs w:val="24"/>
                    </w:rPr>
                  </w:pPr>
                  <w:r w:rsidRPr="00E54420">
                    <w:rPr>
                      <w:rFonts w:ascii="Book Antiqua" w:hAnsi="Book Antiqua"/>
                      <w:color w:val="000000"/>
                      <w:sz w:val="24"/>
                      <w:szCs w:val="24"/>
                    </w:rPr>
                    <w:t>4. Exit Strategy</w:t>
                  </w:r>
                </w:p>
              </w:tc>
              <w:tc>
                <w:tcPr>
                  <w:tcW w:w="1016" w:type="dxa"/>
                  <w:tcBorders>
                    <w:top w:val="nil"/>
                    <w:left w:val="nil"/>
                    <w:bottom w:val="single" w:sz="4" w:space="0" w:color="auto"/>
                    <w:right w:val="single" w:sz="4" w:space="0" w:color="auto"/>
                  </w:tcBorders>
                  <w:shd w:val="clear" w:color="auto" w:fill="auto"/>
                  <w:hideMark/>
                </w:tcPr>
                <w:p w14:paraId="47B74B50"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0.16</w:t>
                  </w:r>
                </w:p>
              </w:tc>
              <w:tc>
                <w:tcPr>
                  <w:tcW w:w="803" w:type="dxa"/>
                  <w:tcBorders>
                    <w:top w:val="nil"/>
                    <w:left w:val="nil"/>
                    <w:bottom w:val="single" w:sz="4" w:space="0" w:color="auto"/>
                    <w:right w:val="single" w:sz="4" w:space="0" w:color="auto"/>
                  </w:tcBorders>
                  <w:shd w:val="clear" w:color="auto" w:fill="auto"/>
                  <w:hideMark/>
                </w:tcPr>
                <w:p w14:paraId="5DD125DC"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4</w:t>
                  </w:r>
                </w:p>
              </w:tc>
              <w:tc>
                <w:tcPr>
                  <w:tcW w:w="810" w:type="dxa"/>
                  <w:vMerge/>
                  <w:tcBorders>
                    <w:top w:val="nil"/>
                    <w:left w:val="single" w:sz="4" w:space="0" w:color="auto"/>
                    <w:bottom w:val="single" w:sz="4" w:space="0" w:color="auto"/>
                    <w:right w:val="single" w:sz="4" w:space="0" w:color="auto"/>
                  </w:tcBorders>
                  <w:vAlign w:val="center"/>
                  <w:hideMark/>
                </w:tcPr>
                <w:p w14:paraId="3BA6550B" w14:textId="77777777" w:rsidR="00855285" w:rsidRPr="00E54420" w:rsidRDefault="00855285" w:rsidP="00855285">
                  <w:pPr>
                    <w:spacing w:after="0" w:line="240" w:lineRule="auto"/>
                    <w:rPr>
                      <w:rFonts w:ascii="Book Antiqua" w:hAnsi="Book Antiqua"/>
                      <w:color w:val="000000"/>
                      <w:sz w:val="24"/>
                      <w:szCs w:val="24"/>
                    </w:rPr>
                  </w:pPr>
                </w:p>
              </w:tc>
            </w:tr>
            <w:tr w:rsidR="00855285" w:rsidRPr="00E54420" w14:paraId="7BB0732D" w14:textId="77777777" w:rsidTr="007F2E78">
              <w:trPr>
                <w:trHeight w:val="308"/>
              </w:trPr>
              <w:tc>
                <w:tcPr>
                  <w:tcW w:w="5400" w:type="dxa"/>
                  <w:tcBorders>
                    <w:top w:val="nil"/>
                    <w:left w:val="single" w:sz="4" w:space="0" w:color="auto"/>
                    <w:bottom w:val="single" w:sz="4" w:space="0" w:color="auto"/>
                    <w:right w:val="single" w:sz="4" w:space="0" w:color="auto"/>
                  </w:tcBorders>
                  <w:shd w:val="clear" w:color="auto" w:fill="auto"/>
                  <w:noWrap/>
                  <w:hideMark/>
                </w:tcPr>
                <w:p w14:paraId="2442DC4E" w14:textId="1A82CF59" w:rsidR="00855285" w:rsidRPr="00E54420" w:rsidRDefault="00D60F0C" w:rsidP="00855285">
                  <w:pPr>
                    <w:spacing w:after="0" w:line="240" w:lineRule="auto"/>
                    <w:rPr>
                      <w:rFonts w:ascii="Book Antiqua" w:hAnsi="Book Antiqua"/>
                      <w:b/>
                      <w:bCs/>
                      <w:color w:val="000000"/>
                      <w:sz w:val="24"/>
                      <w:szCs w:val="24"/>
                    </w:rPr>
                  </w:pPr>
                  <w:proofErr w:type="spellStart"/>
                  <w:r>
                    <w:rPr>
                      <w:rFonts w:ascii="Book Antiqua" w:hAnsi="Book Antiqua"/>
                      <w:b/>
                      <w:bCs/>
                      <w:color w:val="000000"/>
                      <w:sz w:val="24"/>
                      <w:szCs w:val="24"/>
                    </w:rPr>
                    <w:t>Macro economic</w:t>
                  </w:r>
                  <w:proofErr w:type="spellEnd"/>
                </w:p>
              </w:tc>
              <w:tc>
                <w:tcPr>
                  <w:tcW w:w="1016" w:type="dxa"/>
                  <w:tcBorders>
                    <w:top w:val="nil"/>
                    <w:left w:val="nil"/>
                    <w:bottom w:val="single" w:sz="4" w:space="0" w:color="auto"/>
                    <w:right w:val="single" w:sz="4" w:space="0" w:color="auto"/>
                  </w:tcBorders>
                  <w:shd w:val="clear" w:color="auto" w:fill="auto"/>
                  <w:hideMark/>
                </w:tcPr>
                <w:p w14:paraId="340A52F6"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 xml:space="preserve"> </w:t>
                  </w:r>
                </w:p>
              </w:tc>
              <w:tc>
                <w:tcPr>
                  <w:tcW w:w="803" w:type="dxa"/>
                  <w:tcBorders>
                    <w:top w:val="nil"/>
                    <w:left w:val="nil"/>
                    <w:bottom w:val="single" w:sz="4" w:space="0" w:color="auto"/>
                    <w:right w:val="single" w:sz="4" w:space="0" w:color="auto"/>
                  </w:tcBorders>
                  <w:shd w:val="clear" w:color="auto" w:fill="auto"/>
                  <w:hideMark/>
                </w:tcPr>
                <w:p w14:paraId="0B1D6ACE"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 </w:t>
                  </w:r>
                </w:p>
              </w:tc>
              <w:tc>
                <w:tcPr>
                  <w:tcW w:w="810" w:type="dxa"/>
                  <w:tcBorders>
                    <w:top w:val="nil"/>
                    <w:left w:val="nil"/>
                    <w:bottom w:val="single" w:sz="4" w:space="0" w:color="auto"/>
                    <w:right w:val="single" w:sz="4" w:space="0" w:color="auto"/>
                  </w:tcBorders>
                  <w:shd w:val="clear" w:color="auto" w:fill="auto"/>
                  <w:noWrap/>
                  <w:hideMark/>
                </w:tcPr>
                <w:p w14:paraId="02972699"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 </w:t>
                  </w:r>
                </w:p>
              </w:tc>
            </w:tr>
            <w:tr w:rsidR="00855285" w:rsidRPr="00E54420" w14:paraId="3EF057FF" w14:textId="77777777" w:rsidTr="007F2E78">
              <w:trPr>
                <w:trHeight w:val="308"/>
              </w:trPr>
              <w:tc>
                <w:tcPr>
                  <w:tcW w:w="5400" w:type="dxa"/>
                  <w:tcBorders>
                    <w:top w:val="nil"/>
                    <w:left w:val="single" w:sz="4" w:space="0" w:color="auto"/>
                    <w:bottom w:val="single" w:sz="4" w:space="0" w:color="auto"/>
                    <w:right w:val="single" w:sz="4" w:space="0" w:color="auto"/>
                  </w:tcBorders>
                  <w:shd w:val="clear" w:color="auto" w:fill="auto"/>
                  <w:noWrap/>
                  <w:hideMark/>
                </w:tcPr>
                <w:p w14:paraId="3B3F7D03" w14:textId="77777777" w:rsidR="00855285" w:rsidRPr="00E54420" w:rsidRDefault="00855285" w:rsidP="00855285">
                  <w:pPr>
                    <w:spacing w:after="0" w:line="240" w:lineRule="auto"/>
                    <w:rPr>
                      <w:rFonts w:ascii="Book Antiqua" w:hAnsi="Book Antiqua"/>
                      <w:color w:val="000000"/>
                      <w:sz w:val="24"/>
                      <w:szCs w:val="24"/>
                    </w:rPr>
                  </w:pPr>
                  <w:r w:rsidRPr="00E54420">
                    <w:rPr>
                      <w:rFonts w:ascii="Book Antiqua" w:hAnsi="Book Antiqua"/>
                      <w:color w:val="000000"/>
                      <w:sz w:val="24"/>
                      <w:szCs w:val="24"/>
                    </w:rPr>
                    <w:t>1. Exchange Rates</w:t>
                  </w:r>
                </w:p>
              </w:tc>
              <w:tc>
                <w:tcPr>
                  <w:tcW w:w="1016" w:type="dxa"/>
                  <w:tcBorders>
                    <w:top w:val="nil"/>
                    <w:left w:val="nil"/>
                    <w:bottom w:val="single" w:sz="4" w:space="0" w:color="auto"/>
                    <w:right w:val="single" w:sz="4" w:space="0" w:color="auto"/>
                  </w:tcBorders>
                  <w:shd w:val="clear" w:color="auto" w:fill="auto"/>
                  <w:hideMark/>
                </w:tcPr>
                <w:p w14:paraId="0DABA9A5"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0.25</w:t>
                  </w:r>
                </w:p>
              </w:tc>
              <w:tc>
                <w:tcPr>
                  <w:tcW w:w="803" w:type="dxa"/>
                  <w:tcBorders>
                    <w:top w:val="nil"/>
                    <w:left w:val="nil"/>
                    <w:bottom w:val="single" w:sz="4" w:space="0" w:color="auto"/>
                    <w:right w:val="single" w:sz="4" w:space="0" w:color="auto"/>
                  </w:tcBorders>
                  <w:shd w:val="clear" w:color="auto" w:fill="auto"/>
                  <w:hideMark/>
                </w:tcPr>
                <w:p w14:paraId="0D97D258"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1</w:t>
                  </w:r>
                </w:p>
              </w:tc>
              <w:tc>
                <w:tcPr>
                  <w:tcW w:w="810" w:type="dxa"/>
                  <w:vMerge w:val="restart"/>
                  <w:tcBorders>
                    <w:top w:val="nil"/>
                    <w:left w:val="single" w:sz="4" w:space="0" w:color="auto"/>
                    <w:bottom w:val="single" w:sz="4" w:space="0" w:color="auto"/>
                    <w:right w:val="single" w:sz="4" w:space="0" w:color="auto"/>
                  </w:tcBorders>
                  <w:shd w:val="clear" w:color="auto" w:fill="auto"/>
                  <w:noWrap/>
                  <w:hideMark/>
                </w:tcPr>
                <w:p w14:paraId="146D44AD"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0.000</w:t>
                  </w:r>
                </w:p>
              </w:tc>
            </w:tr>
            <w:tr w:rsidR="00855285" w:rsidRPr="00E54420" w14:paraId="5EC3C842" w14:textId="77777777" w:rsidTr="007F2E78">
              <w:trPr>
                <w:trHeight w:val="308"/>
              </w:trPr>
              <w:tc>
                <w:tcPr>
                  <w:tcW w:w="5400" w:type="dxa"/>
                  <w:tcBorders>
                    <w:top w:val="nil"/>
                    <w:left w:val="single" w:sz="4" w:space="0" w:color="auto"/>
                    <w:bottom w:val="single" w:sz="4" w:space="0" w:color="auto"/>
                    <w:right w:val="single" w:sz="4" w:space="0" w:color="auto"/>
                  </w:tcBorders>
                  <w:shd w:val="clear" w:color="auto" w:fill="auto"/>
                  <w:noWrap/>
                  <w:hideMark/>
                </w:tcPr>
                <w:p w14:paraId="256C9F7D" w14:textId="77777777" w:rsidR="00855285" w:rsidRPr="00E54420" w:rsidRDefault="00855285" w:rsidP="00855285">
                  <w:pPr>
                    <w:spacing w:after="0" w:line="240" w:lineRule="auto"/>
                    <w:rPr>
                      <w:rFonts w:ascii="Book Antiqua" w:hAnsi="Book Antiqua"/>
                      <w:color w:val="000000"/>
                      <w:sz w:val="24"/>
                      <w:szCs w:val="24"/>
                    </w:rPr>
                  </w:pPr>
                  <w:r w:rsidRPr="00E54420">
                    <w:rPr>
                      <w:rFonts w:ascii="Book Antiqua" w:hAnsi="Book Antiqua"/>
                      <w:color w:val="000000"/>
                      <w:sz w:val="24"/>
                      <w:szCs w:val="24"/>
                    </w:rPr>
                    <w:t>2. Inflation</w:t>
                  </w:r>
                </w:p>
              </w:tc>
              <w:tc>
                <w:tcPr>
                  <w:tcW w:w="1016" w:type="dxa"/>
                  <w:tcBorders>
                    <w:top w:val="nil"/>
                    <w:left w:val="nil"/>
                    <w:bottom w:val="single" w:sz="4" w:space="0" w:color="auto"/>
                    <w:right w:val="single" w:sz="4" w:space="0" w:color="auto"/>
                  </w:tcBorders>
                  <w:shd w:val="clear" w:color="auto" w:fill="auto"/>
                  <w:hideMark/>
                </w:tcPr>
                <w:p w14:paraId="532F4DAF"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0.19</w:t>
                  </w:r>
                </w:p>
              </w:tc>
              <w:tc>
                <w:tcPr>
                  <w:tcW w:w="803" w:type="dxa"/>
                  <w:tcBorders>
                    <w:top w:val="nil"/>
                    <w:left w:val="nil"/>
                    <w:bottom w:val="single" w:sz="4" w:space="0" w:color="auto"/>
                    <w:right w:val="single" w:sz="4" w:space="0" w:color="auto"/>
                  </w:tcBorders>
                  <w:shd w:val="clear" w:color="auto" w:fill="auto"/>
                  <w:hideMark/>
                </w:tcPr>
                <w:p w14:paraId="58C41328"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2</w:t>
                  </w:r>
                </w:p>
              </w:tc>
              <w:tc>
                <w:tcPr>
                  <w:tcW w:w="810" w:type="dxa"/>
                  <w:vMerge/>
                  <w:tcBorders>
                    <w:top w:val="nil"/>
                    <w:left w:val="single" w:sz="4" w:space="0" w:color="auto"/>
                    <w:bottom w:val="single" w:sz="4" w:space="0" w:color="auto"/>
                    <w:right w:val="single" w:sz="4" w:space="0" w:color="auto"/>
                  </w:tcBorders>
                  <w:vAlign w:val="center"/>
                  <w:hideMark/>
                </w:tcPr>
                <w:p w14:paraId="751FC48A" w14:textId="77777777" w:rsidR="00855285" w:rsidRPr="00E54420" w:rsidRDefault="00855285" w:rsidP="00855285">
                  <w:pPr>
                    <w:spacing w:after="0" w:line="240" w:lineRule="auto"/>
                    <w:rPr>
                      <w:rFonts w:ascii="Book Antiqua" w:hAnsi="Book Antiqua"/>
                      <w:color w:val="000000"/>
                      <w:sz w:val="24"/>
                      <w:szCs w:val="24"/>
                    </w:rPr>
                  </w:pPr>
                </w:p>
              </w:tc>
            </w:tr>
            <w:tr w:rsidR="00855285" w:rsidRPr="00E54420" w14:paraId="3AFD98F0" w14:textId="77777777" w:rsidTr="007F2E78">
              <w:trPr>
                <w:trHeight w:val="308"/>
              </w:trPr>
              <w:tc>
                <w:tcPr>
                  <w:tcW w:w="5400" w:type="dxa"/>
                  <w:tcBorders>
                    <w:top w:val="nil"/>
                    <w:left w:val="single" w:sz="4" w:space="0" w:color="auto"/>
                    <w:bottom w:val="single" w:sz="4" w:space="0" w:color="auto"/>
                    <w:right w:val="single" w:sz="4" w:space="0" w:color="auto"/>
                  </w:tcBorders>
                  <w:shd w:val="clear" w:color="auto" w:fill="auto"/>
                  <w:noWrap/>
                  <w:hideMark/>
                </w:tcPr>
                <w:p w14:paraId="17E67BFF" w14:textId="77777777" w:rsidR="00855285" w:rsidRPr="00E54420" w:rsidRDefault="00855285" w:rsidP="00855285">
                  <w:pPr>
                    <w:spacing w:after="0" w:line="240" w:lineRule="auto"/>
                    <w:rPr>
                      <w:rFonts w:ascii="Book Antiqua" w:hAnsi="Book Antiqua"/>
                      <w:color w:val="000000"/>
                      <w:sz w:val="24"/>
                      <w:szCs w:val="24"/>
                    </w:rPr>
                  </w:pPr>
                  <w:r w:rsidRPr="00E54420">
                    <w:rPr>
                      <w:rFonts w:ascii="Book Antiqua" w:hAnsi="Book Antiqua"/>
                      <w:color w:val="000000"/>
                      <w:sz w:val="24"/>
                      <w:szCs w:val="24"/>
                    </w:rPr>
                    <w:t>3. Interest Rates</w:t>
                  </w:r>
                </w:p>
              </w:tc>
              <w:tc>
                <w:tcPr>
                  <w:tcW w:w="1016" w:type="dxa"/>
                  <w:tcBorders>
                    <w:top w:val="nil"/>
                    <w:left w:val="nil"/>
                    <w:bottom w:val="single" w:sz="4" w:space="0" w:color="auto"/>
                    <w:right w:val="single" w:sz="4" w:space="0" w:color="auto"/>
                  </w:tcBorders>
                  <w:shd w:val="clear" w:color="auto" w:fill="auto"/>
                  <w:hideMark/>
                </w:tcPr>
                <w:p w14:paraId="002FAE52"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0.17</w:t>
                  </w:r>
                </w:p>
              </w:tc>
              <w:tc>
                <w:tcPr>
                  <w:tcW w:w="803" w:type="dxa"/>
                  <w:tcBorders>
                    <w:top w:val="nil"/>
                    <w:left w:val="nil"/>
                    <w:bottom w:val="single" w:sz="4" w:space="0" w:color="auto"/>
                    <w:right w:val="single" w:sz="4" w:space="0" w:color="auto"/>
                  </w:tcBorders>
                  <w:shd w:val="clear" w:color="auto" w:fill="auto"/>
                  <w:hideMark/>
                </w:tcPr>
                <w:p w14:paraId="403F3A9C"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3</w:t>
                  </w:r>
                </w:p>
              </w:tc>
              <w:tc>
                <w:tcPr>
                  <w:tcW w:w="810" w:type="dxa"/>
                  <w:vMerge/>
                  <w:tcBorders>
                    <w:top w:val="nil"/>
                    <w:left w:val="single" w:sz="4" w:space="0" w:color="auto"/>
                    <w:bottom w:val="single" w:sz="4" w:space="0" w:color="auto"/>
                    <w:right w:val="single" w:sz="4" w:space="0" w:color="auto"/>
                  </w:tcBorders>
                  <w:vAlign w:val="center"/>
                  <w:hideMark/>
                </w:tcPr>
                <w:p w14:paraId="54B83CB4" w14:textId="77777777" w:rsidR="00855285" w:rsidRPr="00E54420" w:rsidRDefault="00855285" w:rsidP="00855285">
                  <w:pPr>
                    <w:spacing w:after="0" w:line="240" w:lineRule="auto"/>
                    <w:rPr>
                      <w:rFonts w:ascii="Book Antiqua" w:hAnsi="Book Antiqua"/>
                      <w:color w:val="000000"/>
                      <w:sz w:val="24"/>
                      <w:szCs w:val="24"/>
                    </w:rPr>
                  </w:pPr>
                </w:p>
              </w:tc>
            </w:tr>
            <w:tr w:rsidR="00855285" w:rsidRPr="00E54420" w14:paraId="2EA3BE7C" w14:textId="77777777" w:rsidTr="007F2E78">
              <w:trPr>
                <w:trHeight w:val="308"/>
              </w:trPr>
              <w:tc>
                <w:tcPr>
                  <w:tcW w:w="5400" w:type="dxa"/>
                  <w:tcBorders>
                    <w:top w:val="nil"/>
                    <w:left w:val="single" w:sz="4" w:space="0" w:color="auto"/>
                    <w:bottom w:val="single" w:sz="4" w:space="0" w:color="auto"/>
                    <w:right w:val="single" w:sz="4" w:space="0" w:color="auto"/>
                  </w:tcBorders>
                  <w:shd w:val="clear" w:color="auto" w:fill="auto"/>
                  <w:noWrap/>
                  <w:hideMark/>
                </w:tcPr>
                <w:p w14:paraId="2DE0F6F8" w14:textId="77777777" w:rsidR="00855285" w:rsidRPr="00E54420" w:rsidRDefault="00855285" w:rsidP="00855285">
                  <w:pPr>
                    <w:spacing w:after="0" w:line="240" w:lineRule="auto"/>
                    <w:rPr>
                      <w:rFonts w:ascii="Book Antiqua" w:hAnsi="Book Antiqua"/>
                      <w:color w:val="000000"/>
                      <w:sz w:val="24"/>
                      <w:szCs w:val="24"/>
                    </w:rPr>
                  </w:pPr>
                  <w:r w:rsidRPr="00E54420">
                    <w:rPr>
                      <w:rFonts w:ascii="Book Antiqua" w:hAnsi="Book Antiqua"/>
                      <w:color w:val="000000"/>
                      <w:sz w:val="24"/>
                      <w:szCs w:val="24"/>
                    </w:rPr>
                    <w:t>4. Economic Growth</w:t>
                  </w:r>
                </w:p>
              </w:tc>
              <w:tc>
                <w:tcPr>
                  <w:tcW w:w="1016" w:type="dxa"/>
                  <w:tcBorders>
                    <w:top w:val="nil"/>
                    <w:left w:val="nil"/>
                    <w:bottom w:val="single" w:sz="4" w:space="0" w:color="auto"/>
                    <w:right w:val="single" w:sz="4" w:space="0" w:color="auto"/>
                  </w:tcBorders>
                  <w:shd w:val="clear" w:color="auto" w:fill="auto"/>
                  <w:hideMark/>
                </w:tcPr>
                <w:p w14:paraId="2A6F6262"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0.18</w:t>
                  </w:r>
                </w:p>
              </w:tc>
              <w:tc>
                <w:tcPr>
                  <w:tcW w:w="803" w:type="dxa"/>
                  <w:tcBorders>
                    <w:top w:val="nil"/>
                    <w:left w:val="nil"/>
                    <w:bottom w:val="single" w:sz="4" w:space="0" w:color="auto"/>
                    <w:right w:val="single" w:sz="4" w:space="0" w:color="auto"/>
                  </w:tcBorders>
                  <w:shd w:val="clear" w:color="auto" w:fill="auto"/>
                  <w:hideMark/>
                </w:tcPr>
                <w:p w14:paraId="0E1E1EB9"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3</w:t>
                  </w:r>
                </w:p>
              </w:tc>
              <w:tc>
                <w:tcPr>
                  <w:tcW w:w="810" w:type="dxa"/>
                  <w:vMerge/>
                  <w:tcBorders>
                    <w:top w:val="nil"/>
                    <w:left w:val="single" w:sz="4" w:space="0" w:color="auto"/>
                    <w:bottom w:val="single" w:sz="4" w:space="0" w:color="auto"/>
                    <w:right w:val="single" w:sz="4" w:space="0" w:color="auto"/>
                  </w:tcBorders>
                  <w:vAlign w:val="center"/>
                  <w:hideMark/>
                </w:tcPr>
                <w:p w14:paraId="348D5FDF" w14:textId="77777777" w:rsidR="00855285" w:rsidRPr="00E54420" w:rsidRDefault="00855285" w:rsidP="00855285">
                  <w:pPr>
                    <w:spacing w:after="0" w:line="240" w:lineRule="auto"/>
                    <w:rPr>
                      <w:rFonts w:ascii="Book Antiqua" w:hAnsi="Book Antiqua"/>
                      <w:color w:val="000000"/>
                      <w:sz w:val="24"/>
                      <w:szCs w:val="24"/>
                    </w:rPr>
                  </w:pPr>
                </w:p>
              </w:tc>
            </w:tr>
            <w:tr w:rsidR="00855285" w:rsidRPr="00E54420" w14:paraId="27FD6686" w14:textId="77777777" w:rsidTr="007F2E78">
              <w:trPr>
                <w:trHeight w:val="308"/>
              </w:trPr>
              <w:tc>
                <w:tcPr>
                  <w:tcW w:w="5400" w:type="dxa"/>
                  <w:tcBorders>
                    <w:top w:val="nil"/>
                    <w:left w:val="single" w:sz="4" w:space="0" w:color="auto"/>
                    <w:bottom w:val="single" w:sz="4" w:space="0" w:color="auto"/>
                    <w:right w:val="single" w:sz="4" w:space="0" w:color="auto"/>
                  </w:tcBorders>
                  <w:shd w:val="clear" w:color="auto" w:fill="auto"/>
                  <w:noWrap/>
                  <w:hideMark/>
                </w:tcPr>
                <w:p w14:paraId="5ACF7808" w14:textId="77777777" w:rsidR="00855285" w:rsidRPr="00E54420" w:rsidRDefault="00855285" w:rsidP="00855285">
                  <w:pPr>
                    <w:spacing w:after="0" w:line="240" w:lineRule="auto"/>
                    <w:rPr>
                      <w:rFonts w:ascii="Book Antiqua" w:hAnsi="Book Antiqua"/>
                      <w:color w:val="000000"/>
                      <w:sz w:val="24"/>
                      <w:szCs w:val="24"/>
                    </w:rPr>
                  </w:pPr>
                  <w:r w:rsidRPr="00E54420">
                    <w:rPr>
                      <w:rFonts w:ascii="Book Antiqua" w:hAnsi="Book Antiqua"/>
                      <w:color w:val="000000"/>
                      <w:sz w:val="24"/>
                      <w:szCs w:val="24"/>
                    </w:rPr>
                    <w:t>5. International Gold Price</w:t>
                  </w:r>
                </w:p>
              </w:tc>
              <w:tc>
                <w:tcPr>
                  <w:tcW w:w="1016" w:type="dxa"/>
                  <w:tcBorders>
                    <w:top w:val="nil"/>
                    <w:left w:val="nil"/>
                    <w:bottom w:val="single" w:sz="4" w:space="0" w:color="auto"/>
                    <w:right w:val="single" w:sz="4" w:space="0" w:color="auto"/>
                  </w:tcBorders>
                  <w:shd w:val="clear" w:color="auto" w:fill="auto"/>
                  <w:hideMark/>
                </w:tcPr>
                <w:p w14:paraId="643CB4B4"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0.19</w:t>
                  </w:r>
                </w:p>
              </w:tc>
              <w:tc>
                <w:tcPr>
                  <w:tcW w:w="803" w:type="dxa"/>
                  <w:tcBorders>
                    <w:top w:val="nil"/>
                    <w:left w:val="nil"/>
                    <w:bottom w:val="single" w:sz="4" w:space="0" w:color="auto"/>
                    <w:right w:val="single" w:sz="4" w:space="0" w:color="auto"/>
                  </w:tcBorders>
                  <w:shd w:val="clear" w:color="auto" w:fill="auto"/>
                  <w:hideMark/>
                </w:tcPr>
                <w:p w14:paraId="07ED4984"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3</w:t>
                  </w:r>
                </w:p>
              </w:tc>
              <w:tc>
                <w:tcPr>
                  <w:tcW w:w="810" w:type="dxa"/>
                  <w:vMerge/>
                  <w:tcBorders>
                    <w:top w:val="nil"/>
                    <w:left w:val="single" w:sz="4" w:space="0" w:color="auto"/>
                    <w:bottom w:val="single" w:sz="4" w:space="0" w:color="auto"/>
                    <w:right w:val="single" w:sz="4" w:space="0" w:color="auto"/>
                  </w:tcBorders>
                  <w:vAlign w:val="center"/>
                  <w:hideMark/>
                </w:tcPr>
                <w:p w14:paraId="352A048D" w14:textId="77777777" w:rsidR="00855285" w:rsidRPr="00E54420" w:rsidRDefault="00855285" w:rsidP="00855285">
                  <w:pPr>
                    <w:spacing w:after="0" w:line="240" w:lineRule="auto"/>
                    <w:rPr>
                      <w:rFonts w:ascii="Book Antiqua" w:hAnsi="Book Antiqua"/>
                      <w:color w:val="000000"/>
                      <w:sz w:val="24"/>
                      <w:szCs w:val="24"/>
                    </w:rPr>
                  </w:pPr>
                </w:p>
              </w:tc>
            </w:tr>
            <w:tr w:rsidR="00855285" w:rsidRPr="00E54420" w14:paraId="4FE1BB8F" w14:textId="77777777" w:rsidTr="007F2E78">
              <w:trPr>
                <w:trHeight w:val="308"/>
              </w:trPr>
              <w:tc>
                <w:tcPr>
                  <w:tcW w:w="5400" w:type="dxa"/>
                  <w:tcBorders>
                    <w:top w:val="nil"/>
                    <w:left w:val="single" w:sz="4" w:space="0" w:color="auto"/>
                    <w:bottom w:val="single" w:sz="4" w:space="0" w:color="auto"/>
                    <w:right w:val="single" w:sz="4" w:space="0" w:color="auto"/>
                  </w:tcBorders>
                  <w:shd w:val="clear" w:color="auto" w:fill="auto"/>
                  <w:noWrap/>
                  <w:hideMark/>
                </w:tcPr>
                <w:p w14:paraId="3F52D93A" w14:textId="10E9D11A" w:rsidR="00855285" w:rsidRPr="00E54420" w:rsidRDefault="00855285" w:rsidP="00855285">
                  <w:pPr>
                    <w:spacing w:after="0" w:line="240" w:lineRule="auto"/>
                    <w:rPr>
                      <w:rFonts w:ascii="Book Antiqua" w:hAnsi="Book Antiqua"/>
                      <w:b/>
                      <w:bCs/>
                      <w:color w:val="000000"/>
                      <w:sz w:val="24"/>
                      <w:szCs w:val="24"/>
                    </w:rPr>
                  </w:pPr>
                  <w:r w:rsidRPr="00E54420">
                    <w:rPr>
                      <w:rFonts w:ascii="Book Antiqua" w:hAnsi="Book Antiqua"/>
                      <w:b/>
                      <w:bCs/>
                      <w:color w:val="000000"/>
                      <w:sz w:val="24"/>
                      <w:szCs w:val="24"/>
                    </w:rPr>
                    <w:t>R</w:t>
                  </w:r>
                  <w:r w:rsidR="00D60F0C">
                    <w:rPr>
                      <w:rFonts w:ascii="Book Antiqua" w:hAnsi="Book Antiqua"/>
                      <w:b/>
                      <w:bCs/>
                      <w:color w:val="000000"/>
                      <w:sz w:val="24"/>
                      <w:szCs w:val="24"/>
                    </w:rPr>
                    <w:t>isk</w:t>
                  </w:r>
                </w:p>
              </w:tc>
              <w:tc>
                <w:tcPr>
                  <w:tcW w:w="1016" w:type="dxa"/>
                  <w:tcBorders>
                    <w:top w:val="nil"/>
                    <w:left w:val="nil"/>
                    <w:bottom w:val="single" w:sz="4" w:space="0" w:color="auto"/>
                    <w:right w:val="single" w:sz="4" w:space="0" w:color="auto"/>
                  </w:tcBorders>
                  <w:shd w:val="clear" w:color="auto" w:fill="auto"/>
                  <w:hideMark/>
                </w:tcPr>
                <w:p w14:paraId="686468E6"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 xml:space="preserve"> </w:t>
                  </w:r>
                </w:p>
              </w:tc>
              <w:tc>
                <w:tcPr>
                  <w:tcW w:w="803" w:type="dxa"/>
                  <w:tcBorders>
                    <w:top w:val="nil"/>
                    <w:left w:val="nil"/>
                    <w:bottom w:val="single" w:sz="4" w:space="0" w:color="auto"/>
                    <w:right w:val="single" w:sz="4" w:space="0" w:color="auto"/>
                  </w:tcBorders>
                  <w:shd w:val="clear" w:color="auto" w:fill="auto"/>
                  <w:hideMark/>
                </w:tcPr>
                <w:p w14:paraId="6F192FCB"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 </w:t>
                  </w:r>
                </w:p>
              </w:tc>
              <w:tc>
                <w:tcPr>
                  <w:tcW w:w="810" w:type="dxa"/>
                  <w:tcBorders>
                    <w:top w:val="nil"/>
                    <w:left w:val="nil"/>
                    <w:bottom w:val="single" w:sz="4" w:space="0" w:color="auto"/>
                    <w:right w:val="single" w:sz="4" w:space="0" w:color="auto"/>
                  </w:tcBorders>
                  <w:shd w:val="clear" w:color="auto" w:fill="auto"/>
                  <w:noWrap/>
                  <w:hideMark/>
                </w:tcPr>
                <w:p w14:paraId="344B82B2"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 </w:t>
                  </w:r>
                </w:p>
              </w:tc>
            </w:tr>
            <w:tr w:rsidR="00855285" w:rsidRPr="00E54420" w14:paraId="0910685A" w14:textId="77777777" w:rsidTr="007F2E78">
              <w:trPr>
                <w:trHeight w:val="308"/>
              </w:trPr>
              <w:tc>
                <w:tcPr>
                  <w:tcW w:w="5400" w:type="dxa"/>
                  <w:tcBorders>
                    <w:top w:val="nil"/>
                    <w:left w:val="single" w:sz="4" w:space="0" w:color="auto"/>
                    <w:bottom w:val="single" w:sz="4" w:space="0" w:color="auto"/>
                    <w:right w:val="single" w:sz="4" w:space="0" w:color="auto"/>
                  </w:tcBorders>
                  <w:shd w:val="clear" w:color="auto" w:fill="auto"/>
                  <w:noWrap/>
                  <w:hideMark/>
                </w:tcPr>
                <w:p w14:paraId="21E52F13" w14:textId="77777777" w:rsidR="00855285" w:rsidRPr="00E54420" w:rsidRDefault="00855285" w:rsidP="00855285">
                  <w:pPr>
                    <w:spacing w:after="0" w:line="240" w:lineRule="auto"/>
                    <w:rPr>
                      <w:rFonts w:ascii="Book Antiqua" w:hAnsi="Book Antiqua"/>
                      <w:color w:val="000000"/>
                      <w:sz w:val="24"/>
                      <w:szCs w:val="24"/>
                    </w:rPr>
                  </w:pPr>
                  <w:r w:rsidRPr="00E54420">
                    <w:rPr>
                      <w:rFonts w:ascii="Book Antiqua" w:hAnsi="Book Antiqua"/>
                      <w:color w:val="000000"/>
                      <w:sz w:val="24"/>
                      <w:szCs w:val="24"/>
                    </w:rPr>
                    <w:t>1. Yield</w:t>
                  </w:r>
                </w:p>
              </w:tc>
              <w:tc>
                <w:tcPr>
                  <w:tcW w:w="1016" w:type="dxa"/>
                  <w:tcBorders>
                    <w:top w:val="nil"/>
                    <w:left w:val="nil"/>
                    <w:bottom w:val="single" w:sz="4" w:space="0" w:color="auto"/>
                    <w:right w:val="single" w:sz="4" w:space="0" w:color="auto"/>
                  </w:tcBorders>
                  <w:shd w:val="clear" w:color="auto" w:fill="auto"/>
                  <w:hideMark/>
                </w:tcPr>
                <w:p w14:paraId="704BA25F"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0.26</w:t>
                  </w:r>
                </w:p>
              </w:tc>
              <w:tc>
                <w:tcPr>
                  <w:tcW w:w="803" w:type="dxa"/>
                  <w:tcBorders>
                    <w:top w:val="nil"/>
                    <w:left w:val="nil"/>
                    <w:bottom w:val="single" w:sz="4" w:space="0" w:color="auto"/>
                    <w:right w:val="single" w:sz="4" w:space="0" w:color="auto"/>
                  </w:tcBorders>
                  <w:shd w:val="clear" w:color="auto" w:fill="auto"/>
                  <w:hideMark/>
                </w:tcPr>
                <w:p w14:paraId="20A118BD"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2</w:t>
                  </w:r>
                </w:p>
              </w:tc>
              <w:tc>
                <w:tcPr>
                  <w:tcW w:w="810" w:type="dxa"/>
                  <w:vMerge w:val="restart"/>
                  <w:tcBorders>
                    <w:top w:val="nil"/>
                    <w:left w:val="single" w:sz="4" w:space="0" w:color="auto"/>
                    <w:bottom w:val="single" w:sz="4" w:space="0" w:color="auto"/>
                    <w:right w:val="single" w:sz="4" w:space="0" w:color="auto"/>
                  </w:tcBorders>
                  <w:shd w:val="clear" w:color="auto" w:fill="auto"/>
                  <w:noWrap/>
                  <w:hideMark/>
                </w:tcPr>
                <w:p w14:paraId="5F3ED8CF"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0.373</w:t>
                  </w:r>
                </w:p>
              </w:tc>
            </w:tr>
            <w:tr w:rsidR="00855285" w:rsidRPr="00E54420" w14:paraId="487A40CD" w14:textId="77777777" w:rsidTr="007F2E78">
              <w:trPr>
                <w:trHeight w:val="308"/>
              </w:trPr>
              <w:tc>
                <w:tcPr>
                  <w:tcW w:w="5400" w:type="dxa"/>
                  <w:tcBorders>
                    <w:top w:val="nil"/>
                    <w:left w:val="single" w:sz="4" w:space="0" w:color="auto"/>
                    <w:bottom w:val="single" w:sz="4" w:space="0" w:color="auto"/>
                    <w:right w:val="single" w:sz="4" w:space="0" w:color="auto"/>
                  </w:tcBorders>
                  <w:shd w:val="clear" w:color="auto" w:fill="auto"/>
                  <w:noWrap/>
                  <w:hideMark/>
                </w:tcPr>
                <w:p w14:paraId="557FEE6E" w14:textId="77777777" w:rsidR="00855285" w:rsidRPr="00E54420" w:rsidRDefault="00855285" w:rsidP="00855285">
                  <w:pPr>
                    <w:spacing w:after="0" w:line="240" w:lineRule="auto"/>
                    <w:rPr>
                      <w:rFonts w:ascii="Book Antiqua" w:hAnsi="Book Antiqua"/>
                      <w:color w:val="000000"/>
                      <w:sz w:val="24"/>
                      <w:szCs w:val="24"/>
                    </w:rPr>
                  </w:pPr>
                  <w:r w:rsidRPr="00E54420">
                    <w:rPr>
                      <w:rFonts w:ascii="Book Antiqua" w:hAnsi="Book Antiqua"/>
                      <w:color w:val="000000"/>
                      <w:sz w:val="24"/>
                      <w:szCs w:val="24"/>
                    </w:rPr>
                    <w:t>2. Market</w:t>
                  </w:r>
                </w:p>
              </w:tc>
              <w:tc>
                <w:tcPr>
                  <w:tcW w:w="1016" w:type="dxa"/>
                  <w:tcBorders>
                    <w:top w:val="nil"/>
                    <w:left w:val="nil"/>
                    <w:bottom w:val="single" w:sz="4" w:space="0" w:color="auto"/>
                    <w:right w:val="single" w:sz="4" w:space="0" w:color="auto"/>
                  </w:tcBorders>
                  <w:shd w:val="clear" w:color="auto" w:fill="auto"/>
                  <w:hideMark/>
                </w:tcPr>
                <w:p w14:paraId="27EAD278"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0.29</w:t>
                  </w:r>
                </w:p>
              </w:tc>
              <w:tc>
                <w:tcPr>
                  <w:tcW w:w="803" w:type="dxa"/>
                  <w:tcBorders>
                    <w:top w:val="nil"/>
                    <w:left w:val="nil"/>
                    <w:bottom w:val="single" w:sz="4" w:space="0" w:color="auto"/>
                    <w:right w:val="single" w:sz="4" w:space="0" w:color="auto"/>
                  </w:tcBorders>
                  <w:shd w:val="clear" w:color="auto" w:fill="auto"/>
                  <w:hideMark/>
                </w:tcPr>
                <w:p w14:paraId="76991DA2"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1</w:t>
                  </w:r>
                </w:p>
              </w:tc>
              <w:tc>
                <w:tcPr>
                  <w:tcW w:w="810" w:type="dxa"/>
                  <w:vMerge/>
                  <w:tcBorders>
                    <w:top w:val="nil"/>
                    <w:left w:val="single" w:sz="4" w:space="0" w:color="auto"/>
                    <w:bottom w:val="single" w:sz="4" w:space="0" w:color="auto"/>
                    <w:right w:val="single" w:sz="4" w:space="0" w:color="auto"/>
                  </w:tcBorders>
                  <w:vAlign w:val="center"/>
                  <w:hideMark/>
                </w:tcPr>
                <w:p w14:paraId="6B12BA19" w14:textId="77777777" w:rsidR="00855285" w:rsidRPr="00E54420" w:rsidRDefault="00855285" w:rsidP="00855285">
                  <w:pPr>
                    <w:spacing w:after="0" w:line="240" w:lineRule="auto"/>
                    <w:rPr>
                      <w:rFonts w:ascii="Book Antiqua" w:hAnsi="Book Antiqua"/>
                      <w:color w:val="000000"/>
                      <w:sz w:val="24"/>
                      <w:szCs w:val="24"/>
                    </w:rPr>
                  </w:pPr>
                </w:p>
              </w:tc>
            </w:tr>
            <w:tr w:rsidR="00855285" w:rsidRPr="00E54420" w14:paraId="61A82989" w14:textId="77777777" w:rsidTr="007F2E78">
              <w:trPr>
                <w:trHeight w:val="308"/>
              </w:trPr>
              <w:tc>
                <w:tcPr>
                  <w:tcW w:w="5400" w:type="dxa"/>
                  <w:tcBorders>
                    <w:top w:val="nil"/>
                    <w:left w:val="single" w:sz="4" w:space="0" w:color="auto"/>
                    <w:bottom w:val="single" w:sz="4" w:space="0" w:color="auto"/>
                    <w:right w:val="single" w:sz="4" w:space="0" w:color="auto"/>
                  </w:tcBorders>
                  <w:shd w:val="clear" w:color="auto" w:fill="auto"/>
                  <w:noWrap/>
                  <w:hideMark/>
                </w:tcPr>
                <w:p w14:paraId="1514CBB9" w14:textId="77777777" w:rsidR="00855285" w:rsidRPr="00E54420" w:rsidRDefault="00855285" w:rsidP="00855285">
                  <w:pPr>
                    <w:spacing w:after="0" w:line="240" w:lineRule="auto"/>
                    <w:rPr>
                      <w:rFonts w:ascii="Book Antiqua" w:hAnsi="Book Antiqua"/>
                      <w:color w:val="000000"/>
                      <w:sz w:val="24"/>
                      <w:szCs w:val="24"/>
                    </w:rPr>
                  </w:pPr>
                  <w:r w:rsidRPr="00E54420">
                    <w:rPr>
                      <w:rFonts w:ascii="Book Antiqua" w:hAnsi="Book Antiqua"/>
                      <w:color w:val="000000"/>
                      <w:sz w:val="24"/>
                      <w:szCs w:val="24"/>
                    </w:rPr>
                    <w:t>3. Liquidity</w:t>
                  </w:r>
                </w:p>
              </w:tc>
              <w:tc>
                <w:tcPr>
                  <w:tcW w:w="1016" w:type="dxa"/>
                  <w:tcBorders>
                    <w:top w:val="nil"/>
                    <w:left w:val="nil"/>
                    <w:bottom w:val="single" w:sz="4" w:space="0" w:color="auto"/>
                    <w:right w:val="single" w:sz="4" w:space="0" w:color="auto"/>
                  </w:tcBorders>
                  <w:shd w:val="clear" w:color="auto" w:fill="auto"/>
                  <w:hideMark/>
                </w:tcPr>
                <w:p w14:paraId="59D8241D"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0.26</w:t>
                  </w:r>
                </w:p>
              </w:tc>
              <w:tc>
                <w:tcPr>
                  <w:tcW w:w="803" w:type="dxa"/>
                  <w:tcBorders>
                    <w:top w:val="nil"/>
                    <w:left w:val="nil"/>
                    <w:bottom w:val="single" w:sz="4" w:space="0" w:color="auto"/>
                    <w:right w:val="single" w:sz="4" w:space="0" w:color="auto"/>
                  </w:tcBorders>
                  <w:shd w:val="clear" w:color="auto" w:fill="auto"/>
                  <w:hideMark/>
                </w:tcPr>
                <w:p w14:paraId="53EE574F"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3</w:t>
                  </w:r>
                </w:p>
              </w:tc>
              <w:tc>
                <w:tcPr>
                  <w:tcW w:w="810" w:type="dxa"/>
                  <w:vMerge/>
                  <w:tcBorders>
                    <w:top w:val="nil"/>
                    <w:left w:val="single" w:sz="4" w:space="0" w:color="auto"/>
                    <w:bottom w:val="single" w:sz="4" w:space="0" w:color="auto"/>
                    <w:right w:val="single" w:sz="4" w:space="0" w:color="auto"/>
                  </w:tcBorders>
                  <w:vAlign w:val="center"/>
                  <w:hideMark/>
                </w:tcPr>
                <w:p w14:paraId="79984551" w14:textId="77777777" w:rsidR="00855285" w:rsidRPr="00E54420" w:rsidRDefault="00855285" w:rsidP="00855285">
                  <w:pPr>
                    <w:spacing w:after="0" w:line="240" w:lineRule="auto"/>
                    <w:rPr>
                      <w:rFonts w:ascii="Book Antiqua" w:hAnsi="Book Antiqua"/>
                      <w:color w:val="000000"/>
                      <w:sz w:val="24"/>
                      <w:szCs w:val="24"/>
                    </w:rPr>
                  </w:pPr>
                </w:p>
              </w:tc>
            </w:tr>
            <w:tr w:rsidR="00855285" w:rsidRPr="00E54420" w14:paraId="1EAB1346" w14:textId="77777777" w:rsidTr="007F2E78">
              <w:trPr>
                <w:trHeight w:val="308"/>
              </w:trPr>
              <w:tc>
                <w:tcPr>
                  <w:tcW w:w="5400" w:type="dxa"/>
                  <w:tcBorders>
                    <w:top w:val="nil"/>
                    <w:left w:val="single" w:sz="4" w:space="0" w:color="auto"/>
                    <w:bottom w:val="single" w:sz="4" w:space="0" w:color="auto"/>
                    <w:right w:val="single" w:sz="4" w:space="0" w:color="auto"/>
                  </w:tcBorders>
                  <w:shd w:val="clear" w:color="auto" w:fill="auto"/>
                  <w:noWrap/>
                  <w:hideMark/>
                </w:tcPr>
                <w:p w14:paraId="0B4E6961" w14:textId="77777777" w:rsidR="00855285" w:rsidRPr="00E54420" w:rsidRDefault="00855285" w:rsidP="00855285">
                  <w:pPr>
                    <w:spacing w:after="0" w:line="240" w:lineRule="auto"/>
                    <w:rPr>
                      <w:rFonts w:ascii="Book Antiqua" w:hAnsi="Book Antiqua"/>
                      <w:color w:val="000000"/>
                      <w:sz w:val="24"/>
                      <w:szCs w:val="24"/>
                    </w:rPr>
                  </w:pPr>
                  <w:r w:rsidRPr="00E54420">
                    <w:rPr>
                      <w:rFonts w:ascii="Book Antiqua" w:hAnsi="Book Antiqua"/>
                      <w:color w:val="000000"/>
                      <w:sz w:val="24"/>
                      <w:szCs w:val="24"/>
                    </w:rPr>
                    <w:t>4. Operational</w:t>
                  </w:r>
                </w:p>
              </w:tc>
              <w:tc>
                <w:tcPr>
                  <w:tcW w:w="1016" w:type="dxa"/>
                  <w:tcBorders>
                    <w:top w:val="nil"/>
                    <w:left w:val="nil"/>
                    <w:bottom w:val="single" w:sz="4" w:space="0" w:color="auto"/>
                    <w:right w:val="single" w:sz="4" w:space="0" w:color="auto"/>
                  </w:tcBorders>
                  <w:shd w:val="clear" w:color="auto" w:fill="auto"/>
                  <w:hideMark/>
                </w:tcPr>
                <w:p w14:paraId="5A2D6456"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0.18</w:t>
                  </w:r>
                </w:p>
              </w:tc>
              <w:tc>
                <w:tcPr>
                  <w:tcW w:w="803" w:type="dxa"/>
                  <w:tcBorders>
                    <w:top w:val="nil"/>
                    <w:left w:val="nil"/>
                    <w:bottom w:val="single" w:sz="4" w:space="0" w:color="auto"/>
                    <w:right w:val="single" w:sz="4" w:space="0" w:color="auto"/>
                  </w:tcBorders>
                  <w:shd w:val="clear" w:color="auto" w:fill="auto"/>
                  <w:hideMark/>
                </w:tcPr>
                <w:p w14:paraId="1A6F16A1"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4</w:t>
                  </w:r>
                </w:p>
              </w:tc>
              <w:tc>
                <w:tcPr>
                  <w:tcW w:w="810" w:type="dxa"/>
                  <w:tcBorders>
                    <w:top w:val="nil"/>
                    <w:left w:val="nil"/>
                    <w:bottom w:val="single" w:sz="4" w:space="0" w:color="auto"/>
                    <w:right w:val="single" w:sz="4" w:space="0" w:color="auto"/>
                  </w:tcBorders>
                  <w:shd w:val="clear" w:color="auto" w:fill="auto"/>
                  <w:noWrap/>
                  <w:hideMark/>
                </w:tcPr>
                <w:p w14:paraId="32C3DABB"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 </w:t>
                  </w:r>
                </w:p>
              </w:tc>
            </w:tr>
            <w:tr w:rsidR="00855285" w:rsidRPr="00E54420" w14:paraId="655A0B70" w14:textId="77777777" w:rsidTr="007F2E78">
              <w:trPr>
                <w:trHeight w:val="308"/>
              </w:trPr>
              <w:tc>
                <w:tcPr>
                  <w:tcW w:w="5400" w:type="dxa"/>
                  <w:tcBorders>
                    <w:top w:val="nil"/>
                    <w:left w:val="single" w:sz="4" w:space="0" w:color="auto"/>
                    <w:bottom w:val="single" w:sz="4" w:space="0" w:color="auto"/>
                    <w:right w:val="single" w:sz="4" w:space="0" w:color="auto"/>
                  </w:tcBorders>
                  <w:shd w:val="clear" w:color="auto" w:fill="auto"/>
                  <w:noWrap/>
                  <w:hideMark/>
                </w:tcPr>
                <w:p w14:paraId="240F2804" w14:textId="77777777" w:rsidR="00855285" w:rsidRPr="00E54420" w:rsidRDefault="00855285" w:rsidP="00855285">
                  <w:pPr>
                    <w:spacing w:after="0" w:line="240" w:lineRule="auto"/>
                    <w:rPr>
                      <w:rFonts w:ascii="Book Antiqua" w:hAnsi="Book Antiqua"/>
                      <w:b/>
                      <w:bCs/>
                      <w:color w:val="000000"/>
                      <w:sz w:val="24"/>
                      <w:szCs w:val="24"/>
                    </w:rPr>
                  </w:pPr>
                  <w:r w:rsidRPr="00E54420">
                    <w:rPr>
                      <w:rFonts w:ascii="Book Antiqua" w:hAnsi="Book Antiqua"/>
                      <w:b/>
                      <w:bCs/>
                      <w:color w:val="000000"/>
                      <w:sz w:val="24"/>
                      <w:szCs w:val="24"/>
                    </w:rPr>
                    <w:t>Sharia-Comply</w:t>
                  </w:r>
                </w:p>
              </w:tc>
              <w:tc>
                <w:tcPr>
                  <w:tcW w:w="1016" w:type="dxa"/>
                  <w:tcBorders>
                    <w:top w:val="nil"/>
                    <w:left w:val="nil"/>
                    <w:bottom w:val="single" w:sz="4" w:space="0" w:color="auto"/>
                    <w:right w:val="single" w:sz="4" w:space="0" w:color="auto"/>
                  </w:tcBorders>
                  <w:shd w:val="clear" w:color="auto" w:fill="auto"/>
                  <w:hideMark/>
                </w:tcPr>
                <w:p w14:paraId="747EF525"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 xml:space="preserve"> </w:t>
                  </w:r>
                </w:p>
              </w:tc>
              <w:tc>
                <w:tcPr>
                  <w:tcW w:w="803" w:type="dxa"/>
                  <w:tcBorders>
                    <w:top w:val="nil"/>
                    <w:left w:val="nil"/>
                    <w:bottom w:val="single" w:sz="4" w:space="0" w:color="auto"/>
                    <w:right w:val="single" w:sz="4" w:space="0" w:color="auto"/>
                  </w:tcBorders>
                  <w:shd w:val="clear" w:color="auto" w:fill="auto"/>
                  <w:hideMark/>
                </w:tcPr>
                <w:p w14:paraId="458F8886"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 </w:t>
                  </w:r>
                </w:p>
              </w:tc>
              <w:tc>
                <w:tcPr>
                  <w:tcW w:w="810" w:type="dxa"/>
                  <w:tcBorders>
                    <w:top w:val="nil"/>
                    <w:left w:val="nil"/>
                    <w:bottom w:val="single" w:sz="4" w:space="0" w:color="auto"/>
                    <w:right w:val="single" w:sz="4" w:space="0" w:color="auto"/>
                  </w:tcBorders>
                  <w:shd w:val="clear" w:color="auto" w:fill="auto"/>
                  <w:noWrap/>
                  <w:hideMark/>
                </w:tcPr>
                <w:p w14:paraId="2E754EBA"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 </w:t>
                  </w:r>
                </w:p>
              </w:tc>
            </w:tr>
            <w:tr w:rsidR="00855285" w:rsidRPr="00E54420" w14:paraId="7A3F7B2B" w14:textId="77777777" w:rsidTr="007F2E78">
              <w:trPr>
                <w:trHeight w:val="308"/>
              </w:trPr>
              <w:tc>
                <w:tcPr>
                  <w:tcW w:w="5400" w:type="dxa"/>
                  <w:tcBorders>
                    <w:top w:val="nil"/>
                    <w:left w:val="single" w:sz="4" w:space="0" w:color="auto"/>
                    <w:bottom w:val="single" w:sz="4" w:space="0" w:color="auto"/>
                    <w:right w:val="single" w:sz="4" w:space="0" w:color="auto"/>
                  </w:tcBorders>
                  <w:shd w:val="clear" w:color="auto" w:fill="auto"/>
                  <w:noWrap/>
                  <w:hideMark/>
                </w:tcPr>
                <w:p w14:paraId="4A75A7AC" w14:textId="77777777" w:rsidR="00855285" w:rsidRPr="00E54420" w:rsidRDefault="00855285" w:rsidP="00855285">
                  <w:pPr>
                    <w:spacing w:after="0" w:line="240" w:lineRule="auto"/>
                    <w:rPr>
                      <w:rFonts w:ascii="Book Antiqua" w:hAnsi="Book Antiqua"/>
                      <w:color w:val="000000"/>
                      <w:sz w:val="24"/>
                      <w:szCs w:val="24"/>
                    </w:rPr>
                  </w:pPr>
                  <w:r w:rsidRPr="00E54420">
                    <w:rPr>
                      <w:rFonts w:ascii="Book Antiqua" w:hAnsi="Book Antiqua"/>
                      <w:color w:val="000000"/>
                      <w:sz w:val="24"/>
                      <w:szCs w:val="24"/>
                    </w:rPr>
                    <w:t>1. Gold-bar investment</w:t>
                  </w:r>
                </w:p>
              </w:tc>
              <w:tc>
                <w:tcPr>
                  <w:tcW w:w="1016" w:type="dxa"/>
                  <w:tcBorders>
                    <w:top w:val="nil"/>
                    <w:left w:val="nil"/>
                    <w:bottom w:val="single" w:sz="4" w:space="0" w:color="auto"/>
                    <w:right w:val="single" w:sz="4" w:space="0" w:color="auto"/>
                  </w:tcBorders>
                  <w:shd w:val="clear" w:color="auto" w:fill="auto"/>
                  <w:hideMark/>
                </w:tcPr>
                <w:p w14:paraId="1EAE3F1D"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0.53</w:t>
                  </w:r>
                </w:p>
              </w:tc>
              <w:tc>
                <w:tcPr>
                  <w:tcW w:w="803" w:type="dxa"/>
                  <w:tcBorders>
                    <w:top w:val="nil"/>
                    <w:left w:val="nil"/>
                    <w:bottom w:val="single" w:sz="4" w:space="0" w:color="auto"/>
                    <w:right w:val="single" w:sz="4" w:space="0" w:color="auto"/>
                  </w:tcBorders>
                  <w:shd w:val="clear" w:color="auto" w:fill="auto"/>
                  <w:hideMark/>
                </w:tcPr>
                <w:p w14:paraId="1DB7F5E8"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1</w:t>
                  </w:r>
                </w:p>
              </w:tc>
              <w:tc>
                <w:tcPr>
                  <w:tcW w:w="810" w:type="dxa"/>
                  <w:vMerge w:val="restart"/>
                  <w:tcBorders>
                    <w:top w:val="nil"/>
                    <w:left w:val="single" w:sz="4" w:space="0" w:color="auto"/>
                    <w:bottom w:val="single" w:sz="4" w:space="0" w:color="auto"/>
                    <w:right w:val="single" w:sz="4" w:space="0" w:color="auto"/>
                  </w:tcBorders>
                  <w:shd w:val="clear" w:color="auto" w:fill="auto"/>
                  <w:noWrap/>
                  <w:hideMark/>
                </w:tcPr>
                <w:p w14:paraId="35618BDD"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0.000</w:t>
                  </w:r>
                </w:p>
              </w:tc>
            </w:tr>
            <w:tr w:rsidR="00855285" w:rsidRPr="00E54420" w14:paraId="71342456" w14:textId="77777777" w:rsidTr="007F2E78">
              <w:trPr>
                <w:trHeight w:val="308"/>
              </w:trPr>
              <w:tc>
                <w:tcPr>
                  <w:tcW w:w="5400" w:type="dxa"/>
                  <w:tcBorders>
                    <w:top w:val="nil"/>
                    <w:left w:val="single" w:sz="4" w:space="0" w:color="auto"/>
                    <w:bottom w:val="single" w:sz="4" w:space="0" w:color="auto"/>
                    <w:right w:val="single" w:sz="4" w:space="0" w:color="auto"/>
                  </w:tcBorders>
                  <w:shd w:val="clear" w:color="auto" w:fill="auto"/>
                  <w:noWrap/>
                  <w:hideMark/>
                </w:tcPr>
                <w:p w14:paraId="70651150" w14:textId="77777777" w:rsidR="00855285" w:rsidRPr="00E54420" w:rsidRDefault="00855285" w:rsidP="00855285">
                  <w:pPr>
                    <w:spacing w:after="0" w:line="240" w:lineRule="auto"/>
                    <w:rPr>
                      <w:rFonts w:ascii="Book Antiqua" w:hAnsi="Book Antiqua"/>
                      <w:color w:val="000000"/>
                      <w:sz w:val="24"/>
                      <w:szCs w:val="24"/>
                    </w:rPr>
                  </w:pPr>
                  <w:r w:rsidRPr="00E54420">
                    <w:rPr>
                      <w:rFonts w:ascii="Book Antiqua" w:hAnsi="Book Antiqua"/>
                      <w:color w:val="000000"/>
                      <w:sz w:val="24"/>
                      <w:szCs w:val="24"/>
                    </w:rPr>
                    <w:t>2. Gold-account investment</w:t>
                  </w:r>
                </w:p>
              </w:tc>
              <w:tc>
                <w:tcPr>
                  <w:tcW w:w="1016" w:type="dxa"/>
                  <w:tcBorders>
                    <w:top w:val="nil"/>
                    <w:left w:val="nil"/>
                    <w:bottom w:val="single" w:sz="4" w:space="0" w:color="auto"/>
                    <w:right w:val="single" w:sz="4" w:space="0" w:color="auto"/>
                  </w:tcBorders>
                  <w:shd w:val="clear" w:color="auto" w:fill="auto"/>
                  <w:hideMark/>
                </w:tcPr>
                <w:p w14:paraId="70560B18"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0.47</w:t>
                  </w:r>
                </w:p>
              </w:tc>
              <w:tc>
                <w:tcPr>
                  <w:tcW w:w="803" w:type="dxa"/>
                  <w:tcBorders>
                    <w:top w:val="nil"/>
                    <w:left w:val="nil"/>
                    <w:bottom w:val="single" w:sz="4" w:space="0" w:color="auto"/>
                    <w:right w:val="single" w:sz="4" w:space="0" w:color="auto"/>
                  </w:tcBorders>
                  <w:shd w:val="clear" w:color="auto" w:fill="auto"/>
                  <w:hideMark/>
                </w:tcPr>
                <w:p w14:paraId="2FF47A40"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2</w:t>
                  </w:r>
                </w:p>
              </w:tc>
              <w:tc>
                <w:tcPr>
                  <w:tcW w:w="810" w:type="dxa"/>
                  <w:vMerge/>
                  <w:tcBorders>
                    <w:top w:val="nil"/>
                    <w:left w:val="single" w:sz="4" w:space="0" w:color="auto"/>
                    <w:bottom w:val="single" w:sz="4" w:space="0" w:color="auto"/>
                    <w:right w:val="single" w:sz="4" w:space="0" w:color="auto"/>
                  </w:tcBorders>
                  <w:vAlign w:val="center"/>
                  <w:hideMark/>
                </w:tcPr>
                <w:p w14:paraId="5102BDB2" w14:textId="77777777" w:rsidR="00855285" w:rsidRPr="00E54420" w:rsidRDefault="00855285" w:rsidP="00855285">
                  <w:pPr>
                    <w:spacing w:after="0" w:line="240" w:lineRule="auto"/>
                    <w:rPr>
                      <w:rFonts w:ascii="Book Antiqua" w:hAnsi="Book Antiqua"/>
                      <w:color w:val="000000"/>
                      <w:sz w:val="24"/>
                      <w:szCs w:val="24"/>
                    </w:rPr>
                  </w:pPr>
                </w:p>
              </w:tc>
            </w:tr>
            <w:tr w:rsidR="00855285" w:rsidRPr="00E54420" w14:paraId="564A7477" w14:textId="77777777" w:rsidTr="007F2E78">
              <w:trPr>
                <w:trHeight w:val="308"/>
              </w:trPr>
              <w:tc>
                <w:tcPr>
                  <w:tcW w:w="5400" w:type="dxa"/>
                  <w:tcBorders>
                    <w:top w:val="nil"/>
                    <w:left w:val="single" w:sz="4" w:space="0" w:color="auto"/>
                    <w:bottom w:val="single" w:sz="4" w:space="0" w:color="auto"/>
                    <w:right w:val="single" w:sz="4" w:space="0" w:color="auto"/>
                  </w:tcBorders>
                  <w:shd w:val="clear" w:color="auto" w:fill="auto"/>
                  <w:noWrap/>
                  <w:hideMark/>
                </w:tcPr>
                <w:p w14:paraId="7862ECCD" w14:textId="2DEA1403" w:rsidR="00855285" w:rsidRPr="00E54420" w:rsidRDefault="00855285" w:rsidP="00855285">
                  <w:pPr>
                    <w:spacing w:after="0" w:line="240" w:lineRule="auto"/>
                    <w:rPr>
                      <w:rFonts w:ascii="Book Antiqua" w:hAnsi="Book Antiqua"/>
                      <w:b/>
                      <w:bCs/>
                      <w:color w:val="000000"/>
                      <w:sz w:val="24"/>
                      <w:szCs w:val="24"/>
                    </w:rPr>
                  </w:pPr>
                  <w:r w:rsidRPr="00E54420">
                    <w:rPr>
                      <w:rFonts w:ascii="Book Antiqua" w:hAnsi="Book Antiqua"/>
                      <w:b/>
                      <w:bCs/>
                      <w:color w:val="000000"/>
                      <w:sz w:val="24"/>
                      <w:szCs w:val="24"/>
                    </w:rPr>
                    <w:t>Exit Strateg</w:t>
                  </w:r>
                  <w:r w:rsidR="00D60F0C">
                    <w:rPr>
                      <w:rFonts w:ascii="Book Antiqua" w:hAnsi="Book Antiqua"/>
                      <w:b/>
                      <w:bCs/>
                      <w:color w:val="000000"/>
                      <w:sz w:val="24"/>
                      <w:szCs w:val="24"/>
                    </w:rPr>
                    <w:t>y</w:t>
                  </w:r>
                </w:p>
              </w:tc>
              <w:tc>
                <w:tcPr>
                  <w:tcW w:w="1016" w:type="dxa"/>
                  <w:tcBorders>
                    <w:top w:val="nil"/>
                    <w:left w:val="nil"/>
                    <w:bottom w:val="single" w:sz="4" w:space="0" w:color="auto"/>
                    <w:right w:val="single" w:sz="4" w:space="0" w:color="auto"/>
                  </w:tcBorders>
                  <w:shd w:val="clear" w:color="auto" w:fill="auto"/>
                  <w:hideMark/>
                </w:tcPr>
                <w:p w14:paraId="06237487"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 xml:space="preserve"> </w:t>
                  </w:r>
                </w:p>
              </w:tc>
              <w:tc>
                <w:tcPr>
                  <w:tcW w:w="803" w:type="dxa"/>
                  <w:tcBorders>
                    <w:top w:val="nil"/>
                    <w:left w:val="nil"/>
                    <w:bottom w:val="single" w:sz="4" w:space="0" w:color="auto"/>
                    <w:right w:val="single" w:sz="4" w:space="0" w:color="auto"/>
                  </w:tcBorders>
                  <w:shd w:val="clear" w:color="auto" w:fill="auto"/>
                  <w:hideMark/>
                </w:tcPr>
                <w:p w14:paraId="193A22DB"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 </w:t>
                  </w:r>
                </w:p>
              </w:tc>
              <w:tc>
                <w:tcPr>
                  <w:tcW w:w="810" w:type="dxa"/>
                  <w:tcBorders>
                    <w:top w:val="nil"/>
                    <w:left w:val="nil"/>
                    <w:bottom w:val="single" w:sz="4" w:space="0" w:color="auto"/>
                    <w:right w:val="single" w:sz="4" w:space="0" w:color="auto"/>
                  </w:tcBorders>
                  <w:shd w:val="clear" w:color="auto" w:fill="auto"/>
                  <w:noWrap/>
                  <w:hideMark/>
                </w:tcPr>
                <w:p w14:paraId="6657EDCB"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 </w:t>
                  </w:r>
                </w:p>
              </w:tc>
            </w:tr>
            <w:tr w:rsidR="00855285" w:rsidRPr="00E54420" w14:paraId="53FBCAC4" w14:textId="77777777" w:rsidTr="007F2E78">
              <w:trPr>
                <w:trHeight w:val="308"/>
              </w:trPr>
              <w:tc>
                <w:tcPr>
                  <w:tcW w:w="5400" w:type="dxa"/>
                  <w:tcBorders>
                    <w:top w:val="nil"/>
                    <w:left w:val="single" w:sz="4" w:space="0" w:color="auto"/>
                    <w:bottom w:val="single" w:sz="4" w:space="0" w:color="auto"/>
                    <w:right w:val="single" w:sz="4" w:space="0" w:color="auto"/>
                  </w:tcBorders>
                  <w:shd w:val="clear" w:color="auto" w:fill="auto"/>
                  <w:noWrap/>
                  <w:hideMark/>
                </w:tcPr>
                <w:p w14:paraId="0162CC68" w14:textId="77777777" w:rsidR="00855285" w:rsidRPr="00E54420" w:rsidRDefault="00855285" w:rsidP="00855285">
                  <w:pPr>
                    <w:spacing w:after="0" w:line="240" w:lineRule="auto"/>
                    <w:rPr>
                      <w:rFonts w:ascii="Book Antiqua" w:hAnsi="Book Antiqua"/>
                      <w:color w:val="000000"/>
                      <w:sz w:val="24"/>
                      <w:szCs w:val="24"/>
                    </w:rPr>
                  </w:pPr>
                  <w:r w:rsidRPr="00E54420">
                    <w:rPr>
                      <w:rFonts w:ascii="Book Antiqua" w:hAnsi="Book Antiqua"/>
                      <w:color w:val="000000"/>
                      <w:sz w:val="24"/>
                      <w:szCs w:val="24"/>
                    </w:rPr>
                    <w:t>1. Gold Bullion selling to free market</w:t>
                  </w:r>
                </w:p>
              </w:tc>
              <w:tc>
                <w:tcPr>
                  <w:tcW w:w="1016" w:type="dxa"/>
                  <w:tcBorders>
                    <w:top w:val="nil"/>
                    <w:left w:val="nil"/>
                    <w:bottom w:val="single" w:sz="4" w:space="0" w:color="auto"/>
                    <w:right w:val="single" w:sz="4" w:space="0" w:color="auto"/>
                  </w:tcBorders>
                  <w:shd w:val="clear" w:color="auto" w:fill="auto"/>
                  <w:hideMark/>
                </w:tcPr>
                <w:p w14:paraId="464856B9"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0.45</w:t>
                  </w:r>
                </w:p>
              </w:tc>
              <w:tc>
                <w:tcPr>
                  <w:tcW w:w="803" w:type="dxa"/>
                  <w:tcBorders>
                    <w:top w:val="nil"/>
                    <w:left w:val="nil"/>
                    <w:bottom w:val="single" w:sz="4" w:space="0" w:color="auto"/>
                    <w:right w:val="single" w:sz="4" w:space="0" w:color="auto"/>
                  </w:tcBorders>
                  <w:shd w:val="clear" w:color="auto" w:fill="auto"/>
                  <w:hideMark/>
                </w:tcPr>
                <w:p w14:paraId="6033BFBD"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2</w:t>
                  </w:r>
                </w:p>
              </w:tc>
              <w:tc>
                <w:tcPr>
                  <w:tcW w:w="810" w:type="dxa"/>
                  <w:vMerge w:val="restart"/>
                  <w:tcBorders>
                    <w:top w:val="nil"/>
                    <w:left w:val="single" w:sz="4" w:space="0" w:color="auto"/>
                    <w:bottom w:val="single" w:sz="4" w:space="0" w:color="auto"/>
                    <w:right w:val="single" w:sz="4" w:space="0" w:color="auto"/>
                  </w:tcBorders>
                  <w:shd w:val="clear" w:color="auto" w:fill="auto"/>
                  <w:noWrap/>
                  <w:hideMark/>
                </w:tcPr>
                <w:p w14:paraId="3C4F945F"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0.000</w:t>
                  </w:r>
                </w:p>
              </w:tc>
            </w:tr>
            <w:tr w:rsidR="00855285" w:rsidRPr="00E54420" w14:paraId="703B3FAC" w14:textId="77777777" w:rsidTr="007F2E78">
              <w:trPr>
                <w:trHeight w:val="308"/>
              </w:trPr>
              <w:tc>
                <w:tcPr>
                  <w:tcW w:w="5400" w:type="dxa"/>
                  <w:tcBorders>
                    <w:top w:val="nil"/>
                    <w:left w:val="single" w:sz="4" w:space="0" w:color="auto"/>
                    <w:bottom w:val="single" w:sz="4" w:space="0" w:color="auto"/>
                    <w:right w:val="single" w:sz="4" w:space="0" w:color="auto"/>
                  </w:tcBorders>
                  <w:shd w:val="clear" w:color="auto" w:fill="auto"/>
                  <w:noWrap/>
                  <w:hideMark/>
                </w:tcPr>
                <w:p w14:paraId="7D9E9B43" w14:textId="77777777" w:rsidR="00855285" w:rsidRPr="00E54420" w:rsidRDefault="00855285" w:rsidP="00855285">
                  <w:pPr>
                    <w:spacing w:after="0" w:line="240" w:lineRule="auto"/>
                    <w:rPr>
                      <w:rFonts w:ascii="Book Antiqua" w:hAnsi="Book Antiqua"/>
                      <w:color w:val="000000"/>
                      <w:sz w:val="24"/>
                      <w:szCs w:val="24"/>
                    </w:rPr>
                  </w:pPr>
                  <w:r w:rsidRPr="00E54420">
                    <w:rPr>
                      <w:rFonts w:ascii="Book Antiqua" w:hAnsi="Book Antiqua"/>
                      <w:color w:val="000000"/>
                      <w:sz w:val="24"/>
                      <w:szCs w:val="24"/>
                    </w:rPr>
                    <w:t>2. Gold-account buyback</w:t>
                  </w:r>
                </w:p>
              </w:tc>
              <w:tc>
                <w:tcPr>
                  <w:tcW w:w="1016" w:type="dxa"/>
                  <w:tcBorders>
                    <w:top w:val="nil"/>
                    <w:left w:val="nil"/>
                    <w:bottom w:val="single" w:sz="4" w:space="0" w:color="auto"/>
                    <w:right w:val="single" w:sz="4" w:space="0" w:color="auto"/>
                  </w:tcBorders>
                  <w:shd w:val="clear" w:color="auto" w:fill="auto"/>
                  <w:hideMark/>
                </w:tcPr>
                <w:p w14:paraId="48B76648"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0.55</w:t>
                  </w:r>
                </w:p>
              </w:tc>
              <w:tc>
                <w:tcPr>
                  <w:tcW w:w="803" w:type="dxa"/>
                  <w:tcBorders>
                    <w:top w:val="nil"/>
                    <w:left w:val="nil"/>
                    <w:bottom w:val="single" w:sz="4" w:space="0" w:color="auto"/>
                    <w:right w:val="single" w:sz="4" w:space="0" w:color="auto"/>
                  </w:tcBorders>
                  <w:shd w:val="clear" w:color="auto" w:fill="auto"/>
                  <w:hideMark/>
                </w:tcPr>
                <w:p w14:paraId="3EDBA542"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1</w:t>
                  </w:r>
                </w:p>
              </w:tc>
              <w:tc>
                <w:tcPr>
                  <w:tcW w:w="810" w:type="dxa"/>
                  <w:vMerge/>
                  <w:tcBorders>
                    <w:top w:val="nil"/>
                    <w:left w:val="single" w:sz="4" w:space="0" w:color="auto"/>
                    <w:bottom w:val="single" w:sz="4" w:space="0" w:color="auto"/>
                    <w:right w:val="single" w:sz="4" w:space="0" w:color="auto"/>
                  </w:tcBorders>
                  <w:vAlign w:val="center"/>
                  <w:hideMark/>
                </w:tcPr>
                <w:p w14:paraId="0B5FAB4C" w14:textId="77777777" w:rsidR="00855285" w:rsidRPr="00E54420" w:rsidRDefault="00855285" w:rsidP="00855285">
                  <w:pPr>
                    <w:spacing w:after="0" w:line="240" w:lineRule="auto"/>
                    <w:rPr>
                      <w:rFonts w:ascii="Book Antiqua" w:hAnsi="Book Antiqua"/>
                      <w:color w:val="000000"/>
                      <w:sz w:val="24"/>
                      <w:szCs w:val="24"/>
                    </w:rPr>
                  </w:pPr>
                </w:p>
              </w:tc>
            </w:tr>
            <w:tr w:rsidR="00855285" w:rsidRPr="00E54420" w14:paraId="529343CD" w14:textId="77777777" w:rsidTr="007F2E78">
              <w:trPr>
                <w:trHeight w:val="308"/>
              </w:trPr>
              <w:tc>
                <w:tcPr>
                  <w:tcW w:w="5400" w:type="dxa"/>
                  <w:tcBorders>
                    <w:top w:val="nil"/>
                    <w:left w:val="single" w:sz="4" w:space="0" w:color="auto"/>
                    <w:bottom w:val="single" w:sz="4" w:space="0" w:color="auto"/>
                    <w:right w:val="single" w:sz="4" w:space="0" w:color="auto"/>
                  </w:tcBorders>
                  <w:shd w:val="clear" w:color="auto" w:fill="auto"/>
                  <w:hideMark/>
                </w:tcPr>
                <w:p w14:paraId="2C06AB1D" w14:textId="77777777" w:rsidR="00855285" w:rsidRPr="00E54420" w:rsidRDefault="00855285" w:rsidP="00855285">
                  <w:pPr>
                    <w:spacing w:after="0" w:line="240" w:lineRule="auto"/>
                    <w:rPr>
                      <w:rFonts w:ascii="Book Antiqua" w:hAnsi="Book Antiqua"/>
                      <w:b/>
                      <w:bCs/>
                      <w:color w:val="000000"/>
                      <w:sz w:val="24"/>
                      <w:szCs w:val="24"/>
                    </w:rPr>
                  </w:pPr>
                  <w:r w:rsidRPr="00E54420">
                    <w:rPr>
                      <w:rFonts w:ascii="Book Antiqua" w:hAnsi="Book Antiqua"/>
                      <w:b/>
                      <w:bCs/>
                      <w:color w:val="000000"/>
                      <w:sz w:val="24"/>
                      <w:szCs w:val="24"/>
                    </w:rPr>
                    <w:t>Alternatives</w:t>
                  </w:r>
                </w:p>
              </w:tc>
              <w:tc>
                <w:tcPr>
                  <w:tcW w:w="1016" w:type="dxa"/>
                  <w:tcBorders>
                    <w:top w:val="nil"/>
                    <w:left w:val="nil"/>
                    <w:bottom w:val="single" w:sz="4" w:space="0" w:color="auto"/>
                    <w:right w:val="single" w:sz="4" w:space="0" w:color="auto"/>
                  </w:tcBorders>
                  <w:shd w:val="clear" w:color="auto" w:fill="auto"/>
                  <w:hideMark/>
                </w:tcPr>
                <w:p w14:paraId="16DF344E"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 xml:space="preserve"> </w:t>
                  </w:r>
                </w:p>
              </w:tc>
              <w:tc>
                <w:tcPr>
                  <w:tcW w:w="803" w:type="dxa"/>
                  <w:tcBorders>
                    <w:top w:val="nil"/>
                    <w:left w:val="nil"/>
                    <w:bottom w:val="single" w:sz="4" w:space="0" w:color="auto"/>
                    <w:right w:val="single" w:sz="4" w:space="0" w:color="auto"/>
                  </w:tcBorders>
                  <w:shd w:val="clear" w:color="auto" w:fill="auto"/>
                  <w:hideMark/>
                </w:tcPr>
                <w:p w14:paraId="0BE653BB"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 </w:t>
                  </w:r>
                </w:p>
              </w:tc>
              <w:tc>
                <w:tcPr>
                  <w:tcW w:w="810" w:type="dxa"/>
                  <w:tcBorders>
                    <w:top w:val="nil"/>
                    <w:left w:val="nil"/>
                    <w:bottom w:val="single" w:sz="4" w:space="0" w:color="auto"/>
                    <w:right w:val="single" w:sz="4" w:space="0" w:color="auto"/>
                  </w:tcBorders>
                  <w:shd w:val="clear" w:color="auto" w:fill="auto"/>
                  <w:noWrap/>
                  <w:hideMark/>
                </w:tcPr>
                <w:p w14:paraId="1E26D3AD"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 </w:t>
                  </w:r>
                </w:p>
              </w:tc>
            </w:tr>
            <w:tr w:rsidR="00855285" w:rsidRPr="00E54420" w14:paraId="17495BE6" w14:textId="77777777" w:rsidTr="007F2E78">
              <w:trPr>
                <w:trHeight w:val="308"/>
              </w:trPr>
              <w:tc>
                <w:tcPr>
                  <w:tcW w:w="5400" w:type="dxa"/>
                  <w:tcBorders>
                    <w:top w:val="nil"/>
                    <w:left w:val="single" w:sz="4" w:space="0" w:color="auto"/>
                    <w:bottom w:val="single" w:sz="4" w:space="0" w:color="auto"/>
                    <w:right w:val="single" w:sz="4" w:space="0" w:color="auto"/>
                  </w:tcBorders>
                  <w:shd w:val="clear" w:color="auto" w:fill="auto"/>
                  <w:noWrap/>
                  <w:hideMark/>
                </w:tcPr>
                <w:p w14:paraId="769CF2E6" w14:textId="77777777" w:rsidR="00855285" w:rsidRPr="00E54420" w:rsidRDefault="00855285" w:rsidP="00855285">
                  <w:pPr>
                    <w:spacing w:after="0" w:line="240" w:lineRule="auto"/>
                    <w:rPr>
                      <w:rFonts w:ascii="Book Antiqua" w:hAnsi="Book Antiqua"/>
                      <w:color w:val="000000"/>
                      <w:sz w:val="24"/>
                      <w:szCs w:val="24"/>
                    </w:rPr>
                  </w:pPr>
                  <w:r w:rsidRPr="00E54420">
                    <w:rPr>
                      <w:rFonts w:ascii="Book Antiqua" w:hAnsi="Book Antiqua"/>
                      <w:color w:val="000000"/>
                      <w:sz w:val="24"/>
                      <w:szCs w:val="24"/>
                    </w:rPr>
                    <w:t>1. Gold-bar investment</w:t>
                  </w:r>
                </w:p>
              </w:tc>
              <w:tc>
                <w:tcPr>
                  <w:tcW w:w="1016" w:type="dxa"/>
                  <w:tcBorders>
                    <w:top w:val="nil"/>
                    <w:left w:val="nil"/>
                    <w:bottom w:val="single" w:sz="4" w:space="0" w:color="auto"/>
                    <w:right w:val="single" w:sz="4" w:space="0" w:color="auto"/>
                  </w:tcBorders>
                  <w:shd w:val="clear" w:color="auto" w:fill="auto"/>
                  <w:hideMark/>
                </w:tcPr>
                <w:p w14:paraId="7E1F632D"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0.48</w:t>
                  </w:r>
                </w:p>
              </w:tc>
              <w:tc>
                <w:tcPr>
                  <w:tcW w:w="803" w:type="dxa"/>
                  <w:tcBorders>
                    <w:top w:val="nil"/>
                    <w:left w:val="nil"/>
                    <w:bottom w:val="single" w:sz="4" w:space="0" w:color="auto"/>
                    <w:right w:val="single" w:sz="4" w:space="0" w:color="auto"/>
                  </w:tcBorders>
                  <w:shd w:val="clear" w:color="auto" w:fill="auto"/>
                  <w:hideMark/>
                </w:tcPr>
                <w:p w14:paraId="152CBED8"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2</w:t>
                  </w:r>
                </w:p>
              </w:tc>
              <w:tc>
                <w:tcPr>
                  <w:tcW w:w="810" w:type="dxa"/>
                  <w:vMerge w:val="restart"/>
                  <w:tcBorders>
                    <w:top w:val="nil"/>
                    <w:left w:val="single" w:sz="4" w:space="0" w:color="auto"/>
                    <w:bottom w:val="single" w:sz="4" w:space="0" w:color="auto"/>
                    <w:right w:val="single" w:sz="4" w:space="0" w:color="auto"/>
                  </w:tcBorders>
                  <w:shd w:val="clear" w:color="auto" w:fill="auto"/>
                  <w:noWrap/>
                  <w:hideMark/>
                </w:tcPr>
                <w:p w14:paraId="70A223EE"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0.000</w:t>
                  </w:r>
                </w:p>
              </w:tc>
            </w:tr>
            <w:tr w:rsidR="00855285" w:rsidRPr="00E54420" w14:paraId="7E9C9A42" w14:textId="77777777" w:rsidTr="007F2E78">
              <w:trPr>
                <w:trHeight w:val="308"/>
              </w:trPr>
              <w:tc>
                <w:tcPr>
                  <w:tcW w:w="5400" w:type="dxa"/>
                  <w:tcBorders>
                    <w:top w:val="nil"/>
                    <w:left w:val="single" w:sz="4" w:space="0" w:color="auto"/>
                    <w:bottom w:val="single" w:sz="4" w:space="0" w:color="auto"/>
                    <w:right w:val="single" w:sz="4" w:space="0" w:color="auto"/>
                  </w:tcBorders>
                  <w:shd w:val="clear" w:color="auto" w:fill="auto"/>
                  <w:noWrap/>
                  <w:hideMark/>
                </w:tcPr>
                <w:p w14:paraId="74573289" w14:textId="77777777" w:rsidR="00855285" w:rsidRPr="00E54420" w:rsidRDefault="00855285" w:rsidP="00855285">
                  <w:pPr>
                    <w:spacing w:after="0" w:line="240" w:lineRule="auto"/>
                    <w:rPr>
                      <w:rFonts w:ascii="Book Antiqua" w:hAnsi="Book Antiqua"/>
                      <w:color w:val="000000"/>
                      <w:sz w:val="24"/>
                      <w:szCs w:val="24"/>
                    </w:rPr>
                  </w:pPr>
                  <w:r w:rsidRPr="00E54420">
                    <w:rPr>
                      <w:rFonts w:ascii="Book Antiqua" w:hAnsi="Book Antiqua"/>
                      <w:color w:val="000000"/>
                      <w:sz w:val="24"/>
                      <w:szCs w:val="24"/>
                    </w:rPr>
                    <w:t>2. Gold-account investment</w:t>
                  </w:r>
                </w:p>
              </w:tc>
              <w:tc>
                <w:tcPr>
                  <w:tcW w:w="1016" w:type="dxa"/>
                  <w:tcBorders>
                    <w:top w:val="nil"/>
                    <w:left w:val="nil"/>
                    <w:bottom w:val="single" w:sz="4" w:space="0" w:color="auto"/>
                    <w:right w:val="single" w:sz="4" w:space="0" w:color="auto"/>
                  </w:tcBorders>
                  <w:shd w:val="clear" w:color="auto" w:fill="auto"/>
                  <w:hideMark/>
                </w:tcPr>
                <w:p w14:paraId="503AA383"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0.54</w:t>
                  </w:r>
                </w:p>
              </w:tc>
              <w:tc>
                <w:tcPr>
                  <w:tcW w:w="803" w:type="dxa"/>
                  <w:tcBorders>
                    <w:top w:val="nil"/>
                    <w:left w:val="nil"/>
                    <w:bottom w:val="single" w:sz="4" w:space="0" w:color="auto"/>
                    <w:right w:val="single" w:sz="4" w:space="0" w:color="auto"/>
                  </w:tcBorders>
                  <w:shd w:val="clear" w:color="auto" w:fill="auto"/>
                  <w:hideMark/>
                </w:tcPr>
                <w:p w14:paraId="749FA83C" w14:textId="77777777" w:rsidR="00855285" w:rsidRPr="00E54420" w:rsidRDefault="00855285" w:rsidP="00855285">
                  <w:pPr>
                    <w:spacing w:after="0" w:line="240" w:lineRule="auto"/>
                    <w:jc w:val="center"/>
                    <w:rPr>
                      <w:rFonts w:ascii="Book Antiqua" w:hAnsi="Book Antiqua"/>
                      <w:color w:val="000000"/>
                      <w:sz w:val="24"/>
                      <w:szCs w:val="24"/>
                    </w:rPr>
                  </w:pPr>
                  <w:r w:rsidRPr="00E54420">
                    <w:rPr>
                      <w:rFonts w:ascii="Book Antiqua" w:hAnsi="Book Antiqua"/>
                      <w:color w:val="000000"/>
                      <w:sz w:val="24"/>
                      <w:szCs w:val="24"/>
                    </w:rPr>
                    <w:t>1</w:t>
                  </w:r>
                </w:p>
              </w:tc>
              <w:tc>
                <w:tcPr>
                  <w:tcW w:w="810" w:type="dxa"/>
                  <w:vMerge/>
                  <w:tcBorders>
                    <w:top w:val="nil"/>
                    <w:left w:val="single" w:sz="4" w:space="0" w:color="auto"/>
                    <w:bottom w:val="single" w:sz="4" w:space="0" w:color="auto"/>
                    <w:right w:val="single" w:sz="4" w:space="0" w:color="auto"/>
                  </w:tcBorders>
                  <w:vAlign w:val="center"/>
                  <w:hideMark/>
                </w:tcPr>
                <w:p w14:paraId="2C060939" w14:textId="77777777" w:rsidR="00855285" w:rsidRPr="00E54420" w:rsidRDefault="00855285" w:rsidP="00855285">
                  <w:pPr>
                    <w:spacing w:after="0" w:line="240" w:lineRule="auto"/>
                    <w:rPr>
                      <w:rFonts w:ascii="Book Antiqua" w:hAnsi="Book Antiqua"/>
                      <w:color w:val="000000"/>
                      <w:sz w:val="24"/>
                      <w:szCs w:val="24"/>
                    </w:rPr>
                  </w:pPr>
                </w:p>
              </w:tc>
            </w:tr>
          </w:tbl>
          <w:p w14:paraId="58D6CBEA" w14:textId="77777777" w:rsidR="00855285" w:rsidRPr="00855285" w:rsidRDefault="00855285" w:rsidP="00855285">
            <w:pPr>
              <w:spacing w:after="120" w:line="240" w:lineRule="auto"/>
              <w:ind w:left="131" w:firstLine="720"/>
              <w:rPr>
                <w:rFonts w:ascii="Book Antiqua" w:hAnsi="Book Antiqua" w:cs="Times New Roman"/>
                <w:bCs/>
                <w:i/>
                <w:iCs/>
                <w:sz w:val="20"/>
                <w:szCs w:val="20"/>
              </w:rPr>
            </w:pPr>
            <w:proofErr w:type="gramStart"/>
            <w:r w:rsidRPr="00855285">
              <w:rPr>
                <w:rFonts w:ascii="Book Antiqua" w:hAnsi="Book Antiqua" w:cs="Times New Roman"/>
                <w:bCs/>
                <w:i/>
                <w:iCs/>
                <w:sz w:val="20"/>
                <w:szCs w:val="20"/>
              </w:rPr>
              <w:t>Source :</w:t>
            </w:r>
            <w:proofErr w:type="gramEnd"/>
            <w:r w:rsidRPr="00855285">
              <w:rPr>
                <w:rFonts w:ascii="Book Antiqua" w:hAnsi="Book Antiqua" w:cs="Times New Roman"/>
                <w:bCs/>
                <w:i/>
                <w:iCs/>
                <w:sz w:val="20"/>
                <w:szCs w:val="20"/>
              </w:rPr>
              <w:t xml:space="preserve"> Processed data (2023)</w:t>
            </w:r>
          </w:p>
          <w:p w14:paraId="4359A640" w14:textId="77777777" w:rsidR="00855285" w:rsidRPr="00855285" w:rsidRDefault="00855285" w:rsidP="00855285">
            <w:pPr>
              <w:spacing w:after="120" w:line="240" w:lineRule="auto"/>
              <w:rPr>
                <w:rFonts w:ascii="Book Antiqua" w:eastAsiaTheme="minorEastAsia" w:hAnsi="Book Antiqua"/>
                <w:i/>
                <w:iCs/>
                <w:sz w:val="20"/>
                <w:szCs w:val="20"/>
              </w:rPr>
            </w:pPr>
          </w:p>
          <w:p w14:paraId="31EC0B5C" w14:textId="77777777" w:rsidR="00D60F0C" w:rsidRDefault="00D60F0C" w:rsidP="00855285">
            <w:pPr>
              <w:pStyle w:val="ListParagraph"/>
              <w:spacing w:after="240" w:line="240" w:lineRule="auto"/>
              <w:ind w:left="346" w:firstLine="629"/>
              <w:contextualSpacing w:val="0"/>
              <w:jc w:val="both"/>
              <w:rPr>
                <w:rFonts w:ascii="Book Antiqua" w:eastAsiaTheme="minorEastAsia" w:hAnsi="Book Antiqua"/>
                <w:sz w:val="24"/>
                <w:szCs w:val="24"/>
              </w:rPr>
            </w:pPr>
          </w:p>
          <w:p w14:paraId="0FA3E178" w14:textId="77777777" w:rsidR="00D60F0C" w:rsidRDefault="00D60F0C" w:rsidP="00855285">
            <w:pPr>
              <w:pStyle w:val="ListParagraph"/>
              <w:spacing w:after="240" w:line="240" w:lineRule="auto"/>
              <w:ind w:left="346" w:firstLine="629"/>
              <w:contextualSpacing w:val="0"/>
              <w:jc w:val="both"/>
              <w:rPr>
                <w:rFonts w:ascii="Book Antiqua" w:eastAsiaTheme="minorEastAsia" w:hAnsi="Book Antiqua"/>
                <w:sz w:val="24"/>
                <w:szCs w:val="24"/>
              </w:rPr>
            </w:pPr>
          </w:p>
          <w:p w14:paraId="614BC1B6" w14:textId="477C8916" w:rsidR="00855285" w:rsidRPr="00E54420" w:rsidRDefault="00855285" w:rsidP="00855285">
            <w:pPr>
              <w:pStyle w:val="ListParagraph"/>
              <w:spacing w:after="240" w:line="240" w:lineRule="auto"/>
              <w:ind w:left="346" w:firstLine="629"/>
              <w:contextualSpacing w:val="0"/>
              <w:jc w:val="both"/>
              <w:rPr>
                <w:rFonts w:ascii="Book Antiqua" w:eastAsiaTheme="minorEastAsia" w:hAnsi="Book Antiqua"/>
                <w:sz w:val="24"/>
                <w:szCs w:val="24"/>
                <w:lang w:val="en-US"/>
              </w:rPr>
            </w:pPr>
            <w:r w:rsidRPr="00E54420">
              <w:rPr>
                <w:rFonts w:ascii="Book Antiqua" w:eastAsiaTheme="minorEastAsia" w:hAnsi="Book Antiqua"/>
                <w:sz w:val="24"/>
                <w:szCs w:val="24"/>
              </w:rPr>
              <w:lastRenderedPageBreak/>
              <w:t>Analysis has been carried out on the ANP questionnaire to answer questions number 2 and 3, namely what factors must be considered by BPKH when investing in gold, and which gold instrument is more recommended for BPKH between gold-bar and gold-account.</w:t>
            </w:r>
            <w:r w:rsidRPr="00E54420">
              <w:rPr>
                <w:rFonts w:ascii="Book Antiqua" w:eastAsiaTheme="minorEastAsia" w:hAnsi="Book Antiqua"/>
                <w:sz w:val="24"/>
                <w:szCs w:val="24"/>
                <w:lang w:val="en-US"/>
              </w:rPr>
              <w:t xml:space="preserve"> The questions in the ANP questionnaire are in the form of a tabular questionnaire. In the process of inputting data into the software, the table questionnaire is converted into a pairwise comparison (pairwise comparison) by comparing at the element level to find out which influence has more importance, and how big the influence is (on a scale of 1-9). The numerical scale 1-9 is used as a translation of the verbal assessment as in the following table.</w:t>
            </w:r>
          </w:p>
          <w:p w14:paraId="32534281" w14:textId="77777777" w:rsidR="00855285" w:rsidRPr="00855285" w:rsidRDefault="00855285" w:rsidP="00855285">
            <w:pPr>
              <w:pStyle w:val="ListParagraph"/>
              <w:spacing w:after="120" w:line="240" w:lineRule="auto"/>
              <w:ind w:left="347"/>
              <w:jc w:val="center"/>
              <w:rPr>
                <w:rFonts w:ascii="Book Antiqua" w:eastAsiaTheme="minorEastAsia" w:hAnsi="Book Antiqua"/>
                <w:b/>
                <w:bCs/>
                <w:sz w:val="24"/>
                <w:szCs w:val="24"/>
                <w:lang w:val="en-US"/>
              </w:rPr>
            </w:pPr>
            <w:r w:rsidRPr="00855285">
              <w:rPr>
                <w:rFonts w:ascii="Book Antiqua" w:eastAsiaTheme="minorEastAsia" w:hAnsi="Book Antiqua"/>
                <w:b/>
                <w:bCs/>
                <w:sz w:val="24"/>
                <w:szCs w:val="24"/>
                <w:lang w:val="en-US"/>
              </w:rPr>
              <w:t>Table 16. Comparison of Verbal Scale and Numerical Scale</w:t>
            </w:r>
          </w:p>
          <w:tbl>
            <w:tblPr>
              <w:tblW w:w="7349" w:type="dxa"/>
              <w:jc w:val="center"/>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4939"/>
              <w:gridCol w:w="2410"/>
            </w:tblGrid>
            <w:tr w:rsidR="00855285" w:rsidRPr="00E54420" w14:paraId="076B0365" w14:textId="77777777" w:rsidTr="007F2E78">
              <w:trPr>
                <w:jc w:val="center"/>
              </w:trPr>
              <w:tc>
                <w:tcPr>
                  <w:tcW w:w="4939" w:type="dxa"/>
                  <w:tcBorders>
                    <w:top w:val="single" w:sz="18" w:space="0" w:color="000000"/>
                    <w:left w:val="single" w:sz="18" w:space="0" w:color="000000"/>
                    <w:bottom w:val="dotted" w:sz="4" w:space="0" w:color="000000"/>
                    <w:right w:val="single" w:sz="12" w:space="0" w:color="000000"/>
                  </w:tcBorders>
                  <w:shd w:val="clear" w:color="auto" w:fill="FFC000"/>
                  <w:hideMark/>
                </w:tcPr>
                <w:p w14:paraId="3F2B0B1B" w14:textId="77777777" w:rsidR="00855285" w:rsidRPr="00E54420" w:rsidRDefault="00855285" w:rsidP="00D60F0C">
                  <w:pPr>
                    <w:autoSpaceDE w:val="0"/>
                    <w:autoSpaceDN w:val="0"/>
                    <w:adjustRightInd w:val="0"/>
                    <w:spacing w:after="0" w:line="240" w:lineRule="auto"/>
                    <w:ind w:hanging="2"/>
                    <w:jc w:val="center"/>
                    <w:rPr>
                      <w:rFonts w:ascii="Book Antiqua" w:hAnsi="Book Antiqua"/>
                      <w:b/>
                      <w:bCs/>
                      <w:sz w:val="23"/>
                      <w:szCs w:val="23"/>
                      <w:lang w:eastAsia="id-ID"/>
                    </w:rPr>
                  </w:pPr>
                  <w:r w:rsidRPr="00E54420">
                    <w:rPr>
                      <w:rFonts w:ascii="Book Antiqua" w:hAnsi="Book Antiqua"/>
                      <w:b/>
                      <w:bCs/>
                      <w:sz w:val="23"/>
                      <w:szCs w:val="23"/>
                      <w:lang w:eastAsia="id-ID"/>
                    </w:rPr>
                    <w:t>Verbal Rating Scale</w:t>
                  </w:r>
                </w:p>
              </w:tc>
              <w:tc>
                <w:tcPr>
                  <w:tcW w:w="2410" w:type="dxa"/>
                  <w:tcBorders>
                    <w:top w:val="single" w:sz="18" w:space="0" w:color="auto"/>
                    <w:left w:val="single" w:sz="12" w:space="0" w:color="000000"/>
                    <w:bottom w:val="dotted" w:sz="4" w:space="0" w:color="000000"/>
                    <w:right w:val="single" w:sz="18" w:space="0" w:color="auto"/>
                  </w:tcBorders>
                  <w:shd w:val="clear" w:color="auto" w:fill="FFC000"/>
                  <w:hideMark/>
                </w:tcPr>
                <w:p w14:paraId="7155E625" w14:textId="77777777" w:rsidR="00855285" w:rsidRPr="00E54420" w:rsidRDefault="00855285" w:rsidP="00D60F0C">
                  <w:pPr>
                    <w:autoSpaceDE w:val="0"/>
                    <w:autoSpaceDN w:val="0"/>
                    <w:adjustRightInd w:val="0"/>
                    <w:spacing w:after="0" w:line="240" w:lineRule="auto"/>
                    <w:ind w:hanging="2"/>
                    <w:jc w:val="center"/>
                    <w:rPr>
                      <w:rFonts w:ascii="Book Antiqua" w:hAnsi="Book Antiqua"/>
                      <w:b/>
                      <w:bCs/>
                      <w:sz w:val="23"/>
                      <w:szCs w:val="23"/>
                      <w:lang w:eastAsia="id-ID"/>
                    </w:rPr>
                  </w:pPr>
                  <w:r w:rsidRPr="00E54420">
                    <w:rPr>
                      <w:rFonts w:ascii="Book Antiqua" w:hAnsi="Book Antiqua"/>
                      <w:b/>
                      <w:bCs/>
                      <w:sz w:val="23"/>
                      <w:szCs w:val="23"/>
                      <w:lang w:eastAsia="id-ID"/>
                    </w:rPr>
                    <w:t>Numeric Scale</w:t>
                  </w:r>
                </w:p>
              </w:tc>
            </w:tr>
            <w:tr w:rsidR="00855285" w:rsidRPr="00E54420" w14:paraId="0F506B63" w14:textId="77777777" w:rsidTr="007F2E78">
              <w:trPr>
                <w:jc w:val="center"/>
              </w:trPr>
              <w:tc>
                <w:tcPr>
                  <w:tcW w:w="4939" w:type="dxa"/>
                  <w:tcBorders>
                    <w:top w:val="dotted" w:sz="4" w:space="0" w:color="000000"/>
                    <w:left w:val="single" w:sz="18" w:space="0" w:color="000000"/>
                    <w:bottom w:val="dotted" w:sz="4" w:space="0" w:color="000000"/>
                    <w:right w:val="single" w:sz="12" w:space="0" w:color="000000"/>
                  </w:tcBorders>
                  <w:hideMark/>
                </w:tcPr>
                <w:p w14:paraId="2F6DE72D" w14:textId="77777777" w:rsidR="00855285" w:rsidRPr="00E54420" w:rsidRDefault="00855285" w:rsidP="00D60F0C">
                  <w:pPr>
                    <w:autoSpaceDE w:val="0"/>
                    <w:autoSpaceDN w:val="0"/>
                    <w:adjustRightInd w:val="0"/>
                    <w:spacing w:after="0" w:line="240" w:lineRule="auto"/>
                    <w:ind w:hanging="2"/>
                    <w:rPr>
                      <w:rFonts w:ascii="Book Antiqua" w:hAnsi="Book Antiqua"/>
                      <w:sz w:val="23"/>
                      <w:szCs w:val="23"/>
                      <w:lang w:eastAsia="id-ID"/>
                    </w:rPr>
                  </w:pPr>
                  <w:r w:rsidRPr="00E54420">
                    <w:rPr>
                      <w:rFonts w:ascii="Book Antiqua" w:hAnsi="Book Antiqua"/>
                      <w:sz w:val="23"/>
                      <w:szCs w:val="23"/>
                      <w:lang w:eastAsia="id-ID"/>
                    </w:rPr>
                    <w:t>Highly important/ relevant/influential</w:t>
                  </w:r>
                </w:p>
              </w:tc>
              <w:tc>
                <w:tcPr>
                  <w:tcW w:w="2410" w:type="dxa"/>
                  <w:tcBorders>
                    <w:top w:val="dotted" w:sz="4" w:space="0" w:color="000000"/>
                    <w:left w:val="single" w:sz="12" w:space="0" w:color="000000"/>
                    <w:bottom w:val="dotted" w:sz="4" w:space="0" w:color="000000"/>
                    <w:right w:val="single" w:sz="18" w:space="0" w:color="auto"/>
                  </w:tcBorders>
                  <w:vAlign w:val="center"/>
                  <w:hideMark/>
                </w:tcPr>
                <w:p w14:paraId="264A66A4" w14:textId="77777777" w:rsidR="00855285" w:rsidRPr="00E54420" w:rsidRDefault="00855285" w:rsidP="00D60F0C">
                  <w:pPr>
                    <w:autoSpaceDE w:val="0"/>
                    <w:autoSpaceDN w:val="0"/>
                    <w:adjustRightInd w:val="0"/>
                    <w:spacing w:after="0" w:line="240" w:lineRule="auto"/>
                    <w:ind w:hanging="2"/>
                    <w:jc w:val="center"/>
                    <w:rPr>
                      <w:rFonts w:ascii="Book Antiqua" w:hAnsi="Book Antiqua"/>
                      <w:sz w:val="23"/>
                      <w:szCs w:val="23"/>
                      <w:lang w:eastAsia="id-ID"/>
                    </w:rPr>
                  </w:pPr>
                  <w:r w:rsidRPr="00E54420">
                    <w:rPr>
                      <w:rFonts w:ascii="Book Antiqua" w:hAnsi="Book Antiqua"/>
                      <w:sz w:val="23"/>
                      <w:szCs w:val="23"/>
                      <w:lang w:eastAsia="id-ID"/>
                    </w:rPr>
                    <w:t>9</w:t>
                  </w:r>
                </w:p>
              </w:tc>
            </w:tr>
            <w:tr w:rsidR="00855285" w:rsidRPr="00E54420" w14:paraId="7E91314B" w14:textId="77777777" w:rsidTr="007F2E78">
              <w:trPr>
                <w:jc w:val="center"/>
              </w:trPr>
              <w:tc>
                <w:tcPr>
                  <w:tcW w:w="4939" w:type="dxa"/>
                  <w:tcBorders>
                    <w:top w:val="dotted" w:sz="4" w:space="0" w:color="000000"/>
                    <w:left w:val="single" w:sz="18" w:space="0" w:color="000000"/>
                    <w:bottom w:val="dotted" w:sz="4" w:space="0" w:color="000000"/>
                    <w:right w:val="single" w:sz="12" w:space="0" w:color="000000"/>
                  </w:tcBorders>
                </w:tcPr>
                <w:p w14:paraId="1B346539" w14:textId="77777777" w:rsidR="00855285" w:rsidRPr="00E54420" w:rsidRDefault="00855285" w:rsidP="00D60F0C">
                  <w:pPr>
                    <w:autoSpaceDE w:val="0"/>
                    <w:autoSpaceDN w:val="0"/>
                    <w:adjustRightInd w:val="0"/>
                    <w:spacing w:after="0" w:line="240" w:lineRule="auto"/>
                    <w:ind w:hanging="2"/>
                    <w:jc w:val="center"/>
                    <w:rPr>
                      <w:rFonts w:ascii="Book Antiqua" w:hAnsi="Book Antiqua"/>
                      <w:sz w:val="23"/>
                      <w:szCs w:val="23"/>
                      <w:lang w:eastAsia="id-ID"/>
                    </w:rPr>
                  </w:pPr>
                </w:p>
              </w:tc>
              <w:tc>
                <w:tcPr>
                  <w:tcW w:w="2410" w:type="dxa"/>
                  <w:tcBorders>
                    <w:top w:val="dotted" w:sz="4" w:space="0" w:color="000000"/>
                    <w:left w:val="single" w:sz="12" w:space="0" w:color="000000"/>
                    <w:bottom w:val="dotted" w:sz="4" w:space="0" w:color="000000"/>
                    <w:right w:val="single" w:sz="18" w:space="0" w:color="auto"/>
                  </w:tcBorders>
                  <w:hideMark/>
                </w:tcPr>
                <w:p w14:paraId="441BEE49" w14:textId="77777777" w:rsidR="00855285" w:rsidRPr="00E54420" w:rsidRDefault="00855285" w:rsidP="00D60F0C">
                  <w:pPr>
                    <w:autoSpaceDE w:val="0"/>
                    <w:autoSpaceDN w:val="0"/>
                    <w:adjustRightInd w:val="0"/>
                    <w:spacing w:after="0" w:line="240" w:lineRule="auto"/>
                    <w:ind w:hanging="2"/>
                    <w:jc w:val="center"/>
                    <w:rPr>
                      <w:rFonts w:ascii="Book Antiqua" w:hAnsi="Book Antiqua"/>
                      <w:sz w:val="23"/>
                      <w:szCs w:val="23"/>
                      <w:lang w:eastAsia="id-ID"/>
                    </w:rPr>
                  </w:pPr>
                  <w:r w:rsidRPr="00E54420">
                    <w:rPr>
                      <w:rFonts w:ascii="Book Antiqua" w:hAnsi="Book Antiqua"/>
                      <w:sz w:val="23"/>
                      <w:szCs w:val="23"/>
                      <w:lang w:eastAsia="id-ID"/>
                    </w:rPr>
                    <w:t>8</w:t>
                  </w:r>
                </w:p>
              </w:tc>
            </w:tr>
            <w:tr w:rsidR="00855285" w:rsidRPr="00E54420" w14:paraId="0E374484" w14:textId="77777777" w:rsidTr="007F2E78">
              <w:trPr>
                <w:jc w:val="center"/>
              </w:trPr>
              <w:tc>
                <w:tcPr>
                  <w:tcW w:w="4939" w:type="dxa"/>
                  <w:tcBorders>
                    <w:top w:val="dotted" w:sz="4" w:space="0" w:color="000000"/>
                    <w:left w:val="single" w:sz="18" w:space="0" w:color="000000"/>
                    <w:bottom w:val="dotted" w:sz="4" w:space="0" w:color="000000"/>
                    <w:right w:val="single" w:sz="12" w:space="0" w:color="000000"/>
                  </w:tcBorders>
                  <w:hideMark/>
                </w:tcPr>
                <w:p w14:paraId="231D1517" w14:textId="77777777" w:rsidR="00855285" w:rsidRPr="00E54420" w:rsidRDefault="00855285" w:rsidP="00D60F0C">
                  <w:pPr>
                    <w:autoSpaceDE w:val="0"/>
                    <w:autoSpaceDN w:val="0"/>
                    <w:adjustRightInd w:val="0"/>
                    <w:spacing w:after="0" w:line="240" w:lineRule="auto"/>
                    <w:ind w:hanging="2"/>
                    <w:rPr>
                      <w:rFonts w:ascii="Book Antiqua" w:hAnsi="Book Antiqua"/>
                      <w:sz w:val="23"/>
                      <w:szCs w:val="23"/>
                      <w:lang w:eastAsia="id-ID"/>
                    </w:rPr>
                  </w:pPr>
                  <w:r w:rsidRPr="00E54420">
                    <w:rPr>
                      <w:rFonts w:ascii="Book Antiqua" w:hAnsi="Book Antiqua"/>
                      <w:sz w:val="23"/>
                      <w:szCs w:val="23"/>
                      <w:lang w:eastAsia="id-ID"/>
                    </w:rPr>
                    <w:t>Very important/ relevant/influential</w:t>
                  </w:r>
                </w:p>
              </w:tc>
              <w:tc>
                <w:tcPr>
                  <w:tcW w:w="2410" w:type="dxa"/>
                  <w:tcBorders>
                    <w:top w:val="dotted" w:sz="4" w:space="0" w:color="000000"/>
                    <w:left w:val="single" w:sz="12" w:space="0" w:color="000000"/>
                    <w:bottom w:val="dotted" w:sz="4" w:space="0" w:color="000000"/>
                    <w:right w:val="single" w:sz="18" w:space="0" w:color="auto"/>
                  </w:tcBorders>
                  <w:vAlign w:val="center"/>
                  <w:hideMark/>
                </w:tcPr>
                <w:p w14:paraId="2DBEDD29" w14:textId="77777777" w:rsidR="00855285" w:rsidRPr="00E54420" w:rsidRDefault="00855285" w:rsidP="00D60F0C">
                  <w:pPr>
                    <w:autoSpaceDE w:val="0"/>
                    <w:autoSpaceDN w:val="0"/>
                    <w:adjustRightInd w:val="0"/>
                    <w:spacing w:after="0" w:line="240" w:lineRule="auto"/>
                    <w:ind w:hanging="2"/>
                    <w:jc w:val="center"/>
                    <w:rPr>
                      <w:rFonts w:ascii="Book Antiqua" w:hAnsi="Book Antiqua"/>
                      <w:sz w:val="23"/>
                      <w:szCs w:val="23"/>
                      <w:lang w:eastAsia="id-ID"/>
                    </w:rPr>
                  </w:pPr>
                  <w:r w:rsidRPr="00E54420">
                    <w:rPr>
                      <w:rFonts w:ascii="Book Antiqua" w:hAnsi="Book Antiqua"/>
                      <w:sz w:val="23"/>
                      <w:szCs w:val="23"/>
                      <w:lang w:eastAsia="id-ID"/>
                    </w:rPr>
                    <w:t>7</w:t>
                  </w:r>
                </w:p>
              </w:tc>
            </w:tr>
            <w:tr w:rsidR="00855285" w:rsidRPr="00E54420" w14:paraId="2F6F09B4" w14:textId="77777777" w:rsidTr="007F2E78">
              <w:trPr>
                <w:jc w:val="center"/>
              </w:trPr>
              <w:tc>
                <w:tcPr>
                  <w:tcW w:w="4939" w:type="dxa"/>
                  <w:tcBorders>
                    <w:top w:val="dotted" w:sz="4" w:space="0" w:color="000000"/>
                    <w:left w:val="single" w:sz="18" w:space="0" w:color="000000"/>
                    <w:bottom w:val="dotted" w:sz="4" w:space="0" w:color="000000"/>
                    <w:right w:val="single" w:sz="12" w:space="0" w:color="000000"/>
                  </w:tcBorders>
                </w:tcPr>
                <w:p w14:paraId="794C2E87" w14:textId="77777777" w:rsidR="00855285" w:rsidRPr="00E54420" w:rsidRDefault="00855285" w:rsidP="00D60F0C">
                  <w:pPr>
                    <w:autoSpaceDE w:val="0"/>
                    <w:autoSpaceDN w:val="0"/>
                    <w:adjustRightInd w:val="0"/>
                    <w:spacing w:after="0" w:line="240" w:lineRule="auto"/>
                    <w:ind w:hanging="2"/>
                    <w:jc w:val="center"/>
                    <w:rPr>
                      <w:rFonts w:ascii="Book Antiqua" w:hAnsi="Book Antiqua"/>
                      <w:sz w:val="23"/>
                      <w:szCs w:val="23"/>
                      <w:lang w:eastAsia="id-ID"/>
                    </w:rPr>
                  </w:pPr>
                </w:p>
              </w:tc>
              <w:tc>
                <w:tcPr>
                  <w:tcW w:w="2410" w:type="dxa"/>
                  <w:tcBorders>
                    <w:top w:val="dotted" w:sz="4" w:space="0" w:color="000000"/>
                    <w:left w:val="single" w:sz="12" w:space="0" w:color="000000"/>
                    <w:bottom w:val="dotted" w:sz="4" w:space="0" w:color="000000"/>
                    <w:right w:val="single" w:sz="18" w:space="0" w:color="auto"/>
                  </w:tcBorders>
                  <w:hideMark/>
                </w:tcPr>
                <w:p w14:paraId="7AA1E22E" w14:textId="77777777" w:rsidR="00855285" w:rsidRPr="00E54420" w:rsidRDefault="00855285" w:rsidP="00D60F0C">
                  <w:pPr>
                    <w:autoSpaceDE w:val="0"/>
                    <w:autoSpaceDN w:val="0"/>
                    <w:adjustRightInd w:val="0"/>
                    <w:spacing w:after="0" w:line="240" w:lineRule="auto"/>
                    <w:ind w:hanging="2"/>
                    <w:jc w:val="center"/>
                    <w:rPr>
                      <w:rFonts w:ascii="Book Antiqua" w:hAnsi="Book Antiqua"/>
                      <w:sz w:val="23"/>
                      <w:szCs w:val="23"/>
                      <w:lang w:eastAsia="id-ID"/>
                    </w:rPr>
                  </w:pPr>
                  <w:r w:rsidRPr="00E54420">
                    <w:rPr>
                      <w:rFonts w:ascii="Book Antiqua" w:hAnsi="Book Antiqua"/>
                      <w:sz w:val="23"/>
                      <w:szCs w:val="23"/>
                      <w:lang w:eastAsia="id-ID"/>
                    </w:rPr>
                    <w:t>6</w:t>
                  </w:r>
                </w:p>
              </w:tc>
            </w:tr>
            <w:tr w:rsidR="00855285" w:rsidRPr="00E54420" w14:paraId="56908D42" w14:textId="77777777" w:rsidTr="007F2E78">
              <w:trPr>
                <w:jc w:val="center"/>
              </w:trPr>
              <w:tc>
                <w:tcPr>
                  <w:tcW w:w="4939" w:type="dxa"/>
                  <w:tcBorders>
                    <w:top w:val="dotted" w:sz="4" w:space="0" w:color="000000"/>
                    <w:left w:val="single" w:sz="18" w:space="0" w:color="000000"/>
                    <w:bottom w:val="dotted" w:sz="4" w:space="0" w:color="000000"/>
                    <w:right w:val="single" w:sz="12" w:space="0" w:color="000000"/>
                  </w:tcBorders>
                  <w:hideMark/>
                </w:tcPr>
                <w:p w14:paraId="51D41622" w14:textId="77777777" w:rsidR="00855285" w:rsidRPr="00E54420" w:rsidRDefault="00855285" w:rsidP="00D60F0C">
                  <w:pPr>
                    <w:autoSpaceDE w:val="0"/>
                    <w:autoSpaceDN w:val="0"/>
                    <w:adjustRightInd w:val="0"/>
                    <w:spacing w:after="0" w:line="240" w:lineRule="auto"/>
                    <w:ind w:hanging="2"/>
                    <w:rPr>
                      <w:rFonts w:ascii="Book Antiqua" w:hAnsi="Book Antiqua"/>
                      <w:sz w:val="23"/>
                      <w:szCs w:val="23"/>
                      <w:lang w:eastAsia="id-ID"/>
                    </w:rPr>
                  </w:pPr>
                  <w:r w:rsidRPr="00E54420">
                    <w:rPr>
                      <w:rFonts w:ascii="Book Antiqua" w:hAnsi="Book Antiqua"/>
                      <w:sz w:val="23"/>
                      <w:szCs w:val="23"/>
                      <w:lang w:eastAsia="id-ID"/>
                    </w:rPr>
                    <w:t>Important/ relevant/influential</w:t>
                  </w:r>
                </w:p>
              </w:tc>
              <w:tc>
                <w:tcPr>
                  <w:tcW w:w="2410" w:type="dxa"/>
                  <w:tcBorders>
                    <w:top w:val="dotted" w:sz="4" w:space="0" w:color="000000"/>
                    <w:left w:val="single" w:sz="12" w:space="0" w:color="000000"/>
                    <w:bottom w:val="dotted" w:sz="4" w:space="0" w:color="000000"/>
                    <w:right w:val="single" w:sz="18" w:space="0" w:color="auto"/>
                  </w:tcBorders>
                  <w:hideMark/>
                </w:tcPr>
                <w:p w14:paraId="5061E4BA" w14:textId="77777777" w:rsidR="00855285" w:rsidRPr="00E54420" w:rsidRDefault="00855285" w:rsidP="00D60F0C">
                  <w:pPr>
                    <w:autoSpaceDE w:val="0"/>
                    <w:autoSpaceDN w:val="0"/>
                    <w:adjustRightInd w:val="0"/>
                    <w:spacing w:after="0" w:line="240" w:lineRule="auto"/>
                    <w:ind w:hanging="2"/>
                    <w:jc w:val="center"/>
                    <w:rPr>
                      <w:rFonts w:ascii="Book Antiqua" w:hAnsi="Book Antiqua"/>
                      <w:sz w:val="23"/>
                      <w:szCs w:val="23"/>
                      <w:lang w:eastAsia="id-ID"/>
                    </w:rPr>
                  </w:pPr>
                  <w:r w:rsidRPr="00E54420">
                    <w:rPr>
                      <w:rFonts w:ascii="Book Antiqua" w:hAnsi="Book Antiqua"/>
                      <w:sz w:val="23"/>
                      <w:szCs w:val="23"/>
                      <w:lang w:eastAsia="id-ID"/>
                    </w:rPr>
                    <w:t>5</w:t>
                  </w:r>
                </w:p>
              </w:tc>
            </w:tr>
            <w:tr w:rsidR="00855285" w:rsidRPr="00E54420" w14:paraId="686C663F" w14:textId="77777777" w:rsidTr="007F2E78">
              <w:trPr>
                <w:jc w:val="center"/>
              </w:trPr>
              <w:tc>
                <w:tcPr>
                  <w:tcW w:w="4939" w:type="dxa"/>
                  <w:tcBorders>
                    <w:top w:val="dotted" w:sz="4" w:space="0" w:color="000000"/>
                    <w:left w:val="single" w:sz="18" w:space="0" w:color="000000"/>
                    <w:bottom w:val="dotted" w:sz="4" w:space="0" w:color="000000"/>
                    <w:right w:val="single" w:sz="12" w:space="0" w:color="000000"/>
                  </w:tcBorders>
                </w:tcPr>
                <w:p w14:paraId="02880714" w14:textId="77777777" w:rsidR="00855285" w:rsidRPr="00E54420" w:rsidRDefault="00855285" w:rsidP="00D60F0C">
                  <w:pPr>
                    <w:autoSpaceDE w:val="0"/>
                    <w:autoSpaceDN w:val="0"/>
                    <w:adjustRightInd w:val="0"/>
                    <w:spacing w:after="0" w:line="240" w:lineRule="auto"/>
                    <w:ind w:hanging="2"/>
                    <w:jc w:val="center"/>
                    <w:rPr>
                      <w:rFonts w:ascii="Book Antiqua" w:hAnsi="Book Antiqua"/>
                      <w:sz w:val="23"/>
                      <w:szCs w:val="23"/>
                      <w:lang w:eastAsia="id-ID"/>
                    </w:rPr>
                  </w:pPr>
                </w:p>
              </w:tc>
              <w:tc>
                <w:tcPr>
                  <w:tcW w:w="2410" w:type="dxa"/>
                  <w:tcBorders>
                    <w:top w:val="dotted" w:sz="4" w:space="0" w:color="000000"/>
                    <w:left w:val="single" w:sz="12" w:space="0" w:color="000000"/>
                    <w:bottom w:val="dotted" w:sz="4" w:space="0" w:color="000000"/>
                    <w:right w:val="single" w:sz="18" w:space="0" w:color="auto"/>
                  </w:tcBorders>
                  <w:hideMark/>
                </w:tcPr>
                <w:p w14:paraId="37844589" w14:textId="77777777" w:rsidR="00855285" w:rsidRPr="00E54420" w:rsidRDefault="00855285" w:rsidP="00D60F0C">
                  <w:pPr>
                    <w:autoSpaceDE w:val="0"/>
                    <w:autoSpaceDN w:val="0"/>
                    <w:adjustRightInd w:val="0"/>
                    <w:spacing w:after="0" w:line="240" w:lineRule="auto"/>
                    <w:ind w:hanging="2"/>
                    <w:jc w:val="center"/>
                    <w:rPr>
                      <w:rFonts w:ascii="Book Antiqua" w:hAnsi="Book Antiqua"/>
                      <w:sz w:val="23"/>
                      <w:szCs w:val="23"/>
                      <w:lang w:eastAsia="id-ID"/>
                    </w:rPr>
                  </w:pPr>
                  <w:r w:rsidRPr="00E54420">
                    <w:rPr>
                      <w:rFonts w:ascii="Book Antiqua" w:hAnsi="Book Antiqua"/>
                      <w:sz w:val="23"/>
                      <w:szCs w:val="23"/>
                      <w:lang w:eastAsia="id-ID"/>
                    </w:rPr>
                    <w:t>4</w:t>
                  </w:r>
                </w:p>
              </w:tc>
            </w:tr>
            <w:tr w:rsidR="00855285" w:rsidRPr="00E54420" w14:paraId="7EAAA39F" w14:textId="77777777" w:rsidTr="007F2E78">
              <w:trPr>
                <w:jc w:val="center"/>
              </w:trPr>
              <w:tc>
                <w:tcPr>
                  <w:tcW w:w="4939" w:type="dxa"/>
                  <w:tcBorders>
                    <w:top w:val="dotted" w:sz="4" w:space="0" w:color="000000"/>
                    <w:left w:val="single" w:sz="18" w:space="0" w:color="000000"/>
                    <w:bottom w:val="dotted" w:sz="4" w:space="0" w:color="000000"/>
                    <w:right w:val="single" w:sz="12" w:space="0" w:color="000000"/>
                  </w:tcBorders>
                  <w:hideMark/>
                </w:tcPr>
                <w:p w14:paraId="219B68B0" w14:textId="77777777" w:rsidR="00855285" w:rsidRPr="00E54420" w:rsidRDefault="00855285" w:rsidP="00D60F0C">
                  <w:pPr>
                    <w:autoSpaceDE w:val="0"/>
                    <w:autoSpaceDN w:val="0"/>
                    <w:adjustRightInd w:val="0"/>
                    <w:spacing w:after="0" w:line="240" w:lineRule="auto"/>
                    <w:ind w:hanging="2"/>
                    <w:rPr>
                      <w:rFonts w:ascii="Book Antiqua" w:hAnsi="Book Antiqua"/>
                      <w:sz w:val="23"/>
                      <w:szCs w:val="23"/>
                      <w:lang w:eastAsia="id-ID"/>
                    </w:rPr>
                  </w:pPr>
                  <w:r w:rsidRPr="00E54420">
                    <w:rPr>
                      <w:rFonts w:ascii="Book Antiqua" w:hAnsi="Book Antiqua"/>
                      <w:sz w:val="23"/>
                      <w:szCs w:val="23"/>
                      <w:lang w:eastAsia="id-ID"/>
                    </w:rPr>
                    <w:t>Less important/ relevant/influential</w:t>
                  </w:r>
                </w:p>
              </w:tc>
              <w:tc>
                <w:tcPr>
                  <w:tcW w:w="2410" w:type="dxa"/>
                  <w:tcBorders>
                    <w:top w:val="dotted" w:sz="4" w:space="0" w:color="000000"/>
                    <w:left w:val="single" w:sz="12" w:space="0" w:color="000000"/>
                    <w:bottom w:val="dotted" w:sz="4" w:space="0" w:color="000000"/>
                    <w:right w:val="single" w:sz="18" w:space="0" w:color="auto"/>
                  </w:tcBorders>
                  <w:vAlign w:val="center"/>
                  <w:hideMark/>
                </w:tcPr>
                <w:p w14:paraId="620BEDB2" w14:textId="77777777" w:rsidR="00855285" w:rsidRPr="00E54420" w:rsidRDefault="00855285" w:rsidP="00D60F0C">
                  <w:pPr>
                    <w:autoSpaceDE w:val="0"/>
                    <w:autoSpaceDN w:val="0"/>
                    <w:adjustRightInd w:val="0"/>
                    <w:spacing w:after="0" w:line="240" w:lineRule="auto"/>
                    <w:ind w:hanging="2"/>
                    <w:jc w:val="center"/>
                    <w:rPr>
                      <w:rFonts w:ascii="Book Antiqua" w:hAnsi="Book Antiqua"/>
                      <w:sz w:val="23"/>
                      <w:szCs w:val="23"/>
                      <w:lang w:eastAsia="id-ID"/>
                    </w:rPr>
                  </w:pPr>
                  <w:r w:rsidRPr="00E54420">
                    <w:rPr>
                      <w:rFonts w:ascii="Book Antiqua" w:hAnsi="Book Antiqua"/>
                      <w:sz w:val="23"/>
                      <w:szCs w:val="23"/>
                      <w:lang w:eastAsia="id-ID"/>
                    </w:rPr>
                    <w:t>3</w:t>
                  </w:r>
                </w:p>
              </w:tc>
            </w:tr>
            <w:tr w:rsidR="00855285" w:rsidRPr="00E54420" w14:paraId="54DA3C37" w14:textId="77777777" w:rsidTr="007F2E78">
              <w:trPr>
                <w:jc w:val="center"/>
              </w:trPr>
              <w:tc>
                <w:tcPr>
                  <w:tcW w:w="4939" w:type="dxa"/>
                  <w:tcBorders>
                    <w:top w:val="dotted" w:sz="4" w:space="0" w:color="000000"/>
                    <w:left w:val="single" w:sz="18" w:space="0" w:color="000000"/>
                    <w:bottom w:val="dotted" w:sz="4" w:space="0" w:color="000000"/>
                    <w:right w:val="single" w:sz="12" w:space="0" w:color="000000"/>
                  </w:tcBorders>
                </w:tcPr>
                <w:p w14:paraId="7354026B" w14:textId="77777777" w:rsidR="00855285" w:rsidRPr="00E54420" w:rsidRDefault="00855285" w:rsidP="00D60F0C">
                  <w:pPr>
                    <w:autoSpaceDE w:val="0"/>
                    <w:autoSpaceDN w:val="0"/>
                    <w:adjustRightInd w:val="0"/>
                    <w:spacing w:after="0" w:line="240" w:lineRule="auto"/>
                    <w:ind w:hanging="2"/>
                    <w:jc w:val="center"/>
                    <w:rPr>
                      <w:rFonts w:ascii="Book Antiqua" w:hAnsi="Book Antiqua"/>
                      <w:b/>
                      <w:bCs/>
                      <w:sz w:val="23"/>
                      <w:szCs w:val="23"/>
                      <w:lang w:eastAsia="id-ID"/>
                    </w:rPr>
                  </w:pPr>
                </w:p>
              </w:tc>
              <w:tc>
                <w:tcPr>
                  <w:tcW w:w="2410" w:type="dxa"/>
                  <w:tcBorders>
                    <w:top w:val="dotted" w:sz="4" w:space="0" w:color="000000"/>
                    <w:left w:val="single" w:sz="12" w:space="0" w:color="000000"/>
                    <w:bottom w:val="dotted" w:sz="4" w:space="0" w:color="000000"/>
                    <w:right w:val="single" w:sz="18" w:space="0" w:color="auto"/>
                  </w:tcBorders>
                  <w:hideMark/>
                </w:tcPr>
                <w:p w14:paraId="78EDC638" w14:textId="77777777" w:rsidR="00855285" w:rsidRPr="00E54420" w:rsidRDefault="00855285" w:rsidP="00D60F0C">
                  <w:pPr>
                    <w:autoSpaceDE w:val="0"/>
                    <w:autoSpaceDN w:val="0"/>
                    <w:adjustRightInd w:val="0"/>
                    <w:spacing w:after="0" w:line="240" w:lineRule="auto"/>
                    <w:ind w:hanging="2"/>
                    <w:jc w:val="center"/>
                    <w:rPr>
                      <w:rFonts w:ascii="Book Antiqua" w:hAnsi="Book Antiqua"/>
                      <w:sz w:val="23"/>
                      <w:szCs w:val="23"/>
                      <w:lang w:eastAsia="id-ID"/>
                    </w:rPr>
                  </w:pPr>
                  <w:r w:rsidRPr="00E54420">
                    <w:rPr>
                      <w:rFonts w:ascii="Book Antiqua" w:hAnsi="Book Antiqua"/>
                      <w:sz w:val="23"/>
                      <w:szCs w:val="23"/>
                      <w:lang w:eastAsia="id-ID"/>
                    </w:rPr>
                    <w:t>2</w:t>
                  </w:r>
                </w:p>
              </w:tc>
            </w:tr>
            <w:tr w:rsidR="00855285" w:rsidRPr="00E54420" w14:paraId="3FC345CD" w14:textId="77777777" w:rsidTr="007F2E78">
              <w:trPr>
                <w:jc w:val="center"/>
              </w:trPr>
              <w:tc>
                <w:tcPr>
                  <w:tcW w:w="4939" w:type="dxa"/>
                  <w:tcBorders>
                    <w:top w:val="dotted" w:sz="4" w:space="0" w:color="000000"/>
                    <w:left w:val="single" w:sz="18" w:space="0" w:color="000000"/>
                    <w:bottom w:val="single" w:sz="18" w:space="0" w:color="000000"/>
                    <w:right w:val="single" w:sz="12" w:space="0" w:color="000000"/>
                  </w:tcBorders>
                  <w:hideMark/>
                </w:tcPr>
                <w:p w14:paraId="5344FD25" w14:textId="77777777" w:rsidR="00855285" w:rsidRPr="00E54420" w:rsidRDefault="00855285" w:rsidP="00D60F0C">
                  <w:pPr>
                    <w:autoSpaceDE w:val="0"/>
                    <w:autoSpaceDN w:val="0"/>
                    <w:adjustRightInd w:val="0"/>
                    <w:spacing w:after="0" w:line="240" w:lineRule="auto"/>
                    <w:ind w:hanging="2"/>
                    <w:rPr>
                      <w:rFonts w:ascii="Book Antiqua" w:hAnsi="Book Antiqua"/>
                      <w:b/>
                      <w:bCs/>
                      <w:sz w:val="23"/>
                      <w:szCs w:val="23"/>
                      <w:lang w:eastAsia="id-ID"/>
                    </w:rPr>
                  </w:pPr>
                  <w:r w:rsidRPr="00E54420">
                    <w:rPr>
                      <w:rFonts w:ascii="Book Antiqua" w:hAnsi="Book Antiqua"/>
                      <w:sz w:val="23"/>
                      <w:szCs w:val="23"/>
                      <w:lang w:eastAsia="id-ID"/>
                    </w:rPr>
                    <w:t>Not important/ relevant/influential</w:t>
                  </w:r>
                </w:p>
              </w:tc>
              <w:tc>
                <w:tcPr>
                  <w:tcW w:w="2410" w:type="dxa"/>
                  <w:tcBorders>
                    <w:top w:val="dotted" w:sz="4" w:space="0" w:color="000000"/>
                    <w:left w:val="single" w:sz="12" w:space="0" w:color="000000"/>
                    <w:bottom w:val="single" w:sz="18" w:space="0" w:color="auto"/>
                    <w:right w:val="single" w:sz="18" w:space="0" w:color="auto"/>
                  </w:tcBorders>
                  <w:hideMark/>
                </w:tcPr>
                <w:p w14:paraId="18B05540" w14:textId="77777777" w:rsidR="00855285" w:rsidRPr="00E54420" w:rsidRDefault="00855285" w:rsidP="00D60F0C">
                  <w:pPr>
                    <w:autoSpaceDE w:val="0"/>
                    <w:autoSpaceDN w:val="0"/>
                    <w:adjustRightInd w:val="0"/>
                    <w:spacing w:after="0" w:line="240" w:lineRule="auto"/>
                    <w:ind w:hanging="2"/>
                    <w:jc w:val="center"/>
                    <w:rPr>
                      <w:rFonts w:ascii="Book Antiqua" w:hAnsi="Book Antiqua"/>
                      <w:sz w:val="23"/>
                      <w:szCs w:val="23"/>
                      <w:lang w:eastAsia="id-ID"/>
                    </w:rPr>
                  </w:pPr>
                  <w:r w:rsidRPr="00E54420">
                    <w:rPr>
                      <w:rFonts w:ascii="Book Antiqua" w:hAnsi="Book Antiqua"/>
                      <w:sz w:val="23"/>
                      <w:szCs w:val="23"/>
                      <w:lang w:eastAsia="id-ID"/>
                    </w:rPr>
                    <w:t>1</w:t>
                  </w:r>
                </w:p>
              </w:tc>
            </w:tr>
          </w:tbl>
          <w:p w14:paraId="4159A33D" w14:textId="77777777" w:rsidR="00855285" w:rsidRPr="00E54420" w:rsidRDefault="00855285" w:rsidP="00855285">
            <w:pPr>
              <w:spacing w:after="120" w:line="240" w:lineRule="auto"/>
              <w:rPr>
                <w:rFonts w:ascii="Book Antiqua" w:eastAsiaTheme="minorEastAsia" w:hAnsi="Book Antiqua"/>
                <w:sz w:val="24"/>
                <w:szCs w:val="24"/>
              </w:rPr>
            </w:pPr>
          </w:p>
          <w:p w14:paraId="26D825DE" w14:textId="77777777" w:rsidR="00855285" w:rsidRPr="00E54420" w:rsidRDefault="00855285" w:rsidP="00F22110">
            <w:pPr>
              <w:spacing w:after="120" w:line="240" w:lineRule="auto"/>
              <w:ind w:left="-72" w:right="-330"/>
              <w:jc w:val="center"/>
              <w:rPr>
                <w:rFonts w:ascii="Book Antiqua" w:hAnsi="Book Antiqua"/>
                <w:sz w:val="24"/>
                <w:szCs w:val="24"/>
              </w:rPr>
            </w:pPr>
            <w:r w:rsidRPr="00F22110">
              <w:rPr>
                <w:rFonts w:ascii="Book Antiqua" w:eastAsiaTheme="minorEastAsia" w:hAnsi="Book Antiqua"/>
                <w:b/>
                <w:bCs/>
                <w:sz w:val="24"/>
                <w:szCs w:val="24"/>
              </w:rPr>
              <w:t>Table 17. The Priority Factors in Gold Investment</w:t>
            </w:r>
            <w:r w:rsidRPr="00E54420">
              <w:rPr>
                <w:rFonts w:ascii="Book Antiqua" w:hAnsi="Book Antiqua"/>
                <w:b/>
                <w:noProof/>
                <w:sz w:val="24"/>
                <w:szCs w:val="24"/>
              </w:rPr>
              <w:drawing>
                <wp:inline distT="114300" distB="114300" distL="114300" distR="114300" wp14:anchorId="46216888" wp14:editId="0AB40ECA">
                  <wp:extent cx="4114800" cy="1847850"/>
                  <wp:effectExtent l="0" t="0" r="0" b="0"/>
                  <wp:docPr id="272362089" name="image16.png" descr="A graph of blue ba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72362089" name="image16.png" descr="A graph of blue bars&#10;&#10;Description automatically generated with medium confidence"/>
                          <pic:cNvPicPr preferRelativeResize="0"/>
                        </pic:nvPicPr>
                        <pic:blipFill>
                          <a:blip r:embed="rId15"/>
                          <a:srcRect/>
                          <a:stretch>
                            <a:fillRect/>
                          </a:stretch>
                        </pic:blipFill>
                        <pic:spPr>
                          <a:xfrm>
                            <a:off x="0" y="0"/>
                            <a:ext cx="4115092" cy="1847981"/>
                          </a:xfrm>
                          <a:prstGeom prst="rect">
                            <a:avLst/>
                          </a:prstGeom>
                        </pic:spPr>
                      </pic:pic>
                    </a:graphicData>
                  </a:graphic>
                </wp:inline>
              </w:drawing>
            </w:r>
          </w:p>
          <w:p w14:paraId="746C78F9" w14:textId="77777777" w:rsidR="00F22110" w:rsidRDefault="00F22110" w:rsidP="00F22110">
            <w:pPr>
              <w:spacing w:after="120" w:line="240" w:lineRule="auto"/>
              <w:ind w:left="353" w:firstLine="709"/>
              <w:rPr>
                <w:rFonts w:ascii="Book Antiqua" w:hAnsi="Book Antiqua" w:cs="Times New Roman"/>
                <w:sz w:val="24"/>
                <w:szCs w:val="24"/>
              </w:rPr>
            </w:pPr>
          </w:p>
          <w:p w14:paraId="7C279BF5" w14:textId="47955033" w:rsidR="00855285" w:rsidRPr="00F22110" w:rsidRDefault="00855285" w:rsidP="00F22110">
            <w:pPr>
              <w:spacing w:after="240" w:line="240" w:lineRule="auto"/>
              <w:ind w:left="352" w:firstLine="709"/>
              <w:rPr>
                <w:rFonts w:ascii="Book Antiqua" w:hAnsi="Book Antiqua" w:cs="Times New Roman"/>
                <w:sz w:val="24"/>
                <w:szCs w:val="24"/>
              </w:rPr>
            </w:pPr>
            <w:r w:rsidRPr="00E54420">
              <w:rPr>
                <w:rFonts w:ascii="Book Antiqua" w:hAnsi="Book Antiqua" w:cs="Times New Roman"/>
                <w:sz w:val="24"/>
                <w:szCs w:val="24"/>
              </w:rPr>
              <w:t>The results of the ANP questionnaire data processing show that BPKH needs to pay attention to several factors in investing in gold, namely macroeconomic factors, risk factors, and sharia compliance factors. All three have the same weight of 31%, while the exit strategy is the last priority with a weight of 7%.</w:t>
            </w:r>
          </w:p>
          <w:p w14:paraId="33F09261" w14:textId="77777777" w:rsidR="00D60F0C" w:rsidRDefault="00D60F0C" w:rsidP="00F22110">
            <w:pPr>
              <w:spacing w:after="120" w:line="240" w:lineRule="auto"/>
              <w:ind w:left="-214"/>
              <w:jc w:val="center"/>
              <w:rPr>
                <w:rFonts w:ascii="Book Antiqua" w:eastAsiaTheme="minorEastAsia" w:hAnsi="Book Antiqua"/>
                <w:b/>
                <w:bCs/>
                <w:sz w:val="24"/>
                <w:szCs w:val="24"/>
              </w:rPr>
            </w:pPr>
          </w:p>
          <w:p w14:paraId="54EE9A9F" w14:textId="77777777" w:rsidR="00D60F0C" w:rsidRDefault="00D60F0C" w:rsidP="00F22110">
            <w:pPr>
              <w:spacing w:after="120" w:line="240" w:lineRule="auto"/>
              <w:ind w:left="-214"/>
              <w:jc w:val="center"/>
              <w:rPr>
                <w:rFonts w:ascii="Book Antiqua" w:eastAsiaTheme="minorEastAsia" w:hAnsi="Book Antiqua"/>
                <w:b/>
                <w:bCs/>
                <w:sz w:val="24"/>
                <w:szCs w:val="24"/>
              </w:rPr>
            </w:pPr>
          </w:p>
          <w:p w14:paraId="254A92D6" w14:textId="77777777" w:rsidR="00D60F0C" w:rsidRDefault="00D60F0C" w:rsidP="00F22110">
            <w:pPr>
              <w:spacing w:after="120" w:line="240" w:lineRule="auto"/>
              <w:ind w:left="-214"/>
              <w:jc w:val="center"/>
              <w:rPr>
                <w:rFonts w:ascii="Book Antiqua" w:eastAsiaTheme="minorEastAsia" w:hAnsi="Book Antiqua"/>
                <w:b/>
                <w:bCs/>
                <w:sz w:val="24"/>
                <w:szCs w:val="24"/>
              </w:rPr>
            </w:pPr>
          </w:p>
          <w:p w14:paraId="65A7E996" w14:textId="77777777" w:rsidR="00D60F0C" w:rsidRDefault="00D60F0C" w:rsidP="00F22110">
            <w:pPr>
              <w:spacing w:after="120" w:line="240" w:lineRule="auto"/>
              <w:ind w:left="-214"/>
              <w:jc w:val="center"/>
              <w:rPr>
                <w:rFonts w:ascii="Book Antiqua" w:eastAsiaTheme="minorEastAsia" w:hAnsi="Book Antiqua"/>
                <w:b/>
                <w:bCs/>
                <w:sz w:val="24"/>
                <w:szCs w:val="24"/>
              </w:rPr>
            </w:pPr>
          </w:p>
          <w:p w14:paraId="595828F7" w14:textId="77777777" w:rsidR="00D60F0C" w:rsidRDefault="00D60F0C" w:rsidP="00F22110">
            <w:pPr>
              <w:spacing w:after="120" w:line="240" w:lineRule="auto"/>
              <w:ind w:left="-214"/>
              <w:jc w:val="center"/>
              <w:rPr>
                <w:rFonts w:ascii="Book Antiqua" w:eastAsiaTheme="minorEastAsia" w:hAnsi="Book Antiqua"/>
                <w:b/>
                <w:bCs/>
                <w:sz w:val="24"/>
                <w:szCs w:val="24"/>
              </w:rPr>
            </w:pPr>
          </w:p>
          <w:p w14:paraId="78B04DFB" w14:textId="77777777" w:rsidR="00D60F0C" w:rsidRDefault="00D60F0C" w:rsidP="00F22110">
            <w:pPr>
              <w:spacing w:after="120" w:line="240" w:lineRule="auto"/>
              <w:ind w:left="-214"/>
              <w:jc w:val="center"/>
              <w:rPr>
                <w:rFonts w:ascii="Book Antiqua" w:eastAsiaTheme="minorEastAsia" w:hAnsi="Book Antiqua"/>
                <w:b/>
                <w:bCs/>
                <w:sz w:val="24"/>
                <w:szCs w:val="24"/>
              </w:rPr>
            </w:pPr>
          </w:p>
          <w:p w14:paraId="1696FBA5" w14:textId="26287229" w:rsidR="00855285" w:rsidRPr="00F22110" w:rsidRDefault="00855285" w:rsidP="00F22110">
            <w:pPr>
              <w:spacing w:after="120" w:line="240" w:lineRule="auto"/>
              <w:ind w:left="-214"/>
              <w:jc w:val="center"/>
              <w:rPr>
                <w:rFonts w:ascii="Book Antiqua" w:eastAsiaTheme="minorEastAsia" w:hAnsi="Book Antiqua"/>
                <w:b/>
                <w:bCs/>
                <w:sz w:val="24"/>
                <w:szCs w:val="24"/>
              </w:rPr>
            </w:pPr>
            <w:r w:rsidRPr="00F22110">
              <w:rPr>
                <w:rFonts w:ascii="Book Antiqua" w:eastAsiaTheme="minorEastAsia" w:hAnsi="Book Antiqua"/>
                <w:b/>
                <w:bCs/>
                <w:sz w:val="24"/>
                <w:szCs w:val="24"/>
              </w:rPr>
              <w:lastRenderedPageBreak/>
              <w:t>Table 18. Macroeconomic Factors that Influence Gold Investment</w:t>
            </w:r>
          </w:p>
          <w:p w14:paraId="3940A350" w14:textId="77777777" w:rsidR="00855285" w:rsidRPr="00E54420" w:rsidRDefault="00855285" w:rsidP="00F22110">
            <w:pPr>
              <w:spacing w:after="120" w:line="240" w:lineRule="auto"/>
              <w:ind w:left="851" w:right="-331"/>
              <w:jc w:val="left"/>
              <w:rPr>
                <w:rFonts w:ascii="Book Antiqua" w:hAnsi="Book Antiqua"/>
                <w:sz w:val="24"/>
                <w:szCs w:val="24"/>
              </w:rPr>
            </w:pPr>
            <w:r w:rsidRPr="00E54420">
              <w:rPr>
                <w:rFonts w:ascii="Book Antiqua" w:hAnsi="Book Antiqua"/>
                <w:b/>
                <w:bCs/>
                <w:noProof/>
                <w:color w:val="000000"/>
                <w:sz w:val="24"/>
                <w:szCs w:val="24"/>
                <w:bdr w:val="none" w:sz="0" w:space="0" w:color="auto" w:frame="1"/>
              </w:rPr>
              <w:drawing>
                <wp:inline distT="0" distB="0" distL="0" distR="0" wp14:anchorId="38A805A5" wp14:editId="64AC9FCC">
                  <wp:extent cx="4606120" cy="1706615"/>
                  <wp:effectExtent l="0" t="0" r="4445" b="8255"/>
                  <wp:docPr id="1563860686" name="Picture 1" descr="A graph with numbers and a b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860686" name="Picture 1" descr="A graph with numbers and a bar&#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23478" cy="1713046"/>
                          </a:xfrm>
                          <a:prstGeom prst="rect">
                            <a:avLst/>
                          </a:prstGeom>
                          <a:noFill/>
                          <a:ln>
                            <a:noFill/>
                          </a:ln>
                        </pic:spPr>
                      </pic:pic>
                    </a:graphicData>
                  </a:graphic>
                </wp:inline>
              </w:drawing>
            </w:r>
          </w:p>
          <w:p w14:paraId="01F8E1B7" w14:textId="77777777" w:rsidR="00F22110" w:rsidRDefault="00F22110" w:rsidP="00F22110">
            <w:pPr>
              <w:spacing w:after="120" w:line="240" w:lineRule="auto"/>
              <w:ind w:left="353"/>
              <w:rPr>
                <w:rFonts w:ascii="Book Antiqua" w:eastAsiaTheme="majorEastAsia" w:hAnsi="Book Antiqua" w:cs="Times New Roman"/>
                <w:sz w:val="24"/>
                <w:szCs w:val="24"/>
                <w:lang w:val="en-GB"/>
              </w:rPr>
            </w:pPr>
          </w:p>
          <w:p w14:paraId="7FC5FAA4" w14:textId="47E04661" w:rsidR="00855285" w:rsidRPr="00E54420" w:rsidRDefault="00855285" w:rsidP="00F22110">
            <w:pPr>
              <w:spacing w:after="120" w:line="240" w:lineRule="auto"/>
              <w:ind w:left="353" w:firstLine="709"/>
              <w:rPr>
                <w:rFonts w:ascii="Book Antiqua" w:eastAsiaTheme="majorEastAsia" w:hAnsi="Book Antiqua" w:cs="Times New Roman"/>
                <w:sz w:val="24"/>
                <w:szCs w:val="24"/>
                <w:lang w:val="en-GB"/>
              </w:rPr>
            </w:pPr>
            <w:r w:rsidRPr="00E54420">
              <w:rPr>
                <w:rFonts w:ascii="Book Antiqua" w:eastAsiaTheme="majorEastAsia" w:hAnsi="Book Antiqua" w:cs="Times New Roman"/>
                <w:sz w:val="24"/>
                <w:szCs w:val="24"/>
                <w:lang w:val="en-GB"/>
              </w:rPr>
              <w:t>The results of the ANP questionnaire show the respondents' opinions on the macroeconomic factors that influence gold price movements, as follows:</w:t>
            </w:r>
          </w:p>
          <w:p w14:paraId="692D69D3" w14:textId="77777777" w:rsidR="00855285" w:rsidRPr="00E54420" w:rsidRDefault="00855285" w:rsidP="00F22110">
            <w:pPr>
              <w:pStyle w:val="ListParagraph"/>
              <w:numPr>
                <w:ilvl w:val="1"/>
                <w:numId w:val="39"/>
              </w:numPr>
              <w:spacing w:after="120" w:line="240" w:lineRule="auto"/>
              <w:ind w:left="1062" w:hanging="425"/>
              <w:jc w:val="both"/>
              <w:rPr>
                <w:rFonts w:ascii="Book Antiqua" w:eastAsiaTheme="majorEastAsia" w:hAnsi="Book Antiqua"/>
                <w:sz w:val="24"/>
                <w:szCs w:val="24"/>
                <w:lang w:val="en-GB"/>
              </w:rPr>
            </w:pPr>
            <w:r w:rsidRPr="00E54420">
              <w:rPr>
                <w:rFonts w:ascii="Book Antiqua" w:eastAsiaTheme="majorEastAsia" w:hAnsi="Book Antiqua"/>
                <w:sz w:val="24"/>
                <w:szCs w:val="24"/>
                <w:lang w:val="en-GB"/>
              </w:rPr>
              <w:t>The exchange rate is seen as the macroeconomic factor that most influencing in gold price movements with a weight of 25%.</w:t>
            </w:r>
          </w:p>
          <w:p w14:paraId="0E41B46C" w14:textId="77777777" w:rsidR="00855285" w:rsidRPr="00E54420" w:rsidRDefault="00855285" w:rsidP="00F22110">
            <w:pPr>
              <w:pStyle w:val="ListParagraph"/>
              <w:numPr>
                <w:ilvl w:val="1"/>
                <w:numId w:val="39"/>
              </w:numPr>
              <w:spacing w:after="120" w:line="240" w:lineRule="auto"/>
              <w:ind w:left="1062" w:hanging="425"/>
              <w:jc w:val="both"/>
              <w:rPr>
                <w:rFonts w:ascii="Book Antiqua" w:eastAsiaTheme="majorEastAsia" w:hAnsi="Book Antiqua"/>
                <w:sz w:val="24"/>
                <w:szCs w:val="24"/>
                <w:lang w:val="en-GB"/>
              </w:rPr>
            </w:pPr>
            <w:r w:rsidRPr="00E54420">
              <w:rPr>
                <w:rFonts w:ascii="Book Antiqua" w:eastAsiaTheme="majorEastAsia" w:hAnsi="Book Antiqua"/>
                <w:sz w:val="24"/>
                <w:szCs w:val="24"/>
                <w:lang w:val="en-GB"/>
              </w:rPr>
              <w:t>International gold prices and inflation rate are considered as the next factors that most influencing in gold price movements with a weight of 19% each.</w:t>
            </w:r>
          </w:p>
          <w:p w14:paraId="09B354E0" w14:textId="77777777" w:rsidR="00855285" w:rsidRPr="00E54420" w:rsidRDefault="00855285" w:rsidP="00F22110">
            <w:pPr>
              <w:pStyle w:val="ListParagraph"/>
              <w:numPr>
                <w:ilvl w:val="1"/>
                <w:numId w:val="39"/>
              </w:numPr>
              <w:spacing w:after="120" w:line="240" w:lineRule="auto"/>
              <w:ind w:left="1062" w:hanging="425"/>
              <w:jc w:val="both"/>
              <w:rPr>
                <w:rFonts w:ascii="Book Antiqua" w:eastAsiaTheme="majorEastAsia" w:hAnsi="Book Antiqua"/>
                <w:sz w:val="24"/>
                <w:szCs w:val="24"/>
                <w:lang w:val="en-GB"/>
              </w:rPr>
            </w:pPr>
            <w:r w:rsidRPr="00E54420">
              <w:rPr>
                <w:rFonts w:ascii="Book Antiqua" w:eastAsiaTheme="majorEastAsia" w:hAnsi="Book Antiqua"/>
                <w:sz w:val="24"/>
                <w:szCs w:val="24"/>
                <w:lang w:val="en-GB"/>
              </w:rPr>
              <w:t>Economic growth rate and interest rate are seen as the least influencing macroeconomic factors in gold price movements with a weight of 19% and 17%.</w:t>
            </w:r>
          </w:p>
          <w:p w14:paraId="08919D1C" w14:textId="41A217DC" w:rsidR="00855285" w:rsidRPr="00E54420" w:rsidRDefault="00855285" w:rsidP="00F22110">
            <w:pPr>
              <w:spacing w:after="240" w:line="240" w:lineRule="auto"/>
              <w:ind w:left="352" w:firstLine="709"/>
              <w:rPr>
                <w:rFonts w:ascii="Book Antiqua" w:eastAsiaTheme="majorEastAsia" w:hAnsi="Book Antiqua"/>
                <w:sz w:val="24"/>
                <w:szCs w:val="24"/>
                <w:lang w:val="en-GB"/>
              </w:rPr>
            </w:pPr>
            <w:r w:rsidRPr="00E54420">
              <w:rPr>
                <w:rFonts w:ascii="Book Antiqua" w:eastAsiaTheme="majorEastAsia" w:hAnsi="Book Antiqua"/>
                <w:sz w:val="24"/>
                <w:szCs w:val="24"/>
                <w:lang w:val="en-GB"/>
              </w:rPr>
              <w:t xml:space="preserve">This finding supports the results of the regression analysis that was carried out previously, where it is known that the exchange rate, international gold price, inflation rate and economic growth rate have significant effect on the movement of </w:t>
            </w:r>
            <w:proofErr w:type="spellStart"/>
            <w:r w:rsidRPr="00E54420">
              <w:rPr>
                <w:rFonts w:ascii="Book Antiqua" w:eastAsiaTheme="majorEastAsia" w:hAnsi="Book Antiqua"/>
                <w:sz w:val="24"/>
                <w:szCs w:val="24"/>
                <w:lang w:val="en-GB"/>
              </w:rPr>
              <w:t>Pegadaian</w:t>
            </w:r>
            <w:proofErr w:type="spellEnd"/>
            <w:r w:rsidRPr="00E54420">
              <w:rPr>
                <w:rFonts w:ascii="Book Antiqua" w:eastAsiaTheme="majorEastAsia" w:hAnsi="Book Antiqua"/>
                <w:sz w:val="24"/>
                <w:szCs w:val="24"/>
                <w:lang w:val="en-GB"/>
              </w:rPr>
              <w:t xml:space="preserve"> gold account price, while the interest rate variable does not have a significant effect on the movement of </w:t>
            </w:r>
            <w:proofErr w:type="spellStart"/>
            <w:r w:rsidRPr="00E54420">
              <w:rPr>
                <w:rFonts w:ascii="Book Antiqua" w:eastAsiaTheme="majorEastAsia" w:hAnsi="Book Antiqua"/>
                <w:sz w:val="24"/>
                <w:szCs w:val="24"/>
                <w:lang w:val="en-GB"/>
              </w:rPr>
              <w:t>Pegadaian</w:t>
            </w:r>
            <w:proofErr w:type="spellEnd"/>
            <w:r w:rsidRPr="00E54420">
              <w:rPr>
                <w:rFonts w:ascii="Book Antiqua" w:eastAsiaTheme="majorEastAsia" w:hAnsi="Book Antiqua"/>
                <w:sz w:val="24"/>
                <w:szCs w:val="24"/>
                <w:lang w:val="en-GB"/>
              </w:rPr>
              <w:t xml:space="preserve"> gold account price.</w:t>
            </w:r>
          </w:p>
          <w:p w14:paraId="5545037A" w14:textId="7511C698" w:rsidR="00855285" w:rsidRPr="00F22110" w:rsidRDefault="00855285" w:rsidP="00F22110">
            <w:pPr>
              <w:spacing w:after="120" w:line="240" w:lineRule="auto"/>
              <w:ind w:left="353"/>
              <w:jc w:val="center"/>
              <w:rPr>
                <w:rFonts w:ascii="Book Antiqua" w:hAnsi="Book Antiqua"/>
                <w:b/>
                <w:bCs/>
                <w:sz w:val="24"/>
                <w:szCs w:val="24"/>
              </w:rPr>
            </w:pPr>
            <w:r w:rsidRPr="00F22110">
              <w:rPr>
                <w:rFonts w:ascii="Book Antiqua" w:eastAsiaTheme="majorEastAsia" w:hAnsi="Book Antiqua" w:cs="Times New Roman"/>
                <w:b/>
                <w:bCs/>
                <w:sz w:val="24"/>
                <w:szCs w:val="24"/>
                <w:lang w:val="en-GB"/>
              </w:rPr>
              <w:t>Table 19. Risk in Gold Investment</w:t>
            </w:r>
          </w:p>
          <w:p w14:paraId="3FBCAEEA" w14:textId="1EAC9424" w:rsidR="00F22110" w:rsidRDefault="00855285" w:rsidP="00D60F0C">
            <w:pPr>
              <w:spacing w:after="120" w:line="240" w:lineRule="auto"/>
              <w:ind w:left="709"/>
              <w:jc w:val="left"/>
              <w:rPr>
                <w:rFonts w:ascii="Book Antiqua" w:hAnsi="Book Antiqua"/>
                <w:sz w:val="24"/>
                <w:szCs w:val="24"/>
              </w:rPr>
            </w:pPr>
            <w:r w:rsidRPr="00E54420">
              <w:rPr>
                <w:rFonts w:ascii="Book Antiqua" w:hAnsi="Book Antiqua"/>
                <w:b/>
                <w:noProof/>
                <w:sz w:val="24"/>
                <w:szCs w:val="24"/>
              </w:rPr>
              <w:drawing>
                <wp:inline distT="114300" distB="114300" distL="114300" distR="114300" wp14:anchorId="4B0FC30E" wp14:editId="36BADCF5">
                  <wp:extent cx="4762500" cy="1133475"/>
                  <wp:effectExtent l="0" t="0" r="0" b="9525"/>
                  <wp:docPr id="272362083" name="image14.png" descr="A graph with numbers and a bar&#10;&#10;Description automatically generated"/>
                  <wp:cNvGraphicFramePr/>
                  <a:graphic xmlns:a="http://schemas.openxmlformats.org/drawingml/2006/main">
                    <a:graphicData uri="http://schemas.openxmlformats.org/drawingml/2006/picture">
                      <pic:pic xmlns:pic="http://schemas.openxmlformats.org/drawingml/2006/picture">
                        <pic:nvPicPr>
                          <pic:cNvPr id="272362083" name="image14.png" descr="A graph with numbers and a bar&#10;&#10;Description automatically generated"/>
                          <pic:cNvPicPr preferRelativeResize="0"/>
                        </pic:nvPicPr>
                        <pic:blipFill>
                          <a:blip r:embed="rId17"/>
                          <a:srcRect/>
                          <a:stretch>
                            <a:fillRect/>
                          </a:stretch>
                        </pic:blipFill>
                        <pic:spPr>
                          <a:xfrm>
                            <a:off x="0" y="0"/>
                            <a:ext cx="4762811" cy="1133549"/>
                          </a:xfrm>
                          <a:prstGeom prst="rect">
                            <a:avLst/>
                          </a:prstGeom>
                        </pic:spPr>
                      </pic:pic>
                    </a:graphicData>
                  </a:graphic>
                </wp:inline>
              </w:drawing>
            </w:r>
          </w:p>
          <w:p w14:paraId="0CFD2EC2" w14:textId="77777777" w:rsidR="00D60F0C" w:rsidRDefault="00D60F0C" w:rsidP="00D60F0C">
            <w:pPr>
              <w:spacing w:after="120" w:line="240" w:lineRule="auto"/>
              <w:ind w:left="709"/>
              <w:jc w:val="left"/>
              <w:rPr>
                <w:rFonts w:ascii="Book Antiqua" w:hAnsi="Book Antiqua"/>
                <w:sz w:val="24"/>
                <w:szCs w:val="24"/>
              </w:rPr>
            </w:pPr>
          </w:p>
          <w:p w14:paraId="05D565AB" w14:textId="77777777" w:rsidR="00427373" w:rsidRDefault="00427373" w:rsidP="00F22110">
            <w:pPr>
              <w:spacing w:after="120" w:line="240" w:lineRule="auto"/>
              <w:ind w:left="353" w:firstLine="709"/>
              <w:rPr>
                <w:rFonts w:ascii="Book Antiqua" w:hAnsi="Book Antiqua"/>
                <w:sz w:val="24"/>
                <w:szCs w:val="24"/>
              </w:rPr>
            </w:pPr>
          </w:p>
          <w:p w14:paraId="263F7392" w14:textId="77777777" w:rsidR="00427373" w:rsidRDefault="00427373" w:rsidP="00F22110">
            <w:pPr>
              <w:spacing w:after="120" w:line="240" w:lineRule="auto"/>
              <w:ind w:left="353" w:firstLine="709"/>
              <w:rPr>
                <w:rFonts w:ascii="Book Antiqua" w:hAnsi="Book Antiqua"/>
                <w:sz w:val="24"/>
                <w:szCs w:val="24"/>
              </w:rPr>
            </w:pPr>
          </w:p>
          <w:p w14:paraId="493A9C44" w14:textId="77777777" w:rsidR="00427373" w:rsidRDefault="00427373" w:rsidP="00F22110">
            <w:pPr>
              <w:spacing w:after="120" w:line="240" w:lineRule="auto"/>
              <w:ind w:left="353" w:firstLine="709"/>
              <w:rPr>
                <w:rFonts w:ascii="Book Antiqua" w:hAnsi="Book Antiqua"/>
                <w:sz w:val="24"/>
                <w:szCs w:val="24"/>
              </w:rPr>
            </w:pPr>
          </w:p>
          <w:p w14:paraId="07017A9A" w14:textId="77777777" w:rsidR="00427373" w:rsidRDefault="00427373" w:rsidP="00F22110">
            <w:pPr>
              <w:spacing w:after="120" w:line="240" w:lineRule="auto"/>
              <w:ind w:left="353" w:firstLine="709"/>
              <w:rPr>
                <w:rFonts w:ascii="Book Antiqua" w:hAnsi="Book Antiqua"/>
                <w:sz w:val="24"/>
                <w:szCs w:val="24"/>
              </w:rPr>
            </w:pPr>
          </w:p>
          <w:p w14:paraId="641A9351" w14:textId="77777777" w:rsidR="00427373" w:rsidRDefault="00427373" w:rsidP="00F22110">
            <w:pPr>
              <w:spacing w:after="120" w:line="240" w:lineRule="auto"/>
              <w:ind w:left="353" w:firstLine="709"/>
              <w:rPr>
                <w:rFonts w:ascii="Book Antiqua" w:hAnsi="Book Antiqua"/>
                <w:sz w:val="24"/>
                <w:szCs w:val="24"/>
              </w:rPr>
            </w:pPr>
          </w:p>
          <w:p w14:paraId="11F15EC5" w14:textId="77777777" w:rsidR="00427373" w:rsidRDefault="00427373" w:rsidP="00F22110">
            <w:pPr>
              <w:spacing w:after="120" w:line="240" w:lineRule="auto"/>
              <w:ind w:left="353" w:firstLine="709"/>
              <w:rPr>
                <w:rFonts w:ascii="Book Antiqua" w:hAnsi="Book Antiqua"/>
                <w:sz w:val="24"/>
                <w:szCs w:val="24"/>
              </w:rPr>
            </w:pPr>
          </w:p>
          <w:p w14:paraId="2799081F" w14:textId="77777777" w:rsidR="00427373" w:rsidRDefault="00427373" w:rsidP="00F22110">
            <w:pPr>
              <w:spacing w:after="120" w:line="240" w:lineRule="auto"/>
              <w:ind w:left="353" w:firstLine="709"/>
              <w:rPr>
                <w:rFonts w:ascii="Book Antiqua" w:hAnsi="Book Antiqua"/>
                <w:sz w:val="24"/>
                <w:szCs w:val="24"/>
              </w:rPr>
            </w:pPr>
          </w:p>
          <w:p w14:paraId="51823628" w14:textId="73CD573F" w:rsidR="00F22110" w:rsidRDefault="00855285" w:rsidP="00F22110">
            <w:pPr>
              <w:spacing w:after="120" w:line="240" w:lineRule="auto"/>
              <w:ind w:left="353" w:firstLine="709"/>
              <w:rPr>
                <w:rFonts w:ascii="Book Antiqua" w:hAnsi="Book Antiqua"/>
                <w:sz w:val="24"/>
                <w:szCs w:val="24"/>
              </w:rPr>
            </w:pPr>
            <w:r w:rsidRPr="00E54420">
              <w:rPr>
                <w:rFonts w:ascii="Book Antiqua" w:hAnsi="Book Antiqua"/>
                <w:sz w:val="24"/>
                <w:szCs w:val="24"/>
              </w:rPr>
              <w:lastRenderedPageBreak/>
              <w:t>Regarding the risk aspect of gold investment, respondents believe that liquidity risk is the main risk that must be paid the most attention with a weight of 42%. With the volatile nature of gold prices, a gold portfolio composition that is too large poses a risk to the liquidity of hajj fund. Liquidity risk as stated in POJK number 18/POJK.03/2016 concerning the Implementation of Risk Management for Shareholders occurs when a bank fails to fulfill its maturing obligations with assets that can be used as collateral or sources of cash flow funding. This can disrupt the bank's activities and financial conditions for trading. Government Regulation Number 5 of 2018 concerning Implementation of Law Number 34 concerning Hajj Financial Management has actually reduced the liquidity risk related to gold investment for BPKH by limiting gold investment to 5% of the total investment and placement of Hajj Financing.</w:t>
            </w:r>
          </w:p>
          <w:p w14:paraId="6AA8AD36" w14:textId="4150BD7D" w:rsidR="00855285" w:rsidRPr="00E54420" w:rsidRDefault="00855285" w:rsidP="00F22110">
            <w:pPr>
              <w:spacing w:after="240" w:line="240" w:lineRule="auto"/>
              <w:ind w:left="352" w:firstLine="709"/>
              <w:rPr>
                <w:rFonts w:ascii="Book Antiqua" w:hAnsi="Book Antiqua"/>
                <w:sz w:val="24"/>
                <w:szCs w:val="24"/>
              </w:rPr>
            </w:pPr>
            <w:r w:rsidRPr="00E54420">
              <w:rPr>
                <w:rFonts w:ascii="Book Antiqua" w:hAnsi="Book Antiqua"/>
                <w:sz w:val="24"/>
                <w:szCs w:val="24"/>
              </w:rPr>
              <w:t xml:space="preserve">Furthermore, operational risk and market risk both have a weight of 23%. The last sequence is the risk of return which has a weight of 12%. BPKH’s investment in </w:t>
            </w:r>
            <w:proofErr w:type="spellStart"/>
            <w:r w:rsidRPr="00E54420">
              <w:rPr>
                <w:rFonts w:ascii="Book Antiqua" w:hAnsi="Book Antiqua"/>
                <w:sz w:val="24"/>
                <w:szCs w:val="24"/>
              </w:rPr>
              <w:t>Pegadaian</w:t>
            </w:r>
            <w:proofErr w:type="spellEnd"/>
            <w:r w:rsidRPr="00E54420">
              <w:rPr>
                <w:rFonts w:ascii="Book Antiqua" w:hAnsi="Book Antiqua"/>
                <w:sz w:val="24"/>
                <w:szCs w:val="24"/>
              </w:rPr>
              <w:t xml:space="preserve"> gold account is a mitigation of operational risk since the physical gold bar is stored by PT </w:t>
            </w:r>
            <w:proofErr w:type="spellStart"/>
            <w:r w:rsidRPr="00E54420">
              <w:rPr>
                <w:rFonts w:ascii="Book Antiqua" w:hAnsi="Book Antiqua"/>
                <w:sz w:val="24"/>
                <w:szCs w:val="24"/>
              </w:rPr>
              <w:t>Pegadaian</w:t>
            </w:r>
            <w:proofErr w:type="spellEnd"/>
            <w:r w:rsidRPr="00E54420">
              <w:rPr>
                <w:rFonts w:ascii="Book Antiqua" w:hAnsi="Book Antiqua"/>
                <w:sz w:val="24"/>
                <w:szCs w:val="24"/>
              </w:rPr>
              <w:t xml:space="preserve">. PT </w:t>
            </w:r>
            <w:proofErr w:type="spellStart"/>
            <w:r w:rsidRPr="00E54420">
              <w:rPr>
                <w:rFonts w:ascii="Book Antiqua" w:hAnsi="Book Antiqua"/>
                <w:sz w:val="24"/>
                <w:szCs w:val="24"/>
              </w:rPr>
              <w:t>Pegadaian</w:t>
            </w:r>
            <w:proofErr w:type="spellEnd"/>
            <w:r w:rsidRPr="00E54420">
              <w:rPr>
                <w:rFonts w:ascii="Book Antiqua" w:hAnsi="Book Antiqua"/>
                <w:sz w:val="24"/>
                <w:szCs w:val="24"/>
              </w:rPr>
              <w:t xml:space="preserve"> is a State-Owned Enterprise which have 122 years old experience in managing transactions and storing gold. </w:t>
            </w:r>
            <w:proofErr w:type="spellStart"/>
            <w:r w:rsidRPr="00E54420">
              <w:rPr>
                <w:rFonts w:ascii="Book Antiqua" w:hAnsi="Book Antiqua"/>
                <w:sz w:val="24"/>
                <w:szCs w:val="24"/>
              </w:rPr>
              <w:t>Pegadaian</w:t>
            </w:r>
            <w:proofErr w:type="spellEnd"/>
            <w:r w:rsidRPr="00E54420">
              <w:rPr>
                <w:rFonts w:ascii="Book Antiqua" w:hAnsi="Book Antiqua"/>
                <w:sz w:val="24"/>
                <w:szCs w:val="24"/>
              </w:rPr>
              <w:t xml:space="preserve"> uses the principles of Good Corporate Governance (GCG) which support the values of justice, independence, responsibility, accountability and transparency in managing its company (pegadaian.co.id). Investing in physical gold bullion is considered to have a bigger operational risk. Market risk and return risk can be mitigated by paying attention to price movements to determine the best timing for investing in gold. In 2023, BPKH has divested </w:t>
            </w:r>
            <w:proofErr w:type="spellStart"/>
            <w:r w:rsidRPr="00E54420">
              <w:rPr>
                <w:rFonts w:ascii="Book Antiqua" w:hAnsi="Book Antiqua"/>
                <w:sz w:val="24"/>
                <w:szCs w:val="24"/>
              </w:rPr>
              <w:t>Pegadaian</w:t>
            </w:r>
            <w:proofErr w:type="spellEnd"/>
            <w:r w:rsidRPr="00E54420">
              <w:rPr>
                <w:rFonts w:ascii="Book Antiqua" w:hAnsi="Book Antiqua"/>
                <w:sz w:val="24"/>
                <w:szCs w:val="24"/>
              </w:rPr>
              <w:t xml:space="preserve"> gold accounts with a return of 12% within a period of ± 1 year (BPKH, 2023).</w:t>
            </w:r>
          </w:p>
          <w:p w14:paraId="6409CECD" w14:textId="25DFFF75" w:rsidR="00855285" w:rsidRPr="00F22110" w:rsidRDefault="00855285" w:rsidP="00F22110">
            <w:pPr>
              <w:spacing w:after="120" w:line="240" w:lineRule="auto"/>
              <w:ind w:left="353"/>
              <w:jc w:val="center"/>
              <w:rPr>
                <w:rFonts w:ascii="Book Antiqua" w:hAnsi="Book Antiqua"/>
                <w:b/>
                <w:bCs/>
                <w:sz w:val="24"/>
                <w:szCs w:val="24"/>
              </w:rPr>
            </w:pPr>
            <w:r w:rsidRPr="00F22110">
              <w:rPr>
                <w:rFonts w:ascii="Book Antiqua" w:eastAsiaTheme="majorEastAsia" w:hAnsi="Book Antiqua" w:cs="Times New Roman"/>
                <w:b/>
                <w:bCs/>
                <w:sz w:val="24"/>
                <w:szCs w:val="24"/>
                <w:lang w:val="en-GB"/>
              </w:rPr>
              <w:t>Table 20. Syariah Compliance in Gold Investment</w:t>
            </w:r>
          </w:p>
          <w:p w14:paraId="0B5D603E" w14:textId="67F78757" w:rsidR="00F22110" w:rsidRDefault="00855285" w:rsidP="00D60F0C">
            <w:pPr>
              <w:spacing w:after="120" w:line="240" w:lineRule="auto"/>
              <w:ind w:left="851" w:right="746"/>
              <w:jc w:val="center"/>
              <w:rPr>
                <w:rFonts w:ascii="Book Antiqua" w:hAnsi="Book Antiqua"/>
                <w:sz w:val="24"/>
                <w:szCs w:val="24"/>
              </w:rPr>
            </w:pPr>
            <w:r w:rsidRPr="00E54420">
              <w:rPr>
                <w:b/>
                <w:noProof/>
              </w:rPr>
              <w:drawing>
                <wp:inline distT="0" distB="0" distL="0" distR="0" wp14:anchorId="39BB79EC" wp14:editId="73574C02">
                  <wp:extent cx="3846979" cy="2217223"/>
                  <wp:effectExtent l="0" t="0" r="1270" b="0"/>
                  <wp:docPr id="43" name="image12.png" descr="A graph of a number of blu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2.png" descr="A graph of a number of blue bars&#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88547" cy="2241181"/>
                          </a:xfrm>
                          <a:prstGeom prst="rect">
                            <a:avLst/>
                          </a:prstGeom>
                          <a:noFill/>
                          <a:ln>
                            <a:noFill/>
                          </a:ln>
                        </pic:spPr>
                      </pic:pic>
                    </a:graphicData>
                  </a:graphic>
                </wp:inline>
              </w:drawing>
            </w:r>
          </w:p>
          <w:p w14:paraId="6682E2D5" w14:textId="77777777" w:rsidR="00D60F0C" w:rsidRDefault="00D60F0C" w:rsidP="00D60F0C">
            <w:pPr>
              <w:spacing w:after="120" w:line="240" w:lineRule="auto"/>
              <w:ind w:left="851" w:right="746"/>
              <w:jc w:val="center"/>
              <w:rPr>
                <w:rFonts w:ascii="Book Antiqua" w:hAnsi="Book Antiqua"/>
                <w:sz w:val="24"/>
                <w:szCs w:val="24"/>
              </w:rPr>
            </w:pPr>
          </w:p>
          <w:p w14:paraId="0E86D979" w14:textId="77777777" w:rsidR="00427373" w:rsidRDefault="00427373" w:rsidP="00F22110">
            <w:pPr>
              <w:spacing w:after="120" w:line="240" w:lineRule="auto"/>
              <w:ind w:left="353" w:firstLine="709"/>
              <w:rPr>
                <w:rFonts w:ascii="Book Antiqua" w:hAnsi="Book Antiqua"/>
                <w:sz w:val="24"/>
                <w:szCs w:val="24"/>
              </w:rPr>
            </w:pPr>
          </w:p>
          <w:p w14:paraId="65D07852" w14:textId="77777777" w:rsidR="00427373" w:rsidRDefault="00427373" w:rsidP="00F22110">
            <w:pPr>
              <w:spacing w:after="120" w:line="240" w:lineRule="auto"/>
              <w:ind w:left="353" w:firstLine="709"/>
              <w:rPr>
                <w:rFonts w:ascii="Book Antiqua" w:hAnsi="Book Antiqua"/>
                <w:sz w:val="24"/>
                <w:szCs w:val="24"/>
              </w:rPr>
            </w:pPr>
          </w:p>
          <w:p w14:paraId="150BA41F" w14:textId="77777777" w:rsidR="00427373" w:rsidRDefault="00427373" w:rsidP="00F22110">
            <w:pPr>
              <w:spacing w:after="120" w:line="240" w:lineRule="auto"/>
              <w:ind w:left="353" w:firstLine="709"/>
              <w:rPr>
                <w:rFonts w:ascii="Book Antiqua" w:hAnsi="Book Antiqua"/>
                <w:sz w:val="24"/>
                <w:szCs w:val="24"/>
              </w:rPr>
            </w:pPr>
          </w:p>
          <w:p w14:paraId="7F618D72" w14:textId="77777777" w:rsidR="00427373" w:rsidRDefault="00427373" w:rsidP="00F22110">
            <w:pPr>
              <w:spacing w:after="120" w:line="240" w:lineRule="auto"/>
              <w:ind w:left="353" w:firstLine="709"/>
              <w:rPr>
                <w:rFonts w:ascii="Book Antiqua" w:hAnsi="Book Antiqua"/>
                <w:sz w:val="24"/>
                <w:szCs w:val="24"/>
              </w:rPr>
            </w:pPr>
          </w:p>
          <w:p w14:paraId="29A140F9" w14:textId="77777777" w:rsidR="00427373" w:rsidRDefault="00427373" w:rsidP="00F22110">
            <w:pPr>
              <w:spacing w:after="120" w:line="240" w:lineRule="auto"/>
              <w:ind w:left="353" w:firstLine="709"/>
              <w:rPr>
                <w:rFonts w:ascii="Book Antiqua" w:hAnsi="Book Antiqua"/>
                <w:sz w:val="24"/>
                <w:szCs w:val="24"/>
              </w:rPr>
            </w:pPr>
          </w:p>
          <w:p w14:paraId="6E3BE165" w14:textId="5C7C5A4E" w:rsidR="00855285" w:rsidRPr="00E54420" w:rsidRDefault="00855285" w:rsidP="00F22110">
            <w:pPr>
              <w:spacing w:after="120" w:line="240" w:lineRule="auto"/>
              <w:ind w:left="353" w:firstLine="709"/>
              <w:rPr>
                <w:rFonts w:ascii="Book Antiqua" w:hAnsi="Book Antiqua"/>
                <w:sz w:val="24"/>
                <w:szCs w:val="24"/>
              </w:rPr>
            </w:pPr>
            <w:r w:rsidRPr="00E54420">
              <w:rPr>
                <w:rFonts w:ascii="Book Antiqua" w:hAnsi="Book Antiqua"/>
                <w:sz w:val="24"/>
                <w:szCs w:val="24"/>
              </w:rPr>
              <w:lastRenderedPageBreak/>
              <w:t xml:space="preserve">The dimension of sharia compliance is considered equally important in both gold bullion instruments and </w:t>
            </w:r>
            <w:proofErr w:type="spellStart"/>
            <w:r w:rsidRPr="00E54420">
              <w:rPr>
                <w:rFonts w:ascii="Book Antiqua" w:hAnsi="Book Antiqua"/>
                <w:sz w:val="24"/>
                <w:szCs w:val="24"/>
              </w:rPr>
              <w:t>Pegadaian</w:t>
            </w:r>
            <w:proofErr w:type="spellEnd"/>
            <w:r w:rsidRPr="00E54420">
              <w:rPr>
                <w:rFonts w:ascii="Book Antiqua" w:hAnsi="Book Antiqua"/>
                <w:sz w:val="24"/>
                <w:szCs w:val="24"/>
              </w:rPr>
              <w:t xml:space="preserve"> gold accounts where both sub-criteria have the same weight, namely 50%. Sharia compliance in gold bullion investment is met with the following conditions:</w:t>
            </w:r>
          </w:p>
          <w:p w14:paraId="0A42C3A6" w14:textId="77777777" w:rsidR="00855285" w:rsidRPr="00E54420" w:rsidRDefault="00855285" w:rsidP="00F22110">
            <w:pPr>
              <w:pStyle w:val="ListParagraph"/>
              <w:numPr>
                <w:ilvl w:val="1"/>
                <w:numId w:val="38"/>
              </w:numPr>
              <w:spacing w:after="120" w:line="240" w:lineRule="auto"/>
              <w:ind w:left="1062" w:hanging="425"/>
              <w:rPr>
                <w:rFonts w:ascii="Book Antiqua" w:hAnsi="Book Antiqua"/>
                <w:sz w:val="24"/>
                <w:szCs w:val="24"/>
              </w:rPr>
            </w:pPr>
            <w:r w:rsidRPr="00E54420">
              <w:rPr>
                <w:rFonts w:ascii="Book Antiqua" w:hAnsi="Book Antiqua"/>
                <w:sz w:val="24"/>
                <w:szCs w:val="24"/>
              </w:rPr>
              <w:t>Only done in cash, scholars agree that a trade is considered usury if it is not carried out in cash.</w:t>
            </w:r>
          </w:p>
          <w:p w14:paraId="3E5876C5" w14:textId="77777777" w:rsidR="00855285" w:rsidRPr="00E54420" w:rsidRDefault="00855285" w:rsidP="00F22110">
            <w:pPr>
              <w:pStyle w:val="ListParagraph"/>
              <w:numPr>
                <w:ilvl w:val="1"/>
                <w:numId w:val="38"/>
              </w:numPr>
              <w:spacing w:after="120" w:line="240" w:lineRule="auto"/>
              <w:ind w:left="1062" w:hanging="425"/>
              <w:rPr>
                <w:rFonts w:ascii="Book Antiqua" w:hAnsi="Book Antiqua"/>
                <w:sz w:val="24"/>
                <w:szCs w:val="24"/>
              </w:rPr>
            </w:pPr>
            <w:r w:rsidRPr="00E54420">
              <w:rPr>
                <w:rFonts w:ascii="Book Antiqua" w:hAnsi="Book Antiqua"/>
                <w:sz w:val="24"/>
                <w:szCs w:val="24"/>
              </w:rPr>
              <w:t xml:space="preserve">If a non-cash transaction occurs, it must comply with or comply with the National Sharia Council Fatwa Number 77/DSN-MUI/V/2010 concerning Non-Cash Gold Buying and Selling. </w:t>
            </w:r>
          </w:p>
          <w:p w14:paraId="3C420A26" w14:textId="2A4653BF" w:rsidR="00D60F0C" w:rsidRPr="00427373" w:rsidRDefault="00855285" w:rsidP="00427373">
            <w:pPr>
              <w:spacing w:after="240" w:line="240" w:lineRule="auto"/>
              <w:ind w:left="353" w:firstLine="851"/>
              <w:rPr>
                <w:rFonts w:ascii="Book Antiqua" w:hAnsi="Book Antiqua"/>
                <w:sz w:val="24"/>
                <w:szCs w:val="24"/>
              </w:rPr>
            </w:pPr>
            <w:r w:rsidRPr="00E54420">
              <w:rPr>
                <w:rFonts w:ascii="Book Antiqua" w:hAnsi="Book Antiqua"/>
                <w:sz w:val="24"/>
                <w:szCs w:val="24"/>
              </w:rPr>
              <w:t xml:space="preserve">Meanwhile, BPKH's investment in the </w:t>
            </w:r>
            <w:proofErr w:type="spellStart"/>
            <w:r w:rsidRPr="00E54420">
              <w:rPr>
                <w:rFonts w:ascii="Book Antiqua" w:hAnsi="Book Antiqua"/>
                <w:sz w:val="24"/>
                <w:szCs w:val="24"/>
              </w:rPr>
              <w:t>Pegadaian</w:t>
            </w:r>
            <w:proofErr w:type="spellEnd"/>
            <w:r w:rsidRPr="00E54420">
              <w:rPr>
                <w:rFonts w:ascii="Book Antiqua" w:hAnsi="Book Antiqua"/>
                <w:sz w:val="24"/>
                <w:szCs w:val="24"/>
              </w:rPr>
              <w:t xml:space="preserve"> Gold Account has fulfilled sharia compliance because the </w:t>
            </w:r>
            <w:proofErr w:type="spellStart"/>
            <w:r w:rsidRPr="00E54420">
              <w:rPr>
                <w:rFonts w:ascii="Book Antiqua" w:hAnsi="Book Antiqua"/>
                <w:sz w:val="24"/>
                <w:szCs w:val="24"/>
              </w:rPr>
              <w:t>Pegadaian</w:t>
            </w:r>
            <w:proofErr w:type="spellEnd"/>
            <w:r w:rsidRPr="00E54420">
              <w:rPr>
                <w:rFonts w:ascii="Book Antiqua" w:hAnsi="Book Antiqua"/>
                <w:sz w:val="24"/>
                <w:szCs w:val="24"/>
              </w:rPr>
              <w:t xml:space="preserve"> Gold Savings product has received endorsement from the PT </w:t>
            </w:r>
            <w:proofErr w:type="spellStart"/>
            <w:r w:rsidRPr="00E54420">
              <w:rPr>
                <w:rFonts w:ascii="Book Antiqua" w:hAnsi="Book Antiqua"/>
                <w:sz w:val="24"/>
                <w:szCs w:val="24"/>
              </w:rPr>
              <w:t>Pegadaian</w:t>
            </w:r>
            <w:proofErr w:type="spellEnd"/>
            <w:r w:rsidRPr="00E54420">
              <w:rPr>
                <w:rFonts w:ascii="Book Antiqua" w:hAnsi="Book Antiqua"/>
                <w:sz w:val="24"/>
                <w:szCs w:val="24"/>
              </w:rPr>
              <w:t xml:space="preserve"> Sharia Supervisory Board (Pegadaian.co.id).</w:t>
            </w:r>
          </w:p>
          <w:p w14:paraId="13DDB1F4" w14:textId="5FCC50BB" w:rsidR="00855285" w:rsidRPr="00F22110" w:rsidRDefault="00855285" w:rsidP="00F22110">
            <w:pPr>
              <w:spacing w:after="120" w:line="240" w:lineRule="auto"/>
              <w:ind w:left="212"/>
              <w:jc w:val="center"/>
              <w:rPr>
                <w:rFonts w:ascii="Book Antiqua" w:eastAsiaTheme="majorEastAsia" w:hAnsi="Book Antiqua" w:cs="Times New Roman"/>
                <w:b/>
                <w:bCs/>
                <w:sz w:val="24"/>
                <w:szCs w:val="24"/>
                <w:lang w:val="en-GB"/>
              </w:rPr>
            </w:pPr>
            <w:r w:rsidRPr="00F22110">
              <w:rPr>
                <w:rFonts w:ascii="Book Antiqua" w:eastAsiaTheme="majorEastAsia" w:hAnsi="Book Antiqua" w:cs="Times New Roman"/>
                <w:b/>
                <w:bCs/>
                <w:sz w:val="24"/>
                <w:szCs w:val="24"/>
                <w:lang w:val="en-GB"/>
              </w:rPr>
              <w:t>Table 21. Exit Strategy in Gold Investment</w:t>
            </w:r>
          </w:p>
          <w:p w14:paraId="3B008F05" w14:textId="77777777" w:rsidR="00855285" w:rsidRDefault="00855285" w:rsidP="00D60F0C">
            <w:pPr>
              <w:spacing w:after="120" w:line="240" w:lineRule="auto"/>
              <w:ind w:left="345"/>
              <w:jc w:val="center"/>
              <w:rPr>
                <w:rFonts w:ascii="Book Antiqua" w:hAnsi="Book Antiqua"/>
                <w:sz w:val="24"/>
                <w:szCs w:val="24"/>
              </w:rPr>
            </w:pPr>
            <w:r w:rsidRPr="00E54420">
              <w:rPr>
                <w:b/>
                <w:noProof/>
              </w:rPr>
              <w:drawing>
                <wp:inline distT="0" distB="0" distL="0" distR="0" wp14:anchorId="25A2E8BC" wp14:editId="62F6D8FA">
                  <wp:extent cx="3613883" cy="2276211"/>
                  <wp:effectExtent l="0" t="0" r="5715" b="0"/>
                  <wp:docPr id="44" name="image11.png" descr="A graph of blu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1.png" descr="A graph of blue bars&#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35333" cy="2289721"/>
                          </a:xfrm>
                          <a:prstGeom prst="rect">
                            <a:avLst/>
                          </a:prstGeom>
                          <a:noFill/>
                          <a:ln>
                            <a:noFill/>
                          </a:ln>
                        </pic:spPr>
                      </pic:pic>
                    </a:graphicData>
                  </a:graphic>
                </wp:inline>
              </w:drawing>
            </w:r>
          </w:p>
          <w:p w14:paraId="64E3B17C" w14:textId="77777777" w:rsidR="00F22110" w:rsidRPr="00E54420" w:rsidRDefault="00F22110" w:rsidP="00F22110">
            <w:pPr>
              <w:spacing w:after="120" w:line="240" w:lineRule="auto"/>
              <w:ind w:left="709"/>
              <w:jc w:val="center"/>
              <w:rPr>
                <w:rFonts w:ascii="Book Antiqua" w:hAnsi="Book Antiqua"/>
                <w:sz w:val="24"/>
                <w:szCs w:val="24"/>
              </w:rPr>
            </w:pPr>
          </w:p>
          <w:p w14:paraId="1F7B8132" w14:textId="77777777" w:rsidR="00855285" w:rsidRPr="00E54420" w:rsidRDefault="00855285" w:rsidP="00F22110">
            <w:pPr>
              <w:spacing w:after="120" w:line="240" w:lineRule="auto"/>
              <w:ind w:left="353" w:firstLine="708"/>
              <w:rPr>
                <w:rFonts w:ascii="Book Antiqua" w:hAnsi="Book Antiqua"/>
                <w:sz w:val="24"/>
                <w:szCs w:val="24"/>
              </w:rPr>
            </w:pPr>
            <w:r w:rsidRPr="00E54420">
              <w:rPr>
                <w:rFonts w:ascii="Book Antiqua" w:hAnsi="Book Antiqua"/>
                <w:sz w:val="24"/>
                <w:szCs w:val="24"/>
              </w:rPr>
              <w:t xml:space="preserve">Similar to the sharia compliance factor, the exit strategy in the form of selling gold bullion to the free market and gold accounts buyback policy by the issuing company has the same weight, namely 50%. This shows that respondents believe that sharia compliance and exit strategies must still be fulfilled when investing in gold, either through gold bullion or gold accounts instruments. Exit strategy in gold-bullion investment is done by selling the </w:t>
            </w:r>
            <w:proofErr w:type="spellStart"/>
            <w:r w:rsidRPr="00E54420">
              <w:rPr>
                <w:rFonts w:ascii="Book Antiqua" w:hAnsi="Book Antiqua"/>
                <w:sz w:val="24"/>
                <w:szCs w:val="24"/>
              </w:rPr>
              <w:t>goldbar</w:t>
            </w:r>
            <w:proofErr w:type="spellEnd"/>
            <w:r w:rsidRPr="00E54420">
              <w:rPr>
                <w:rFonts w:ascii="Book Antiqua" w:hAnsi="Book Antiqua"/>
                <w:sz w:val="24"/>
                <w:szCs w:val="24"/>
              </w:rPr>
              <w:t>, while exit strategy in gold-account investment is carried out in the following way:</w:t>
            </w:r>
          </w:p>
          <w:p w14:paraId="60180E7D" w14:textId="77777777" w:rsidR="00855285" w:rsidRPr="00E54420" w:rsidRDefault="00855285" w:rsidP="00F22110">
            <w:pPr>
              <w:pStyle w:val="ListParagraph"/>
              <w:numPr>
                <w:ilvl w:val="3"/>
                <w:numId w:val="37"/>
              </w:numPr>
              <w:spacing w:after="120" w:line="240" w:lineRule="auto"/>
              <w:ind w:left="1062" w:hanging="425"/>
              <w:jc w:val="both"/>
              <w:rPr>
                <w:rFonts w:ascii="Book Antiqua" w:hAnsi="Book Antiqua"/>
                <w:sz w:val="24"/>
                <w:szCs w:val="24"/>
              </w:rPr>
            </w:pPr>
            <w:r w:rsidRPr="00E54420">
              <w:rPr>
                <w:rFonts w:ascii="Book Antiqua" w:hAnsi="Book Antiqua"/>
                <w:sz w:val="24"/>
                <w:szCs w:val="24"/>
                <w:lang w:val="en-US"/>
              </w:rPr>
              <w:t>P</w:t>
            </w:r>
            <w:r w:rsidRPr="00E54420">
              <w:rPr>
                <w:rFonts w:ascii="Book Antiqua" w:hAnsi="Book Antiqua"/>
                <w:sz w:val="24"/>
                <w:szCs w:val="24"/>
              </w:rPr>
              <w:t xml:space="preserve">rinting </w:t>
            </w:r>
            <w:r w:rsidRPr="00E54420">
              <w:rPr>
                <w:rFonts w:ascii="Book Antiqua" w:hAnsi="Book Antiqua"/>
                <w:sz w:val="24"/>
                <w:szCs w:val="24"/>
                <w:lang w:val="en-US"/>
              </w:rPr>
              <w:t xml:space="preserve">the </w:t>
            </w:r>
            <w:r w:rsidRPr="00E54420">
              <w:rPr>
                <w:rFonts w:ascii="Book Antiqua" w:hAnsi="Book Antiqua"/>
                <w:sz w:val="24"/>
                <w:szCs w:val="24"/>
              </w:rPr>
              <w:t>gold</w:t>
            </w:r>
            <w:r w:rsidRPr="00E54420">
              <w:rPr>
                <w:rFonts w:ascii="Book Antiqua" w:hAnsi="Book Antiqua"/>
                <w:sz w:val="24"/>
                <w:szCs w:val="24"/>
                <w:lang w:val="en-US"/>
              </w:rPr>
              <w:t>bar</w:t>
            </w:r>
            <w:r w:rsidRPr="00E54420">
              <w:rPr>
                <w:rFonts w:ascii="Book Antiqua" w:hAnsi="Book Antiqua"/>
                <w:sz w:val="24"/>
                <w:szCs w:val="24"/>
              </w:rPr>
              <w:t xml:space="preserve"> with a </w:t>
            </w:r>
            <w:proofErr w:type="gramStart"/>
            <w:r w:rsidRPr="00E54420">
              <w:rPr>
                <w:rFonts w:ascii="Book Antiqua" w:hAnsi="Book Antiqua"/>
                <w:sz w:val="24"/>
                <w:szCs w:val="24"/>
              </w:rPr>
              <w:t>choice</w:t>
            </w:r>
            <w:r w:rsidRPr="00E54420">
              <w:rPr>
                <w:rFonts w:ascii="Book Antiqua" w:hAnsi="Book Antiqua"/>
                <w:sz w:val="24"/>
                <w:szCs w:val="24"/>
                <w:lang w:val="en-US"/>
              </w:rPr>
              <w:t>s</w:t>
            </w:r>
            <w:r w:rsidRPr="00E54420">
              <w:rPr>
                <w:rFonts w:ascii="Book Antiqua" w:hAnsi="Book Antiqua"/>
                <w:sz w:val="24"/>
                <w:szCs w:val="24"/>
              </w:rPr>
              <w:t xml:space="preserve"> of size</w:t>
            </w:r>
            <w:proofErr w:type="gramEnd"/>
            <w:r w:rsidRPr="00E54420">
              <w:rPr>
                <w:rFonts w:ascii="Book Antiqua" w:hAnsi="Book Antiqua"/>
                <w:sz w:val="24"/>
                <w:szCs w:val="24"/>
              </w:rPr>
              <w:t xml:space="preserve"> from 1 </w:t>
            </w:r>
            <w:r w:rsidRPr="00E54420">
              <w:rPr>
                <w:rFonts w:ascii="Book Antiqua" w:hAnsi="Book Antiqua"/>
                <w:sz w:val="24"/>
                <w:szCs w:val="24"/>
                <w:lang w:val="en-US"/>
              </w:rPr>
              <w:t xml:space="preserve">up </w:t>
            </w:r>
            <w:r w:rsidRPr="00E54420">
              <w:rPr>
                <w:rFonts w:ascii="Book Antiqua" w:hAnsi="Book Antiqua"/>
                <w:sz w:val="24"/>
                <w:szCs w:val="24"/>
              </w:rPr>
              <w:t>to 100 grams (pegadaian.co.id).</w:t>
            </w:r>
          </w:p>
          <w:p w14:paraId="5D278B15" w14:textId="78ACBAA7" w:rsidR="00F22110" w:rsidRPr="00D60F0C" w:rsidRDefault="00855285" w:rsidP="00D60F0C">
            <w:pPr>
              <w:pStyle w:val="ListParagraph"/>
              <w:numPr>
                <w:ilvl w:val="3"/>
                <w:numId w:val="37"/>
              </w:numPr>
              <w:spacing w:after="120" w:line="240" w:lineRule="auto"/>
              <w:ind w:left="1062" w:hanging="425"/>
              <w:jc w:val="both"/>
              <w:rPr>
                <w:rFonts w:ascii="Book Antiqua" w:hAnsi="Book Antiqua"/>
                <w:sz w:val="24"/>
                <w:szCs w:val="24"/>
              </w:rPr>
            </w:pPr>
            <w:r w:rsidRPr="00E54420">
              <w:rPr>
                <w:rFonts w:ascii="Book Antiqua" w:hAnsi="Book Antiqua"/>
                <w:sz w:val="24"/>
                <w:szCs w:val="24"/>
                <w:lang w:val="en-US"/>
              </w:rPr>
              <w:t>Gold-account b</w:t>
            </w:r>
            <w:r w:rsidRPr="00E54420">
              <w:rPr>
                <w:rFonts w:ascii="Book Antiqua" w:hAnsi="Book Antiqua"/>
                <w:sz w:val="24"/>
                <w:szCs w:val="24"/>
              </w:rPr>
              <w:t>uyback by Pegadaian. Both Pegadaian physical stores and the Pegadaian Digital Application are available for use in making buyback transactions (https://www.pegadaian.co.id/produk/tabungan-emas#).</w:t>
            </w:r>
          </w:p>
          <w:p w14:paraId="25819D75" w14:textId="77777777" w:rsidR="00427373" w:rsidRDefault="00427373" w:rsidP="00F22110">
            <w:pPr>
              <w:spacing w:after="120" w:line="240" w:lineRule="auto"/>
              <w:ind w:left="353" w:firstLine="708"/>
              <w:rPr>
                <w:rFonts w:ascii="Book Antiqua" w:hAnsi="Book Antiqua"/>
                <w:sz w:val="24"/>
                <w:szCs w:val="24"/>
              </w:rPr>
            </w:pPr>
          </w:p>
          <w:p w14:paraId="3CF870AD" w14:textId="77777777" w:rsidR="00427373" w:rsidRDefault="00427373" w:rsidP="00F22110">
            <w:pPr>
              <w:spacing w:after="120" w:line="240" w:lineRule="auto"/>
              <w:ind w:left="353" w:firstLine="708"/>
              <w:rPr>
                <w:rFonts w:ascii="Book Antiqua" w:hAnsi="Book Antiqua"/>
                <w:sz w:val="24"/>
                <w:szCs w:val="24"/>
              </w:rPr>
            </w:pPr>
          </w:p>
          <w:p w14:paraId="152CFAEC" w14:textId="77777777" w:rsidR="00427373" w:rsidRDefault="00427373" w:rsidP="00F22110">
            <w:pPr>
              <w:spacing w:after="120" w:line="240" w:lineRule="auto"/>
              <w:ind w:left="353" w:firstLine="708"/>
              <w:rPr>
                <w:rFonts w:ascii="Book Antiqua" w:hAnsi="Book Antiqua"/>
                <w:sz w:val="24"/>
                <w:szCs w:val="24"/>
              </w:rPr>
            </w:pPr>
          </w:p>
          <w:p w14:paraId="4F564BDC" w14:textId="220782AD" w:rsidR="00855285" w:rsidRPr="00E54420" w:rsidRDefault="00855285" w:rsidP="00F22110">
            <w:pPr>
              <w:spacing w:after="120" w:line="240" w:lineRule="auto"/>
              <w:ind w:left="353" w:firstLine="708"/>
              <w:rPr>
                <w:rFonts w:ascii="Book Antiqua" w:hAnsi="Book Antiqua"/>
                <w:sz w:val="24"/>
                <w:szCs w:val="24"/>
              </w:rPr>
            </w:pPr>
            <w:r w:rsidRPr="00E54420">
              <w:rPr>
                <w:rFonts w:ascii="Book Antiqua" w:hAnsi="Book Antiqua"/>
                <w:sz w:val="24"/>
                <w:szCs w:val="24"/>
              </w:rPr>
              <w:lastRenderedPageBreak/>
              <w:t>As many as 90% of respondents recommend gold accounts with the following considerations:</w:t>
            </w:r>
          </w:p>
          <w:p w14:paraId="3CA90466" w14:textId="77777777" w:rsidR="00855285" w:rsidRPr="00E54420" w:rsidRDefault="00855285" w:rsidP="00F22110">
            <w:pPr>
              <w:pStyle w:val="ListParagraph"/>
              <w:numPr>
                <w:ilvl w:val="4"/>
                <w:numId w:val="36"/>
              </w:numPr>
              <w:spacing w:after="120" w:line="240" w:lineRule="auto"/>
              <w:ind w:left="920" w:hanging="425"/>
              <w:jc w:val="both"/>
              <w:rPr>
                <w:rFonts w:ascii="Book Antiqua" w:hAnsi="Book Antiqua"/>
                <w:sz w:val="24"/>
                <w:szCs w:val="24"/>
              </w:rPr>
            </w:pPr>
            <w:r w:rsidRPr="00E54420">
              <w:rPr>
                <w:rFonts w:ascii="Book Antiqua" w:hAnsi="Book Antiqua"/>
                <w:sz w:val="24"/>
                <w:szCs w:val="24"/>
              </w:rPr>
              <w:t>Mitigating operational risks in the form of counterfeiting and loss of physical gold. Physical storage of gold is carried out by BPKH Investment Partners, in this case Pegadaian.</w:t>
            </w:r>
          </w:p>
          <w:p w14:paraId="3B1A8FDA" w14:textId="77777777" w:rsidR="00855285" w:rsidRPr="00E54420" w:rsidRDefault="00855285" w:rsidP="00F22110">
            <w:pPr>
              <w:pStyle w:val="ListParagraph"/>
              <w:numPr>
                <w:ilvl w:val="4"/>
                <w:numId w:val="36"/>
              </w:numPr>
              <w:spacing w:after="120" w:line="240" w:lineRule="auto"/>
              <w:ind w:left="920" w:hanging="425"/>
              <w:jc w:val="both"/>
              <w:rPr>
                <w:rFonts w:ascii="Book Antiqua" w:hAnsi="Book Antiqua"/>
                <w:sz w:val="24"/>
                <w:szCs w:val="24"/>
              </w:rPr>
            </w:pPr>
            <w:r w:rsidRPr="00E54420">
              <w:rPr>
                <w:rFonts w:ascii="Book Antiqua" w:hAnsi="Book Antiqua"/>
                <w:sz w:val="24"/>
                <w:szCs w:val="24"/>
              </w:rPr>
              <w:t>It is more liquid because it has an exit strategy in the form of a buyback policy or Pegadaian acts as a standby buyer who is ready to buy BPKH gold if it wants to be sold.</w:t>
            </w:r>
          </w:p>
          <w:p w14:paraId="43D298F6" w14:textId="79A2DB90" w:rsidR="00D60F0C" w:rsidRPr="00427373" w:rsidRDefault="00855285" w:rsidP="00427373">
            <w:pPr>
              <w:spacing w:after="240" w:line="240" w:lineRule="auto"/>
              <w:ind w:left="353" w:firstLine="709"/>
              <w:rPr>
                <w:rFonts w:ascii="Book Antiqua" w:hAnsi="Book Antiqua"/>
                <w:sz w:val="24"/>
                <w:szCs w:val="24"/>
              </w:rPr>
            </w:pPr>
            <w:r w:rsidRPr="00E54420">
              <w:rPr>
                <w:rFonts w:ascii="Book Antiqua" w:hAnsi="Book Antiqua"/>
                <w:sz w:val="24"/>
                <w:szCs w:val="24"/>
              </w:rPr>
              <w:t xml:space="preserve">Meanwhile, 10% of respondents preferred gold bullion instruments with clearer sharia contract considerations. The investment made by BPKH in </w:t>
            </w:r>
            <w:proofErr w:type="spellStart"/>
            <w:r w:rsidRPr="00E54420">
              <w:rPr>
                <w:rFonts w:ascii="Book Antiqua" w:hAnsi="Book Antiqua"/>
                <w:sz w:val="24"/>
                <w:szCs w:val="24"/>
              </w:rPr>
              <w:t>Pegadaian</w:t>
            </w:r>
            <w:proofErr w:type="spellEnd"/>
            <w:r w:rsidRPr="00E54420">
              <w:rPr>
                <w:rFonts w:ascii="Book Antiqua" w:hAnsi="Book Antiqua"/>
                <w:sz w:val="24"/>
                <w:szCs w:val="24"/>
              </w:rPr>
              <w:t xml:space="preserve"> Gold-Accounts are in accordance with the recommendations of the majority of ANP respondents consisting of BPKH officials, DSN-MUI, </w:t>
            </w:r>
            <w:proofErr w:type="spellStart"/>
            <w:r w:rsidRPr="00E54420">
              <w:rPr>
                <w:rFonts w:ascii="Book Antiqua" w:hAnsi="Book Antiqua"/>
                <w:sz w:val="24"/>
                <w:szCs w:val="24"/>
              </w:rPr>
              <w:t>Pegadaian</w:t>
            </w:r>
            <w:proofErr w:type="spellEnd"/>
            <w:r w:rsidRPr="00E54420">
              <w:rPr>
                <w:rFonts w:ascii="Book Antiqua" w:hAnsi="Book Antiqua"/>
                <w:sz w:val="24"/>
                <w:szCs w:val="24"/>
              </w:rPr>
              <w:t xml:space="preserve"> officials, academics and practitioners.</w:t>
            </w:r>
          </w:p>
          <w:p w14:paraId="284EA304" w14:textId="158180E5" w:rsidR="00855285" w:rsidRPr="00E54420" w:rsidRDefault="00855285" w:rsidP="00F22110">
            <w:pPr>
              <w:pStyle w:val="Heading1"/>
              <w:numPr>
                <w:ilvl w:val="0"/>
                <w:numId w:val="1"/>
              </w:numPr>
              <w:spacing w:before="0" w:after="120"/>
              <w:ind w:left="353" w:right="-330"/>
              <w:contextualSpacing/>
              <w:rPr>
                <w:rFonts w:ascii="Book Antiqua" w:hAnsi="Book Antiqua" w:cs="Times New Roman"/>
                <w:sz w:val="24"/>
                <w:szCs w:val="24"/>
              </w:rPr>
            </w:pPr>
            <w:r w:rsidRPr="00E54420">
              <w:rPr>
                <w:rFonts w:ascii="Book Antiqua" w:hAnsi="Book Antiqua" w:cs="Times New Roman"/>
                <w:sz w:val="24"/>
                <w:szCs w:val="24"/>
              </w:rPr>
              <w:t>Conclusions &amp; Policy Recommendation</w:t>
            </w:r>
          </w:p>
          <w:p w14:paraId="6BD08E1E" w14:textId="77777777" w:rsidR="00855285" w:rsidRPr="00E54420" w:rsidRDefault="00855285" w:rsidP="00F22110">
            <w:pPr>
              <w:spacing w:after="120" w:line="240" w:lineRule="auto"/>
              <w:rPr>
                <w:rFonts w:ascii="Book Antiqua" w:hAnsi="Book Antiqua"/>
                <w:sz w:val="24"/>
                <w:szCs w:val="24"/>
                <w:lang w:val="en-GB"/>
              </w:rPr>
            </w:pPr>
            <w:r w:rsidRPr="00E54420">
              <w:rPr>
                <w:rFonts w:ascii="Book Antiqua" w:hAnsi="Book Antiqua"/>
                <w:sz w:val="24"/>
                <w:szCs w:val="24"/>
                <w:lang w:val="en-GB"/>
              </w:rPr>
              <w:t>The conclusions of this research are as follows:</w:t>
            </w:r>
          </w:p>
          <w:p w14:paraId="1DC29F05" w14:textId="77777777" w:rsidR="00F22110" w:rsidRDefault="00855285" w:rsidP="00F22110">
            <w:pPr>
              <w:pStyle w:val="ListParagraph"/>
              <w:numPr>
                <w:ilvl w:val="0"/>
                <w:numId w:val="40"/>
              </w:numPr>
              <w:spacing w:after="120" w:line="240" w:lineRule="auto"/>
              <w:ind w:left="918" w:hanging="425"/>
              <w:contextualSpacing w:val="0"/>
              <w:jc w:val="both"/>
              <w:rPr>
                <w:rFonts w:ascii="Book Antiqua" w:hAnsi="Book Antiqua"/>
                <w:sz w:val="24"/>
                <w:szCs w:val="24"/>
              </w:rPr>
            </w:pPr>
            <w:r w:rsidRPr="00E54420">
              <w:rPr>
                <w:rFonts w:ascii="Book Antiqua" w:hAnsi="Book Antiqua"/>
                <w:sz w:val="24"/>
                <w:szCs w:val="24"/>
              </w:rPr>
              <w:t>The results of multiple linear regression analysis answer the first problem, namely how macroeconomic factors influence the price movement of Pegadaian gold accounts. The results of the analysis show that the international gold price variables, the Rupiah exchange rate against USD, the inflation rate, and the economic growth rate have a significant effect on the price of Pegadaian gold accounts. Meanwhile, the reference interest rate does not have a significant effect on the price of Pegadaian gold accounts. The variables of international gold prices and the Rupiah exchange rate against the USD have a positive correlation, while the variables of the inflation rate, reference interest rate and economic growth rate have a negative correlation with the price of Pegadaian gold accounts.</w:t>
            </w:r>
            <w:r w:rsidRPr="00E54420">
              <w:rPr>
                <w:rFonts w:ascii="Book Antiqua" w:hAnsi="Book Antiqua"/>
                <w:sz w:val="24"/>
                <w:szCs w:val="24"/>
                <w:lang w:val="en-US"/>
              </w:rPr>
              <w:t xml:space="preserve"> </w:t>
            </w:r>
            <w:r w:rsidRPr="00E54420">
              <w:rPr>
                <w:rFonts w:ascii="Book Antiqua" w:hAnsi="Book Antiqua"/>
                <w:sz w:val="24"/>
                <w:szCs w:val="24"/>
              </w:rPr>
              <w:t xml:space="preserve">The results of the ANP questionnaire </w:t>
            </w:r>
            <w:r w:rsidRPr="00E54420">
              <w:rPr>
                <w:rFonts w:ascii="Book Antiqua" w:hAnsi="Book Antiqua"/>
                <w:sz w:val="24"/>
                <w:szCs w:val="24"/>
                <w:lang w:val="en-US"/>
              </w:rPr>
              <w:t>analysis</w:t>
            </w:r>
            <w:r w:rsidRPr="00E54420">
              <w:rPr>
                <w:rFonts w:ascii="Book Antiqua" w:hAnsi="Book Antiqua"/>
                <w:sz w:val="24"/>
                <w:szCs w:val="24"/>
              </w:rPr>
              <w:t xml:space="preserve"> confirmed the results of the multiple linear regression analysis, stating that the international gold price, the Rupiah exchange rate against the USD, and the inflation rate were the three main macroeconomic factors that influenced gold price movements. With a weight of 25%, the exchange rate variable is considered to have the most influence on changes in gold prices. The international gold price variable and the inflation rate are seen as the next variables that influence changes in gold prices with a weight of 19% each. The level of economic growth and interest rates are in last place with a weight of 18% and 17% respectively.</w:t>
            </w:r>
          </w:p>
          <w:p w14:paraId="761676DD" w14:textId="09571319" w:rsidR="00F22110" w:rsidRPr="00D60F0C" w:rsidRDefault="00855285" w:rsidP="00D60F0C">
            <w:pPr>
              <w:pStyle w:val="ListParagraph"/>
              <w:numPr>
                <w:ilvl w:val="0"/>
                <w:numId w:val="40"/>
              </w:numPr>
              <w:spacing w:after="120" w:line="240" w:lineRule="auto"/>
              <w:ind w:left="918" w:hanging="425"/>
              <w:contextualSpacing w:val="0"/>
              <w:jc w:val="both"/>
              <w:rPr>
                <w:rFonts w:ascii="Book Antiqua" w:hAnsi="Book Antiqua"/>
                <w:sz w:val="24"/>
                <w:szCs w:val="24"/>
              </w:rPr>
            </w:pPr>
            <w:r w:rsidRPr="00F22110">
              <w:rPr>
                <w:rFonts w:ascii="Book Antiqua" w:hAnsi="Book Antiqua"/>
                <w:sz w:val="24"/>
                <w:szCs w:val="24"/>
              </w:rPr>
              <w:t xml:space="preserve">The second </w:t>
            </w:r>
            <w:r w:rsidRPr="00F22110">
              <w:rPr>
                <w:rFonts w:ascii="Book Antiqua" w:hAnsi="Book Antiqua"/>
                <w:sz w:val="24"/>
                <w:szCs w:val="24"/>
                <w:lang w:val="en-US"/>
              </w:rPr>
              <w:t>objective</w:t>
            </w:r>
            <w:r w:rsidRPr="00F22110">
              <w:rPr>
                <w:rFonts w:ascii="Book Antiqua" w:hAnsi="Book Antiqua"/>
                <w:sz w:val="24"/>
                <w:szCs w:val="24"/>
              </w:rPr>
              <w:t xml:space="preserve"> in the research</w:t>
            </w:r>
            <w:r w:rsidRPr="00F22110">
              <w:rPr>
                <w:rFonts w:ascii="Book Antiqua" w:hAnsi="Book Antiqua"/>
                <w:sz w:val="24"/>
                <w:szCs w:val="24"/>
                <w:lang w:val="en-US"/>
              </w:rPr>
              <w:t xml:space="preserve"> to analyze</w:t>
            </w:r>
            <w:r w:rsidRPr="00F22110">
              <w:rPr>
                <w:rFonts w:ascii="Book Antiqua" w:hAnsi="Book Antiqua"/>
                <w:sz w:val="24"/>
                <w:szCs w:val="24"/>
              </w:rPr>
              <w:t xml:space="preserve"> </w:t>
            </w:r>
            <w:r w:rsidRPr="00F22110">
              <w:rPr>
                <w:rFonts w:ascii="Book Antiqua" w:hAnsi="Book Antiqua"/>
                <w:sz w:val="24"/>
                <w:szCs w:val="24"/>
                <w:lang w:val="en-US"/>
              </w:rPr>
              <w:t>the</w:t>
            </w:r>
            <w:r w:rsidRPr="00F22110">
              <w:rPr>
                <w:rFonts w:ascii="Book Antiqua" w:hAnsi="Book Antiqua"/>
                <w:sz w:val="24"/>
                <w:szCs w:val="24"/>
              </w:rPr>
              <w:t xml:space="preserve"> factors BPKH must pay attention to when investing in gold, was answered through the results of the ANP questionnaire data processing, which shows that BPKH needs to pay attention to several factors in investing in gold, namely: macroeconomic factors, risk factors, and sharia compliance. All three have the same weight of 31%, while exit strategy is the last priority with a weight of 7%.</w:t>
            </w:r>
          </w:p>
          <w:p w14:paraId="3BB39F6D" w14:textId="77777777" w:rsidR="00427373" w:rsidRDefault="00427373" w:rsidP="00427373">
            <w:pPr>
              <w:pStyle w:val="ListParagraph"/>
              <w:spacing w:after="120" w:line="240" w:lineRule="auto"/>
              <w:ind w:left="918"/>
              <w:contextualSpacing w:val="0"/>
              <w:jc w:val="both"/>
              <w:rPr>
                <w:rFonts w:ascii="Book Antiqua" w:hAnsi="Book Antiqua"/>
                <w:sz w:val="24"/>
                <w:szCs w:val="24"/>
              </w:rPr>
            </w:pPr>
          </w:p>
          <w:p w14:paraId="65679804" w14:textId="77777777" w:rsidR="00427373" w:rsidRDefault="00427373" w:rsidP="00427373">
            <w:pPr>
              <w:pStyle w:val="ListParagraph"/>
              <w:spacing w:after="120" w:line="240" w:lineRule="auto"/>
              <w:ind w:left="918"/>
              <w:contextualSpacing w:val="0"/>
              <w:jc w:val="both"/>
              <w:rPr>
                <w:rFonts w:ascii="Book Antiqua" w:hAnsi="Book Antiqua"/>
                <w:sz w:val="24"/>
                <w:szCs w:val="24"/>
              </w:rPr>
            </w:pPr>
          </w:p>
          <w:p w14:paraId="316403F8" w14:textId="77CE2D7A" w:rsidR="00855285" w:rsidRPr="00F22110" w:rsidRDefault="00855285" w:rsidP="00F22110">
            <w:pPr>
              <w:pStyle w:val="ListParagraph"/>
              <w:numPr>
                <w:ilvl w:val="0"/>
                <w:numId w:val="40"/>
              </w:numPr>
              <w:spacing w:after="120" w:line="240" w:lineRule="auto"/>
              <w:ind w:left="918" w:hanging="425"/>
              <w:contextualSpacing w:val="0"/>
              <w:jc w:val="both"/>
              <w:rPr>
                <w:rFonts w:ascii="Book Antiqua" w:hAnsi="Book Antiqua"/>
                <w:sz w:val="24"/>
                <w:szCs w:val="24"/>
              </w:rPr>
            </w:pPr>
            <w:r w:rsidRPr="00F22110">
              <w:rPr>
                <w:rFonts w:ascii="Book Antiqua" w:hAnsi="Book Antiqua"/>
                <w:sz w:val="24"/>
                <w:szCs w:val="24"/>
              </w:rPr>
              <w:lastRenderedPageBreak/>
              <w:t xml:space="preserve">The third </w:t>
            </w:r>
            <w:r w:rsidRPr="00F22110">
              <w:rPr>
                <w:rFonts w:ascii="Book Antiqua" w:hAnsi="Book Antiqua"/>
                <w:sz w:val="24"/>
                <w:szCs w:val="24"/>
                <w:lang w:val="en-US"/>
              </w:rPr>
              <w:t>objective</w:t>
            </w:r>
            <w:r w:rsidRPr="00F22110">
              <w:rPr>
                <w:rFonts w:ascii="Book Antiqua" w:hAnsi="Book Antiqua"/>
                <w:sz w:val="24"/>
                <w:szCs w:val="24"/>
              </w:rPr>
              <w:t xml:space="preserve"> in the research</w:t>
            </w:r>
            <w:r w:rsidRPr="00F22110">
              <w:rPr>
                <w:rFonts w:ascii="Book Antiqua" w:hAnsi="Book Antiqua"/>
                <w:sz w:val="24"/>
                <w:szCs w:val="24"/>
                <w:lang w:val="en-US"/>
              </w:rPr>
              <w:t xml:space="preserve"> to analyze </w:t>
            </w:r>
            <w:r w:rsidRPr="00F22110">
              <w:rPr>
                <w:rFonts w:ascii="Book Antiqua" w:hAnsi="Book Antiqua"/>
                <w:sz w:val="24"/>
                <w:szCs w:val="24"/>
              </w:rPr>
              <w:t xml:space="preserve">which gold investment instrument is more recommended for BPKH, was answered through the ANP </w:t>
            </w:r>
            <w:r w:rsidRPr="00F22110">
              <w:rPr>
                <w:rFonts w:ascii="Book Antiqua" w:hAnsi="Book Antiqua"/>
                <w:sz w:val="24"/>
                <w:szCs w:val="24"/>
                <w:lang w:val="en-US"/>
              </w:rPr>
              <w:t>analysis</w:t>
            </w:r>
            <w:r w:rsidRPr="00F22110">
              <w:rPr>
                <w:rFonts w:ascii="Book Antiqua" w:hAnsi="Book Antiqua"/>
                <w:sz w:val="24"/>
                <w:szCs w:val="24"/>
              </w:rPr>
              <w:t xml:space="preserve"> which showed that 90% respondents </w:t>
            </w:r>
            <w:r w:rsidRPr="00F22110">
              <w:rPr>
                <w:rFonts w:ascii="Book Antiqua" w:hAnsi="Book Antiqua"/>
                <w:sz w:val="24"/>
                <w:szCs w:val="24"/>
                <w:lang w:val="en-US"/>
              </w:rPr>
              <w:t>of</w:t>
            </w:r>
            <w:r w:rsidRPr="00F22110">
              <w:rPr>
                <w:rFonts w:ascii="Book Antiqua" w:hAnsi="Book Antiqua"/>
                <w:sz w:val="24"/>
                <w:szCs w:val="24"/>
              </w:rPr>
              <w:t xml:space="preserve"> </w:t>
            </w:r>
            <w:r w:rsidRPr="00F22110">
              <w:rPr>
                <w:rFonts w:ascii="Book Antiqua" w:hAnsi="Book Antiqua"/>
                <w:sz w:val="24"/>
                <w:szCs w:val="24"/>
                <w:lang w:val="en-US"/>
              </w:rPr>
              <w:t xml:space="preserve">the </w:t>
            </w:r>
            <w:r w:rsidRPr="00F22110">
              <w:rPr>
                <w:rFonts w:ascii="Book Antiqua" w:hAnsi="Book Antiqua"/>
                <w:sz w:val="24"/>
                <w:szCs w:val="24"/>
              </w:rPr>
              <w:t xml:space="preserve">ANP questionnaire recommended Pegadaian gold account as a better investment instrument for BPKH with consideration of operational risk mitigation </w:t>
            </w:r>
            <w:r w:rsidRPr="00F22110">
              <w:rPr>
                <w:rFonts w:ascii="Book Antiqua" w:hAnsi="Book Antiqua"/>
                <w:sz w:val="24"/>
                <w:szCs w:val="24"/>
                <w:lang w:val="en-US"/>
              </w:rPr>
              <w:t>as well as</w:t>
            </w:r>
            <w:r w:rsidRPr="00F22110">
              <w:rPr>
                <w:rFonts w:ascii="Book Antiqua" w:hAnsi="Book Antiqua"/>
                <w:sz w:val="24"/>
                <w:szCs w:val="24"/>
              </w:rPr>
              <w:t xml:space="preserve"> considered more liquid because of</w:t>
            </w:r>
            <w:r w:rsidRPr="00F22110">
              <w:rPr>
                <w:rFonts w:ascii="Book Antiqua" w:hAnsi="Book Antiqua"/>
                <w:sz w:val="24"/>
                <w:szCs w:val="24"/>
                <w:lang w:val="en-US"/>
              </w:rPr>
              <w:t xml:space="preserve"> the</w:t>
            </w:r>
            <w:r w:rsidRPr="00F22110">
              <w:rPr>
                <w:rFonts w:ascii="Book Antiqua" w:hAnsi="Book Antiqua"/>
                <w:sz w:val="24"/>
                <w:szCs w:val="24"/>
              </w:rPr>
              <w:t xml:space="preserve"> buyback policy. Meanwhile, 10%</w:t>
            </w:r>
            <w:r w:rsidRPr="00F22110">
              <w:rPr>
                <w:rFonts w:ascii="Book Antiqua" w:hAnsi="Book Antiqua"/>
                <w:sz w:val="24"/>
                <w:szCs w:val="24"/>
                <w:lang w:val="en-US"/>
              </w:rPr>
              <w:t xml:space="preserve"> </w:t>
            </w:r>
            <w:r w:rsidRPr="00F22110">
              <w:rPr>
                <w:rFonts w:ascii="Book Antiqua" w:hAnsi="Book Antiqua"/>
                <w:sz w:val="24"/>
                <w:szCs w:val="24"/>
              </w:rPr>
              <w:t xml:space="preserve">respondents </w:t>
            </w:r>
            <w:r w:rsidRPr="00F22110">
              <w:rPr>
                <w:rFonts w:ascii="Book Antiqua" w:hAnsi="Book Antiqua"/>
                <w:sz w:val="24"/>
                <w:szCs w:val="24"/>
                <w:lang w:val="en-US"/>
              </w:rPr>
              <w:t>of</w:t>
            </w:r>
            <w:r w:rsidRPr="00F22110">
              <w:rPr>
                <w:rFonts w:ascii="Book Antiqua" w:hAnsi="Book Antiqua"/>
                <w:sz w:val="24"/>
                <w:szCs w:val="24"/>
              </w:rPr>
              <w:t xml:space="preserve"> </w:t>
            </w:r>
            <w:r w:rsidRPr="00F22110">
              <w:rPr>
                <w:rFonts w:ascii="Book Antiqua" w:hAnsi="Book Antiqua"/>
                <w:sz w:val="24"/>
                <w:szCs w:val="24"/>
                <w:lang w:val="en-US"/>
              </w:rPr>
              <w:t xml:space="preserve">the </w:t>
            </w:r>
            <w:r w:rsidRPr="00F22110">
              <w:rPr>
                <w:rFonts w:ascii="Book Antiqua" w:hAnsi="Book Antiqua"/>
                <w:sz w:val="24"/>
                <w:szCs w:val="24"/>
              </w:rPr>
              <w:t>ANP questionnaire preferred gold bullion instrument with clearer sharia contract considerations.</w:t>
            </w:r>
          </w:p>
          <w:p w14:paraId="64F90C18" w14:textId="77777777" w:rsidR="00855285" w:rsidRPr="00E54420" w:rsidRDefault="00855285" w:rsidP="00C116C2">
            <w:pPr>
              <w:spacing w:after="120" w:line="240" w:lineRule="auto"/>
              <w:ind w:left="912"/>
              <w:rPr>
                <w:rFonts w:ascii="Book Antiqua" w:hAnsi="Book Antiqua"/>
                <w:sz w:val="24"/>
                <w:szCs w:val="24"/>
              </w:rPr>
            </w:pPr>
            <w:r w:rsidRPr="00E54420">
              <w:rPr>
                <w:rFonts w:ascii="Book Antiqua" w:hAnsi="Book Antiqua"/>
                <w:sz w:val="24"/>
                <w:szCs w:val="24"/>
              </w:rPr>
              <w:t xml:space="preserve">The policy recommendation of this research </w:t>
            </w:r>
            <w:proofErr w:type="gramStart"/>
            <w:r w:rsidRPr="00E54420">
              <w:rPr>
                <w:rFonts w:ascii="Book Antiqua" w:hAnsi="Book Antiqua"/>
                <w:sz w:val="24"/>
                <w:szCs w:val="24"/>
              </w:rPr>
              <w:t>include</w:t>
            </w:r>
            <w:proofErr w:type="gramEnd"/>
            <w:r w:rsidRPr="00E54420">
              <w:rPr>
                <w:rFonts w:ascii="Book Antiqua" w:hAnsi="Book Antiqua"/>
                <w:sz w:val="24"/>
                <w:szCs w:val="24"/>
              </w:rPr>
              <w:t xml:space="preserve"> the following:</w:t>
            </w:r>
          </w:p>
          <w:p w14:paraId="4151EE1A" w14:textId="77777777" w:rsidR="00855285" w:rsidRPr="00E54420" w:rsidRDefault="00855285" w:rsidP="00F22110">
            <w:pPr>
              <w:pStyle w:val="ListParagraph"/>
              <w:numPr>
                <w:ilvl w:val="0"/>
                <w:numId w:val="44"/>
              </w:numPr>
              <w:spacing w:after="120" w:line="240" w:lineRule="auto"/>
              <w:ind w:left="920" w:hanging="437"/>
              <w:contextualSpacing w:val="0"/>
              <w:jc w:val="both"/>
              <w:rPr>
                <w:rFonts w:ascii="Book Antiqua" w:hAnsi="Book Antiqua"/>
                <w:sz w:val="24"/>
                <w:szCs w:val="24"/>
              </w:rPr>
            </w:pPr>
            <w:bookmarkStart w:id="14" w:name="_Hlk158570285"/>
            <w:r w:rsidRPr="00E54420">
              <w:rPr>
                <w:rFonts w:ascii="Book Antiqua" w:hAnsi="Book Antiqua"/>
                <w:sz w:val="24"/>
                <w:szCs w:val="24"/>
              </w:rPr>
              <w:t xml:space="preserve">In order to diversify as well as to maintain asset value when unstable economic conditions occur, BPKH should increase the gold investment portfolio with maximum limit is 5% of the total investment and/or bank placement of hajj fund. </w:t>
            </w:r>
          </w:p>
          <w:p w14:paraId="7F283F2C" w14:textId="77777777" w:rsidR="00855285" w:rsidRPr="00E54420" w:rsidRDefault="00855285" w:rsidP="00F22110">
            <w:pPr>
              <w:pStyle w:val="ListParagraph"/>
              <w:numPr>
                <w:ilvl w:val="0"/>
                <w:numId w:val="44"/>
              </w:numPr>
              <w:spacing w:after="120" w:line="240" w:lineRule="auto"/>
              <w:ind w:left="920" w:hanging="437"/>
              <w:contextualSpacing w:val="0"/>
              <w:jc w:val="both"/>
              <w:rPr>
                <w:rFonts w:ascii="Book Antiqua" w:hAnsi="Book Antiqua"/>
                <w:sz w:val="24"/>
                <w:szCs w:val="24"/>
              </w:rPr>
            </w:pPr>
            <w:r w:rsidRPr="00E54420">
              <w:rPr>
                <w:rFonts w:ascii="Book Antiqua" w:hAnsi="Book Antiqua"/>
                <w:sz w:val="24"/>
                <w:szCs w:val="24"/>
              </w:rPr>
              <w:t xml:space="preserve">When investing in gold, BPKH should pay attention to the movements in macroeconomic factors, namely international gold prices, exchange rates, inflation rate and economic growth rates. BPKH must also pay attention to risk factors and sharia comply of the gold instrument. </w:t>
            </w:r>
          </w:p>
          <w:p w14:paraId="596B9D17" w14:textId="77777777" w:rsidR="00F22110" w:rsidRDefault="00855285" w:rsidP="00F22110">
            <w:pPr>
              <w:pStyle w:val="ListParagraph"/>
              <w:numPr>
                <w:ilvl w:val="0"/>
                <w:numId w:val="44"/>
              </w:numPr>
              <w:spacing w:after="120" w:line="240" w:lineRule="auto"/>
              <w:ind w:left="920" w:hanging="437"/>
              <w:contextualSpacing w:val="0"/>
              <w:jc w:val="both"/>
              <w:rPr>
                <w:rFonts w:ascii="Book Antiqua" w:hAnsi="Book Antiqua"/>
                <w:sz w:val="24"/>
                <w:szCs w:val="24"/>
              </w:rPr>
            </w:pPr>
            <w:r w:rsidRPr="00E54420">
              <w:rPr>
                <w:rFonts w:ascii="Book Antiqua" w:hAnsi="Book Antiqua"/>
                <w:sz w:val="24"/>
                <w:szCs w:val="24"/>
              </w:rPr>
              <w:t xml:space="preserve">Apart from the efforts to increase the financial benefits of hajj fund through optimizing gold investment, the percentage of cost paid by pilgrims also plays an important role in supporting the sustainability of hajj fund. In this case, the percentage of </w:t>
            </w:r>
            <w:r w:rsidRPr="00E54420">
              <w:rPr>
                <w:rFonts w:ascii="Book Antiqua" w:hAnsi="Book Antiqua"/>
                <w:sz w:val="24"/>
                <w:szCs w:val="24"/>
                <w:lang w:val="en-US"/>
              </w:rPr>
              <w:t xml:space="preserve">hajj </w:t>
            </w:r>
            <w:r w:rsidRPr="00E54420">
              <w:rPr>
                <w:rFonts w:ascii="Book Antiqua" w:hAnsi="Book Antiqua"/>
                <w:sz w:val="24"/>
                <w:szCs w:val="24"/>
              </w:rPr>
              <w:t xml:space="preserve">cost paid by pilgrims should be adjusted rationally. </w:t>
            </w:r>
          </w:p>
          <w:p w14:paraId="3D69561D" w14:textId="693F351A" w:rsidR="00157A08" w:rsidRPr="00C116C2" w:rsidRDefault="00855285" w:rsidP="00C116C2">
            <w:pPr>
              <w:pStyle w:val="ListParagraph"/>
              <w:numPr>
                <w:ilvl w:val="0"/>
                <w:numId w:val="44"/>
              </w:numPr>
              <w:spacing w:after="120" w:line="240" w:lineRule="auto"/>
              <w:ind w:left="920" w:hanging="437"/>
              <w:contextualSpacing w:val="0"/>
              <w:jc w:val="both"/>
              <w:rPr>
                <w:rFonts w:ascii="Book Antiqua" w:hAnsi="Book Antiqua"/>
                <w:sz w:val="24"/>
                <w:szCs w:val="24"/>
              </w:rPr>
            </w:pPr>
            <w:r w:rsidRPr="00F22110">
              <w:rPr>
                <w:rFonts w:ascii="Book Antiqua" w:hAnsi="Book Antiqua"/>
                <w:sz w:val="24"/>
                <w:szCs w:val="24"/>
              </w:rPr>
              <w:t>Total hajj cost is also a crucial aspect, especially in the main components such as flight costs, hotels and catering. The efficiency of these components can be strived by collaborating with airlines or aviation fuel providers, purchasing hotels/ apartments in Mecca and/or Medina, and establishing catering factories for Indonesian hajj pilgrims. The initiation of these investment can be explored conjointly with the Ministry of Religion as the organizer of Indonesian Hajj pilgrimage.</w:t>
            </w:r>
            <w:bookmarkEnd w:id="14"/>
          </w:p>
        </w:tc>
      </w:tr>
      <w:tr w:rsidR="00157A08" w:rsidRPr="00E54420" w14:paraId="1A83F597" w14:textId="77777777" w:rsidTr="00AF097F">
        <w:trPr>
          <w:trHeight w:val="4176"/>
        </w:trPr>
        <w:tc>
          <w:tcPr>
            <w:tcW w:w="9396" w:type="dxa"/>
          </w:tcPr>
          <w:p w14:paraId="0ABDF63D" w14:textId="77777777" w:rsidR="00F22110" w:rsidRPr="00F22110" w:rsidRDefault="00F22110" w:rsidP="00F22110">
            <w:pPr>
              <w:pStyle w:val="Heading1"/>
              <w:spacing w:before="0" w:after="120"/>
              <w:ind w:right="-330"/>
              <w:contextualSpacing/>
              <w:rPr>
                <w:rFonts w:ascii="Book Antiqua" w:hAnsi="Book Antiqua" w:cs="Times New Roman"/>
                <w:sz w:val="24"/>
                <w:szCs w:val="24"/>
                <w:lang w:val="en-US"/>
              </w:rPr>
            </w:pPr>
            <w:r w:rsidRPr="00F22110">
              <w:rPr>
                <w:rFonts w:ascii="Book Antiqua" w:hAnsi="Book Antiqua" w:cs="Times New Roman"/>
                <w:sz w:val="24"/>
                <w:szCs w:val="24"/>
                <w:lang w:val="en-US"/>
              </w:rPr>
              <w:lastRenderedPageBreak/>
              <w:t>REFERENCES</w:t>
            </w:r>
          </w:p>
          <w:p w14:paraId="349C3689" w14:textId="77777777" w:rsidR="00F22110" w:rsidRPr="00F22110" w:rsidRDefault="00F22110" w:rsidP="00F22110">
            <w:pPr>
              <w:spacing w:after="120" w:line="240" w:lineRule="auto"/>
              <w:ind w:left="567" w:hanging="567"/>
              <w:rPr>
                <w:rFonts w:ascii="Book Antiqua" w:hAnsi="Book Antiqua"/>
                <w:sz w:val="24"/>
                <w:szCs w:val="24"/>
                <w:lang w:val="it-IT"/>
              </w:rPr>
            </w:pPr>
            <w:proofErr w:type="spellStart"/>
            <w:r w:rsidRPr="00F22110">
              <w:rPr>
                <w:rFonts w:ascii="Book Antiqua" w:hAnsi="Book Antiqua"/>
                <w:sz w:val="24"/>
                <w:szCs w:val="24"/>
              </w:rPr>
              <w:t>Abilawa</w:t>
            </w:r>
            <w:proofErr w:type="spellEnd"/>
            <w:r w:rsidRPr="00F22110">
              <w:rPr>
                <w:rFonts w:ascii="Book Antiqua" w:hAnsi="Book Antiqua"/>
                <w:sz w:val="24"/>
                <w:szCs w:val="24"/>
              </w:rPr>
              <w:t xml:space="preserve">, MS (2019). Kajian </w:t>
            </w:r>
            <w:proofErr w:type="spellStart"/>
            <w:r w:rsidRPr="00F22110">
              <w:rPr>
                <w:rFonts w:ascii="Book Antiqua" w:hAnsi="Book Antiqua"/>
                <w:sz w:val="24"/>
                <w:szCs w:val="24"/>
              </w:rPr>
              <w:t>Kelayakan</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Investasi</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Emas</w:t>
            </w:r>
            <w:proofErr w:type="spellEnd"/>
            <w:r w:rsidRPr="00F22110">
              <w:rPr>
                <w:rFonts w:ascii="Book Antiqua" w:hAnsi="Book Antiqua"/>
                <w:sz w:val="24"/>
                <w:szCs w:val="24"/>
              </w:rPr>
              <w:t xml:space="preserve"> Batangan. </w:t>
            </w:r>
            <w:r w:rsidRPr="00F22110">
              <w:rPr>
                <w:rFonts w:ascii="Book Antiqua" w:hAnsi="Book Antiqua"/>
                <w:sz w:val="24"/>
                <w:szCs w:val="24"/>
                <w:lang w:val="it-IT"/>
              </w:rPr>
              <w:t>Laporan Hasil Kajian dari PT Prediksi Dinamika Indonesia kepada BPKH, Jakarta.</w:t>
            </w:r>
          </w:p>
          <w:p w14:paraId="67E4FE55" w14:textId="77777777" w:rsidR="00F22110" w:rsidRPr="00F22110" w:rsidRDefault="00F22110" w:rsidP="00F22110">
            <w:pPr>
              <w:spacing w:after="120" w:line="240" w:lineRule="auto"/>
              <w:ind w:left="567" w:hanging="567"/>
              <w:rPr>
                <w:rFonts w:ascii="Book Antiqua" w:hAnsi="Book Antiqua"/>
                <w:sz w:val="24"/>
                <w:szCs w:val="24"/>
              </w:rPr>
            </w:pPr>
            <w:r w:rsidRPr="00F22110">
              <w:rPr>
                <w:rFonts w:ascii="Book Antiqua" w:hAnsi="Book Antiqua"/>
                <w:sz w:val="24"/>
                <w:szCs w:val="24"/>
                <w:lang w:val="it-IT"/>
              </w:rPr>
              <w:t xml:space="preserve">Billah, N.A., dan Hartomo, D.D. (2018), Korelasi Dinamis Emas dan Saham Syariah sebagai Lindung Nilai dan Safe Haven pada Investasi di Indonesia. </w:t>
            </w:r>
            <w:proofErr w:type="spellStart"/>
            <w:r w:rsidRPr="00F22110">
              <w:rPr>
                <w:rFonts w:ascii="Book Antiqua" w:hAnsi="Book Antiqua"/>
                <w:sz w:val="24"/>
                <w:szCs w:val="24"/>
              </w:rPr>
              <w:t>Jurnal</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Bisnis</w:t>
            </w:r>
            <w:proofErr w:type="spellEnd"/>
            <w:r w:rsidRPr="00F22110">
              <w:rPr>
                <w:rFonts w:ascii="Book Antiqua" w:hAnsi="Book Antiqua"/>
                <w:sz w:val="24"/>
                <w:szCs w:val="24"/>
              </w:rPr>
              <w:t xml:space="preserve"> &amp; </w:t>
            </w:r>
            <w:proofErr w:type="spellStart"/>
            <w:r w:rsidRPr="00F22110">
              <w:rPr>
                <w:rFonts w:ascii="Book Antiqua" w:hAnsi="Book Antiqua"/>
                <w:sz w:val="24"/>
                <w:szCs w:val="24"/>
              </w:rPr>
              <w:t>Manajemen</w:t>
            </w:r>
            <w:proofErr w:type="spellEnd"/>
            <w:r w:rsidRPr="00F22110">
              <w:rPr>
                <w:rFonts w:ascii="Book Antiqua" w:hAnsi="Book Antiqua"/>
                <w:sz w:val="24"/>
                <w:szCs w:val="24"/>
              </w:rPr>
              <w:t xml:space="preserve">, Vol. 18, No. 2, </w:t>
            </w:r>
            <w:proofErr w:type="gramStart"/>
            <w:r w:rsidRPr="00F22110">
              <w:rPr>
                <w:rFonts w:ascii="Book Antiqua" w:hAnsi="Book Antiqua"/>
                <w:sz w:val="24"/>
                <w:szCs w:val="24"/>
              </w:rPr>
              <w:t>2018 :</w:t>
            </w:r>
            <w:proofErr w:type="gramEnd"/>
            <w:r w:rsidRPr="00F22110">
              <w:rPr>
                <w:rFonts w:ascii="Book Antiqua" w:hAnsi="Book Antiqua"/>
                <w:sz w:val="24"/>
                <w:szCs w:val="24"/>
              </w:rPr>
              <w:t xml:space="preserve"> 67-86. </w:t>
            </w:r>
            <w:proofErr w:type="spellStart"/>
            <w:r w:rsidRPr="00F22110">
              <w:rPr>
                <w:rFonts w:ascii="Book Antiqua" w:hAnsi="Book Antiqua"/>
                <w:sz w:val="24"/>
                <w:szCs w:val="24"/>
              </w:rPr>
              <w:t>Fakultas</w:t>
            </w:r>
            <w:proofErr w:type="spellEnd"/>
            <w:r w:rsidRPr="00F22110">
              <w:rPr>
                <w:rFonts w:ascii="Book Antiqua" w:hAnsi="Book Antiqua"/>
                <w:sz w:val="24"/>
                <w:szCs w:val="24"/>
              </w:rPr>
              <w:t xml:space="preserve"> Ekonomi dan </w:t>
            </w:r>
            <w:proofErr w:type="spellStart"/>
            <w:r w:rsidRPr="00F22110">
              <w:rPr>
                <w:rFonts w:ascii="Book Antiqua" w:hAnsi="Book Antiqua"/>
                <w:sz w:val="24"/>
                <w:szCs w:val="24"/>
              </w:rPr>
              <w:t>Bisnis</w:t>
            </w:r>
            <w:proofErr w:type="spellEnd"/>
            <w:r w:rsidRPr="00F22110">
              <w:rPr>
                <w:rFonts w:ascii="Book Antiqua" w:hAnsi="Book Antiqua"/>
                <w:sz w:val="24"/>
                <w:szCs w:val="24"/>
              </w:rPr>
              <w:t xml:space="preserve"> Universitas </w:t>
            </w:r>
            <w:proofErr w:type="spellStart"/>
            <w:r w:rsidRPr="00F22110">
              <w:rPr>
                <w:rFonts w:ascii="Book Antiqua" w:hAnsi="Book Antiqua"/>
                <w:sz w:val="24"/>
                <w:szCs w:val="24"/>
              </w:rPr>
              <w:t>Sebelas</w:t>
            </w:r>
            <w:proofErr w:type="spellEnd"/>
            <w:r w:rsidRPr="00F22110">
              <w:rPr>
                <w:rFonts w:ascii="Book Antiqua" w:hAnsi="Book Antiqua"/>
                <w:sz w:val="24"/>
                <w:szCs w:val="24"/>
              </w:rPr>
              <w:t xml:space="preserve"> Maret Surakarta.</w:t>
            </w:r>
          </w:p>
          <w:p w14:paraId="56FDF78B" w14:textId="77777777" w:rsidR="00F22110" w:rsidRPr="00F22110" w:rsidRDefault="00F22110" w:rsidP="00F22110">
            <w:pPr>
              <w:spacing w:after="120" w:line="240" w:lineRule="auto"/>
              <w:ind w:left="567" w:hanging="567"/>
              <w:rPr>
                <w:rFonts w:ascii="Book Antiqua" w:hAnsi="Book Antiqua"/>
                <w:sz w:val="24"/>
                <w:szCs w:val="24"/>
              </w:rPr>
            </w:pPr>
            <w:r w:rsidRPr="00F22110">
              <w:rPr>
                <w:rFonts w:ascii="Book Antiqua" w:hAnsi="Book Antiqua"/>
                <w:sz w:val="24"/>
                <w:szCs w:val="24"/>
              </w:rPr>
              <w:t>Bpkh.go.id/</w:t>
            </w:r>
            <w:proofErr w:type="spellStart"/>
            <w:r w:rsidRPr="00F22110">
              <w:rPr>
                <w:rFonts w:ascii="Book Antiqua" w:hAnsi="Book Antiqua"/>
                <w:sz w:val="24"/>
                <w:szCs w:val="24"/>
              </w:rPr>
              <w:t>laporan-keuangan-bpkh</w:t>
            </w:r>
            <w:proofErr w:type="spellEnd"/>
            <w:r w:rsidRPr="00F22110">
              <w:rPr>
                <w:rFonts w:ascii="Book Antiqua" w:hAnsi="Book Antiqua"/>
                <w:sz w:val="24"/>
                <w:szCs w:val="24"/>
              </w:rPr>
              <w:t>/.</w:t>
            </w:r>
          </w:p>
          <w:p w14:paraId="680E6237" w14:textId="77777777" w:rsidR="00F22110" w:rsidRPr="00F22110" w:rsidRDefault="00F22110" w:rsidP="00F22110">
            <w:pPr>
              <w:spacing w:after="120" w:line="240" w:lineRule="auto"/>
              <w:ind w:left="709" w:hanging="709"/>
              <w:rPr>
                <w:rFonts w:ascii="Book Antiqua" w:hAnsi="Book Antiqua"/>
                <w:sz w:val="24"/>
                <w:szCs w:val="24"/>
              </w:rPr>
            </w:pPr>
            <w:r w:rsidRPr="00F22110">
              <w:rPr>
                <w:rFonts w:ascii="Book Antiqua" w:hAnsi="Book Antiqua"/>
                <w:sz w:val="24"/>
                <w:szCs w:val="24"/>
              </w:rPr>
              <w:t xml:space="preserve">Budiman, M. A, &amp; Kusuma, D. B. W. (2016). </w:t>
            </w:r>
            <w:proofErr w:type="spellStart"/>
            <w:r w:rsidRPr="00F22110">
              <w:rPr>
                <w:rFonts w:ascii="Book Antiqua" w:hAnsi="Book Antiqua"/>
                <w:sz w:val="24"/>
                <w:szCs w:val="24"/>
              </w:rPr>
              <w:t>Analisis</w:t>
            </w:r>
            <w:proofErr w:type="spellEnd"/>
            <w:r w:rsidRPr="00F22110">
              <w:rPr>
                <w:rFonts w:ascii="Book Antiqua" w:hAnsi="Book Antiqua"/>
                <w:sz w:val="24"/>
                <w:szCs w:val="24"/>
              </w:rPr>
              <w:t xml:space="preserve"> Faktor yang </w:t>
            </w:r>
            <w:proofErr w:type="spellStart"/>
            <w:r w:rsidRPr="00F22110">
              <w:rPr>
                <w:rFonts w:ascii="Book Antiqua" w:hAnsi="Book Antiqua"/>
                <w:sz w:val="24"/>
                <w:szCs w:val="24"/>
              </w:rPr>
              <w:t>Mempengaruhi</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Biaya</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Penyelenggaraan</w:t>
            </w:r>
            <w:proofErr w:type="spellEnd"/>
            <w:r w:rsidRPr="00F22110">
              <w:rPr>
                <w:rFonts w:ascii="Book Antiqua" w:hAnsi="Book Antiqua"/>
                <w:sz w:val="24"/>
                <w:szCs w:val="24"/>
              </w:rPr>
              <w:t xml:space="preserve"> Ibadah Haji di Indonesia. </w:t>
            </w:r>
            <w:proofErr w:type="spellStart"/>
            <w:r w:rsidRPr="00F22110">
              <w:rPr>
                <w:rFonts w:ascii="Book Antiqua" w:hAnsi="Book Antiqua"/>
                <w:sz w:val="24"/>
                <w:szCs w:val="24"/>
              </w:rPr>
              <w:t>Jurnal</w:t>
            </w:r>
            <w:proofErr w:type="spellEnd"/>
            <w:r w:rsidRPr="00F22110">
              <w:rPr>
                <w:rFonts w:ascii="Book Antiqua" w:hAnsi="Book Antiqua"/>
                <w:sz w:val="24"/>
                <w:szCs w:val="24"/>
              </w:rPr>
              <w:t xml:space="preserve"> Hukum Islam, Vol.14, Number 1.</w:t>
            </w:r>
          </w:p>
          <w:p w14:paraId="0ADAC634" w14:textId="77777777" w:rsidR="00F22110" w:rsidRPr="00F22110" w:rsidRDefault="00F22110" w:rsidP="00F22110">
            <w:pPr>
              <w:spacing w:after="120" w:line="240" w:lineRule="auto"/>
              <w:ind w:left="709" w:hanging="709"/>
              <w:rPr>
                <w:rFonts w:ascii="Book Antiqua" w:hAnsi="Book Antiqua"/>
                <w:sz w:val="24"/>
                <w:szCs w:val="24"/>
              </w:rPr>
            </w:pPr>
            <w:r w:rsidRPr="00F22110">
              <w:rPr>
                <w:rFonts w:ascii="Book Antiqua" w:hAnsi="Book Antiqua"/>
                <w:sz w:val="24"/>
                <w:szCs w:val="24"/>
              </w:rPr>
              <w:t>Chirwa, T. G., &amp; Odhiambo, N. M. (2020). Determinants of gold price movements: An empirical investigation in the presence of multiple structural breaks. Resources Policy, 69. https://doi.org/10.1016/j.resourpol.2020.101818</w:t>
            </w:r>
          </w:p>
          <w:p w14:paraId="05F273CA" w14:textId="77777777" w:rsidR="00F22110" w:rsidRPr="00F22110" w:rsidRDefault="00F22110" w:rsidP="00F22110">
            <w:pPr>
              <w:spacing w:after="120" w:line="240" w:lineRule="auto"/>
              <w:rPr>
                <w:rFonts w:ascii="Book Antiqua" w:hAnsi="Book Antiqua"/>
                <w:sz w:val="24"/>
                <w:szCs w:val="24"/>
              </w:rPr>
            </w:pPr>
            <w:r w:rsidRPr="00F22110">
              <w:rPr>
                <w:rFonts w:ascii="Book Antiqua" w:hAnsi="Book Antiqua"/>
                <w:sz w:val="24"/>
                <w:szCs w:val="24"/>
              </w:rPr>
              <w:t xml:space="preserve">DSN MUI </w:t>
            </w:r>
            <w:proofErr w:type="spellStart"/>
            <w:r w:rsidRPr="00F22110">
              <w:rPr>
                <w:rFonts w:ascii="Book Antiqua" w:hAnsi="Book Antiqua"/>
                <w:sz w:val="24"/>
                <w:szCs w:val="24"/>
              </w:rPr>
              <w:t>Nomor</w:t>
            </w:r>
            <w:proofErr w:type="spellEnd"/>
            <w:r w:rsidRPr="00F22110">
              <w:rPr>
                <w:rFonts w:ascii="Book Antiqua" w:hAnsi="Book Antiqua"/>
                <w:sz w:val="24"/>
                <w:szCs w:val="24"/>
              </w:rPr>
              <w:t xml:space="preserve"> 77/DSN-MUI/VI/2010.</w:t>
            </w:r>
          </w:p>
          <w:p w14:paraId="4150B704" w14:textId="77777777" w:rsidR="00F22110" w:rsidRPr="00F22110" w:rsidRDefault="00F22110" w:rsidP="00F22110">
            <w:pPr>
              <w:spacing w:after="120" w:line="240" w:lineRule="auto"/>
              <w:ind w:left="709" w:hanging="709"/>
              <w:rPr>
                <w:rFonts w:ascii="Book Antiqua" w:hAnsi="Book Antiqua"/>
                <w:sz w:val="24"/>
                <w:szCs w:val="24"/>
              </w:rPr>
            </w:pPr>
            <w:r w:rsidRPr="00F22110">
              <w:rPr>
                <w:rFonts w:ascii="Segoe UI Symbol" w:hAnsi="Segoe UI Symbol" w:cs="Segoe UI Symbol"/>
                <w:sz w:val="24"/>
                <w:szCs w:val="24"/>
                <w:lang w:val="it-IT"/>
              </w:rPr>
              <w:t>⁠</w:t>
            </w:r>
            <w:r w:rsidRPr="00F22110">
              <w:rPr>
                <w:rFonts w:ascii="Book Antiqua" w:hAnsi="Book Antiqua"/>
                <w:sz w:val="24"/>
                <w:szCs w:val="24"/>
                <w:lang w:val="it-IT"/>
              </w:rPr>
              <w:t xml:space="preserve">Gangopadhyay, K., Jangir, A., &amp; Sensarma, R. (2016). </w:t>
            </w:r>
            <w:r w:rsidRPr="00F22110">
              <w:rPr>
                <w:rFonts w:ascii="Book Antiqua" w:hAnsi="Book Antiqua"/>
                <w:sz w:val="24"/>
                <w:szCs w:val="24"/>
              </w:rPr>
              <w:t>Forecasting the price of gold: An error correction approach. IIMB Management Review, 28(1). https://doi.org/10.1016/j.iimb.2015.11.001</w:t>
            </w:r>
          </w:p>
          <w:p w14:paraId="5089FBDA" w14:textId="77777777" w:rsidR="00F22110" w:rsidRPr="00F22110" w:rsidRDefault="00F22110" w:rsidP="00F22110">
            <w:pPr>
              <w:spacing w:after="120" w:line="240" w:lineRule="auto"/>
              <w:ind w:left="709" w:hanging="709"/>
              <w:rPr>
                <w:rFonts w:ascii="Book Antiqua" w:hAnsi="Book Antiqua"/>
                <w:sz w:val="24"/>
                <w:szCs w:val="24"/>
              </w:rPr>
            </w:pPr>
            <w:r w:rsidRPr="00F22110">
              <w:rPr>
                <w:rFonts w:ascii="Book Antiqua" w:hAnsi="Book Antiqua"/>
                <w:sz w:val="24"/>
                <w:szCs w:val="24"/>
              </w:rPr>
              <w:t>Gold Investor: Risk Management and Capital Preservation (3rd edition, 2013). World Gold Council, London, UK.</w:t>
            </w:r>
          </w:p>
          <w:p w14:paraId="588FCD82" w14:textId="77777777" w:rsidR="00F22110" w:rsidRPr="00F22110" w:rsidRDefault="00F22110" w:rsidP="00F22110">
            <w:pPr>
              <w:spacing w:after="120" w:line="240" w:lineRule="auto"/>
              <w:ind w:left="709" w:hanging="709"/>
              <w:rPr>
                <w:rFonts w:ascii="Book Antiqua" w:hAnsi="Book Antiqua"/>
                <w:sz w:val="24"/>
                <w:szCs w:val="24"/>
              </w:rPr>
            </w:pPr>
            <w:r w:rsidRPr="00F22110">
              <w:rPr>
                <w:rFonts w:ascii="Book Antiqua" w:hAnsi="Book Antiqua"/>
                <w:sz w:val="24"/>
                <w:szCs w:val="24"/>
              </w:rPr>
              <w:t xml:space="preserve">Gunawan, Indra. (2023), </w:t>
            </w:r>
            <w:proofErr w:type="spellStart"/>
            <w:r w:rsidRPr="00F22110">
              <w:rPr>
                <w:rFonts w:ascii="Book Antiqua" w:hAnsi="Book Antiqua"/>
                <w:sz w:val="24"/>
                <w:szCs w:val="24"/>
              </w:rPr>
              <w:t>Tantangan</w:t>
            </w:r>
            <w:proofErr w:type="spellEnd"/>
            <w:r w:rsidRPr="00F22110">
              <w:rPr>
                <w:rFonts w:ascii="Book Antiqua" w:hAnsi="Book Antiqua"/>
                <w:sz w:val="24"/>
                <w:szCs w:val="24"/>
              </w:rPr>
              <w:t xml:space="preserve"> Kinerja, </w:t>
            </w:r>
            <w:proofErr w:type="spellStart"/>
            <w:r w:rsidRPr="00F22110">
              <w:rPr>
                <w:rFonts w:ascii="Book Antiqua" w:hAnsi="Book Antiqua"/>
                <w:sz w:val="24"/>
                <w:szCs w:val="24"/>
              </w:rPr>
              <w:t>Tatakelola</w:t>
            </w:r>
            <w:proofErr w:type="spellEnd"/>
            <w:r w:rsidRPr="00F22110">
              <w:rPr>
                <w:rFonts w:ascii="Book Antiqua" w:hAnsi="Book Antiqua"/>
                <w:sz w:val="24"/>
                <w:szCs w:val="24"/>
              </w:rPr>
              <w:t xml:space="preserve"> dan </w:t>
            </w:r>
            <w:proofErr w:type="spellStart"/>
            <w:r w:rsidRPr="00F22110">
              <w:rPr>
                <w:rFonts w:ascii="Book Antiqua" w:hAnsi="Book Antiqua"/>
                <w:sz w:val="24"/>
                <w:szCs w:val="24"/>
              </w:rPr>
              <w:t>Sinergi</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serta</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Inovasi</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Investasi</w:t>
            </w:r>
            <w:proofErr w:type="spellEnd"/>
            <w:r w:rsidRPr="00F22110">
              <w:rPr>
                <w:rFonts w:ascii="Book Antiqua" w:hAnsi="Book Antiqua"/>
                <w:sz w:val="24"/>
                <w:szCs w:val="24"/>
              </w:rPr>
              <w:t xml:space="preserve"> Dana Haji </w:t>
            </w:r>
            <w:proofErr w:type="spellStart"/>
            <w:r w:rsidRPr="00F22110">
              <w:rPr>
                <w:rFonts w:ascii="Book Antiqua" w:hAnsi="Book Antiqua"/>
                <w:sz w:val="24"/>
                <w:szCs w:val="24"/>
              </w:rPr>
              <w:t>Menuju</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Kemaslahatan</w:t>
            </w:r>
            <w:proofErr w:type="spellEnd"/>
            <w:r w:rsidRPr="00F22110">
              <w:rPr>
                <w:rFonts w:ascii="Book Antiqua" w:hAnsi="Book Antiqua"/>
                <w:sz w:val="24"/>
                <w:szCs w:val="24"/>
              </w:rPr>
              <w:t xml:space="preserve"> yang </w:t>
            </w:r>
            <w:proofErr w:type="spellStart"/>
            <w:r w:rsidRPr="00F22110">
              <w:rPr>
                <w:rFonts w:ascii="Book Antiqua" w:hAnsi="Book Antiqua"/>
                <w:sz w:val="24"/>
                <w:szCs w:val="24"/>
              </w:rPr>
              <w:t>Berkesinambungan</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diambil</w:t>
            </w:r>
            <w:proofErr w:type="spellEnd"/>
            <w:r w:rsidRPr="00F22110">
              <w:rPr>
                <w:rFonts w:ascii="Book Antiqua" w:hAnsi="Book Antiqua"/>
                <w:sz w:val="24"/>
                <w:szCs w:val="24"/>
              </w:rPr>
              <w:t xml:space="preserve"> 20 Oktober 2023 </w:t>
            </w:r>
            <w:proofErr w:type="spellStart"/>
            <w:r w:rsidRPr="00F22110">
              <w:rPr>
                <w:rFonts w:ascii="Book Antiqua" w:hAnsi="Book Antiqua"/>
                <w:sz w:val="24"/>
                <w:szCs w:val="24"/>
              </w:rPr>
              <w:t>dari</w:t>
            </w:r>
            <w:proofErr w:type="spellEnd"/>
            <w:r w:rsidRPr="00F22110">
              <w:rPr>
                <w:rFonts w:ascii="Book Antiqua" w:hAnsi="Book Antiqua"/>
                <w:sz w:val="24"/>
                <w:szCs w:val="24"/>
              </w:rPr>
              <w:t xml:space="preserve"> https://bpkh.go.id/tantangan-kinerja-tatakelola-dan-peluang-sinergi-bpkh-sinergi-dan-inovasi-investasi-dana-haji-menuju-kemaslahatan-yang-berkesinambungan/. </w:t>
            </w:r>
          </w:p>
          <w:p w14:paraId="1FCBE2F9" w14:textId="77777777" w:rsidR="00F22110" w:rsidRPr="00F22110" w:rsidRDefault="00F22110" w:rsidP="00F22110">
            <w:pPr>
              <w:spacing w:after="120" w:line="240" w:lineRule="auto"/>
              <w:ind w:left="709" w:hanging="709"/>
              <w:rPr>
                <w:rFonts w:ascii="Book Antiqua" w:hAnsi="Book Antiqua"/>
                <w:sz w:val="24"/>
                <w:szCs w:val="24"/>
                <w:lang w:val="it-IT"/>
              </w:rPr>
            </w:pPr>
            <w:r w:rsidRPr="00F22110">
              <w:rPr>
                <w:rFonts w:ascii="Book Antiqua" w:hAnsi="Book Antiqua"/>
                <w:sz w:val="24"/>
                <w:szCs w:val="24"/>
                <w:lang w:val="it-IT"/>
              </w:rPr>
              <w:t>Halim, Abdul. (2005). Analisis Investasi. Edisi Kedua. Jakarta: Salemba Empat. Hal. 12.</w:t>
            </w:r>
          </w:p>
          <w:p w14:paraId="6BCF2FC3" w14:textId="77777777" w:rsidR="00F22110" w:rsidRPr="00F22110" w:rsidRDefault="00F22110" w:rsidP="00F22110">
            <w:pPr>
              <w:spacing w:after="120" w:line="240" w:lineRule="auto"/>
              <w:ind w:left="709" w:hanging="709"/>
              <w:rPr>
                <w:rFonts w:ascii="Book Antiqua" w:hAnsi="Book Antiqua"/>
                <w:sz w:val="24"/>
                <w:szCs w:val="24"/>
                <w:lang w:val="it-IT"/>
              </w:rPr>
            </w:pPr>
            <w:r w:rsidRPr="00F22110">
              <w:rPr>
                <w:rFonts w:ascii="Book Antiqua" w:hAnsi="Book Antiqua"/>
                <w:sz w:val="24"/>
                <w:szCs w:val="24"/>
                <w:lang w:val="it-IT"/>
              </w:rPr>
              <w:t>Hartono, Jogiyanto. (2013). Teori Portofolio dan Analisis Investasi. Edisi Ketujuh. Yogyakarta: BPFE-Yogyakarta. Hal. 22.</w:t>
            </w:r>
          </w:p>
          <w:p w14:paraId="06684CB8" w14:textId="77777777" w:rsidR="00F22110" w:rsidRPr="00F22110" w:rsidRDefault="00F22110" w:rsidP="00F22110">
            <w:pPr>
              <w:spacing w:after="120" w:line="240" w:lineRule="auto"/>
              <w:ind w:left="709" w:hanging="709"/>
              <w:rPr>
                <w:rFonts w:ascii="Book Antiqua" w:hAnsi="Book Antiqua"/>
                <w:sz w:val="24"/>
                <w:szCs w:val="24"/>
                <w:lang w:val="it-IT"/>
              </w:rPr>
            </w:pPr>
            <w:r w:rsidRPr="00F22110">
              <w:rPr>
                <w:rFonts w:ascii="Book Antiqua" w:hAnsi="Book Antiqua"/>
                <w:sz w:val="24"/>
                <w:szCs w:val="24"/>
                <w:lang w:val="it-IT"/>
              </w:rPr>
              <w:t>Haryono, Sidiq dan Busneti, Ida (2022). Analisis Portofolio Investasi BPKH untuk Menjaga Sustainability Keuangan Haji. Syntax Literate: Jurnal Ilmiah Indonesia Vol. 7 No. 11.</w:t>
            </w:r>
          </w:p>
          <w:p w14:paraId="6A53F280" w14:textId="77777777" w:rsidR="00F22110" w:rsidRPr="00F22110" w:rsidRDefault="00F22110" w:rsidP="00F22110">
            <w:pPr>
              <w:spacing w:after="120" w:line="240" w:lineRule="auto"/>
              <w:ind w:left="709" w:hanging="709"/>
              <w:rPr>
                <w:rFonts w:ascii="Book Antiqua" w:hAnsi="Book Antiqua"/>
                <w:sz w:val="24"/>
                <w:szCs w:val="24"/>
                <w:lang w:val="it-IT"/>
              </w:rPr>
            </w:pPr>
            <w:r w:rsidRPr="00F22110">
              <w:rPr>
                <w:rFonts w:ascii="Book Antiqua" w:hAnsi="Book Antiqua"/>
                <w:sz w:val="24"/>
                <w:szCs w:val="24"/>
                <w:lang w:val="it-IT"/>
              </w:rPr>
              <w:t>Herlianto, Didit. (2013). Manajemen Investasi Plus Jurus Mendeteksi Investasi Bodong. Gosyen Publishing, Yogyakarta. Hal. 45.</w:t>
            </w:r>
          </w:p>
          <w:p w14:paraId="318B1987" w14:textId="77777777" w:rsidR="00F22110" w:rsidRPr="00F22110" w:rsidRDefault="00F22110" w:rsidP="00F22110">
            <w:pPr>
              <w:spacing w:after="120" w:line="240" w:lineRule="auto"/>
              <w:ind w:left="709" w:hanging="709"/>
              <w:rPr>
                <w:rFonts w:ascii="Book Antiqua" w:hAnsi="Book Antiqua"/>
                <w:sz w:val="24"/>
                <w:szCs w:val="24"/>
              </w:rPr>
            </w:pPr>
            <w:r w:rsidRPr="00F22110">
              <w:rPr>
                <w:rFonts w:ascii="Book Antiqua" w:hAnsi="Book Antiqua"/>
                <w:sz w:val="24"/>
                <w:szCs w:val="24"/>
                <w:lang w:val="it-IT"/>
              </w:rPr>
              <w:t xml:space="preserve">Hidayati, Arina (2018). Fluktuasi Biaya Haji dalam Perspektif Investasi Syariah. </w:t>
            </w:r>
            <w:r w:rsidRPr="00F22110">
              <w:rPr>
                <w:rFonts w:ascii="Book Antiqua" w:hAnsi="Book Antiqua"/>
                <w:sz w:val="24"/>
                <w:szCs w:val="24"/>
              </w:rPr>
              <w:t xml:space="preserve">Thesis Master </w:t>
            </w:r>
            <w:proofErr w:type="spellStart"/>
            <w:r w:rsidRPr="00F22110">
              <w:rPr>
                <w:rFonts w:ascii="Book Antiqua" w:hAnsi="Book Antiqua"/>
                <w:sz w:val="24"/>
                <w:szCs w:val="24"/>
              </w:rPr>
              <w:t>Fakultas</w:t>
            </w:r>
            <w:proofErr w:type="spellEnd"/>
            <w:r w:rsidRPr="00F22110">
              <w:rPr>
                <w:rFonts w:ascii="Book Antiqua" w:hAnsi="Book Antiqua"/>
                <w:sz w:val="24"/>
                <w:szCs w:val="24"/>
              </w:rPr>
              <w:t xml:space="preserve"> Ekonomi dan </w:t>
            </w:r>
            <w:proofErr w:type="spellStart"/>
            <w:r w:rsidRPr="00F22110">
              <w:rPr>
                <w:rFonts w:ascii="Book Antiqua" w:hAnsi="Book Antiqua"/>
                <w:sz w:val="24"/>
                <w:szCs w:val="24"/>
              </w:rPr>
              <w:t>Bisnis</w:t>
            </w:r>
            <w:proofErr w:type="spellEnd"/>
            <w:r w:rsidRPr="00F22110">
              <w:rPr>
                <w:rFonts w:ascii="Book Antiqua" w:hAnsi="Book Antiqua"/>
                <w:sz w:val="24"/>
                <w:szCs w:val="24"/>
              </w:rPr>
              <w:t xml:space="preserve"> Islam, </w:t>
            </w:r>
            <w:proofErr w:type="spellStart"/>
            <w:r w:rsidRPr="00F22110">
              <w:rPr>
                <w:rFonts w:ascii="Book Antiqua" w:hAnsi="Book Antiqua"/>
                <w:sz w:val="24"/>
                <w:szCs w:val="24"/>
              </w:rPr>
              <w:t>Institut</w:t>
            </w:r>
            <w:proofErr w:type="spellEnd"/>
            <w:r w:rsidRPr="00F22110">
              <w:rPr>
                <w:rFonts w:ascii="Book Antiqua" w:hAnsi="Book Antiqua"/>
                <w:sz w:val="24"/>
                <w:szCs w:val="24"/>
              </w:rPr>
              <w:t xml:space="preserve"> Agama Islam Negeri </w:t>
            </w:r>
            <w:proofErr w:type="spellStart"/>
            <w:r w:rsidRPr="00F22110">
              <w:rPr>
                <w:rFonts w:ascii="Book Antiqua" w:hAnsi="Book Antiqua"/>
                <w:sz w:val="24"/>
                <w:szCs w:val="24"/>
              </w:rPr>
              <w:t>Ponorogo</w:t>
            </w:r>
            <w:proofErr w:type="spellEnd"/>
            <w:r w:rsidRPr="00F22110">
              <w:rPr>
                <w:rFonts w:ascii="Book Antiqua" w:hAnsi="Book Antiqua"/>
                <w:sz w:val="24"/>
                <w:szCs w:val="24"/>
              </w:rPr>
              <w:t>.</w:t>
            </w:r>
          </w:p>
          <w:p w14:paraId="405F21A4" w14:textId="77777777" w:rsidR="00F22110" w:rsidRPr="00F22110" w:rsidRDefault="00F22110" w:rsidP="00F22110">
            <w:pPr>
              <w:spacing w:after="120" w:line="240" w:lineRule="auto"/>
              <w:ind w:left="709" w:hanging="709"/>
              <w:rPr>
                <w:rFonts w:ascii="Book Antiqua" w:hAnsi="Book Antiqua"/>
                <w:sz w:val="24"/>
                <w:szCs w:val="24"/>
              </w:rPr>
            </w:pPr>
            <w:r w:rsidRPr="00F22110">
              <w:rPr>
                <w:rFonts w:ascii="Book Antiqua" w:hAnsi="Book Antiqua"/>
                <w:sz w:val="24"/>
                <w:szCs w:val="24"/>
                <w:lang w:val="it-IT"/>
              </w:rPr>
              <w:t xml:space="preserve">Johari, Muhamad (2017). Investasi Emas; Alternatif Berinvestasi di Tengah Krisis Global, Tafaqquh. </w:t>
            </w:r>
            <w:proofErr w:type="spellStart"/>
            <w:r w:rsidRPr="00F22110">
              <w:rPr>
                <w:rFonts w:ascii="Book Antiqua" w:hAnsi="Book Antiqua"/>
                <w:sz w:val="24"/>
                <w:szCs w:val="24"/>
              </w:rPr>
              <w:t>Jurnal</w:t>
            </w:r>
            <w:proofErr w:type="spellEnd"/>
            <w:r w:rsidRPr="00F22110">
              <w:rPr>
                <w:rFonts w:ascii="Book Antiqua" w:hAnsi="Book Antiqua"/>
                <w:sz w:val="24"/>
                <w:szCs w:val="24"/>
              </w:rPr>
              <w:t xml:space="preserve"> Hukum Ekonomi Syariah dan Ahwal </w:t>
            </w:r>
            <w:proofErr w:type="spellStart"/>
            <w:r w:rsidRPr="00F22110">
              <w:rPr>
                <w:rFonts w:ascii="Book Antiqua" w:hAnsi="Book Antiqua"/>
                <w:sz w:val="24"/>
                <w:szCs w:val="24"/>
              </w:rPr>
              <w:t>Syahsiyah</w:t>
            </w:r>
            <w:proofErr w:type="spellEnd"/>
            <w:r w:rsidRPr="00F22110">
              <w:rPr>
                <w:rFonts w:ascii="Book Antiqua" w:hAnsi="Book Antiqua"/>
                <w:sz w:val="24"/>
                <w:szCs w:val="24"/>
              </w:rPr>
              <w:t xml:space="preserve">, Vol. 2 No. 2 (2017): </w:t>
            </w:r>
            <w:proofErr w:type="spellStart"/>
            <w:r w:rsidRPr="00F22110">
              <w:rPr>
                <w:rFonts w:ascii="Book Antiqua" w:hAnsi="Book Antiqua"/>
                <w:sz w:val="24"/>
                <w:szCs w:val="24"/>
              </w:rPr>
              <w:t>Desember</w:t>
            </w:r>
            <w:proofErr w:type="spellEnd"/>
            <w:r w:rsidRPr="00F22110">
              <w:rPr>
                <w:rFonts w:ascii="Book Antiqua" w:hAnsi="Book Antiqua"/>
                <w:sz w:val="24"/>
                <w:szCs w:val="24"/>
              </w:rPr>
              <w:t>.</w:t>
            </w:r>
          </w:p>
          <w:p w14:paraId="1C9A6300" w14:textId="77777777" w:rsidR="00F22110" w:rsidRPr="00F22110" w:rsidRDefault="00F22110" w:rsidP="00F22110">
            <w:pPr>
              <w:spacing w:after="120" w:line="240" w:lineRule="auto"/>
              <w:ind w:left="567" w:hanging="567"/>
              <w:rPr>
                <w:rFonts w:ascii="Book Antiqua" w:hAnsi="Book Antiqua"/>
                <w:sz w:val="24"/>
                <w:szCs w:val="24"/>
                <w:lang w:val="it-IT"/>
              </w:rPr>
            </w:pPr>
            <w:r w:rsidRPr="00F22110">
              <w:rPr>
                <w:rFonts w:ascii="Book Antiqua" w:hAnsi="Book Antiqua"/>
                <w:sz w:val="24"/>
                <w:szCs w:val="24"/>
                <w:lang w:val="it-IT"/>
              </w:rPr>
              <w:lastRenderedPageBreak/>
              <w:t>Junaedi, D., Arsyad, M. R., dan Aurijah, S. C. (2021), Optimalisasi Investasi Dana Haji Era Pandemi Covid-19. Al-Kharaj : Jurnal Ekonomi, Keuangan &amp; Bisnis Syariah: Volume 3 No 1 (2021) 1-16.</w:t>
            </w:r>
          </w:p>
          <w:p w14:paraId="69D4C958" w14:textId="77777777" w:rsidR="00F22110" w:rsidRPr="00F22110" w:rsidRDefault="00F22110" w:rsidP="00F22110">
            <w:pPr>
              <w:spacing w:after="120" w:line="240" w:lineRule="auto"/>
              <w:ind w:left="567" w:hanging="567"/>
              <w:rPr>
                <w:rFonts w:ascii="Book Antiqua" w:hAnsi="Book Antiqua"/>
                <w:sz w:val="24"/>
                <w:szCs w:val="24"/>
              </w:rPr>
            </w:pPr>
            <w:r w:rsidRPr="00F22110">
              <w:rPr>
                <w:rFonts w:ascii="Book Antiqua" w:hAnsi="Book Antiqua"/>
                <w:sz w:val="24"/>
                <w:szCs w:val="24"/>
                <w:lang w:val="it-IT"/>
              </w:rPr>
              <w:t xml:space="preserve">Padliansyah, R., Juliana, A., dan Hasiara, La Ode (2020). Hubungan Interaktif antara Harga Logam Mulia dan Jakarta Islamic Stock Index. </w:t>
            </w:r>
            <w:proofErr w:type="spellStart"/>
            <w:r w:rsidRPr="00F22110">
              <w:rPr>
                <w:rFonts w:ascii="Book Antiqua" w:hAnsi="Book Antiqua"/>
                <w:sz w:val="24"/>
                <w:szCs w:val="24"/>
              </w:rPr>
              <w:t>Moneter</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Jurnal</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Akuntansi</w:t>
            </w:r>
            <w:proofErr w:type="spellEnd"/>
            <w:r w:rsidRPr="00F22110">
              <w:rPr>
                <w:rFonts w:ascii="Book Antiqua" w:hAnsi="Book Antiqua"/>
                <w:sz w:val="24"/>
                <w:szCs w:val="24"/>
              </w:rPr>
              <w:t xml:space="preserve"> dan </w:t>
            </w:r>
            <w:proofErr w:type="spellStart"/>
            <w:r w:rsidRPr="00F22110">
              <w:rPr>
                <w:rFonts w:ascii="Book Antiqua" w:hAnsi="Book Antiqua"/>
                <w:sz w:val="24"/>
                <w:szCs w:val="24"/>
              </w:rPr>
              <w:t>Keuangan</w:t>
            </w:r>
            <w:proofErr w:type="spellEnd"/>
            <w:r w:rsidRPr="00F22110">
              <w:rPr>
                <w:rFonts w:ascii="Book Antiqua" w:hAnsi="Book Antiqua"/>
                <w:sz w:val="24"/>
                <w:szCs w:val="24"/>
              </w:rPr>
              <w:t>, Volume 7 No. 1 April 2020.</w:t>
            </w:r>
          </w:p>
          <w:p w14:paraId="233D26B6" w14:textId="77777777" w:rsidR="00F22110" w:rsidRPr="00F22110" w:rsidRDefault="00F22110" w:rsidP="00F22110">
            <w:pPr>
              <w:spacing w:after="120" w:line="240" w:lineRule="auto"/>
              <w:ind w:left="567" w:hanging="567"/>
              <w:rPr>
                <w:rFonts w:ascii="Book Antiqua" w:hAnsi="Book Antiqua"/>
                <w:sz w:val="24"/>
                <w:szCs w:val="24"/>
              </w:rPr>
            </w:pPr>
            <w:r w:rsidRPr="00F22110">
              <w:rPr>
                <w:rFonts w:ascii="Book Antiqua" w:hAnsi="Book Antiqua"/>
                <w:sz w:val="24"/>
                <w:szCs w:val="24"/>
              </w:rPr>
              <w:t xml:space="preserve">PEBS FEB UI (2021). </w:t>
            </w:r>
            <w:proofErr w:type="spellStart"/>
            <w:r w:rsidRPr="00F22110">
              <w:rPr>
                <w:rFonts w:ascii="Book Antiqua" w:hAnsi="Book Antiqua"/>
                <w:sz w:val="24"/>
                <w:szCs w:val="24"/>
              </w:rPr>
              <w:t>Laporan</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Penelitian</w:t>
            </w:r>
            <w:proofErr w:type="spellEnd"/>
            <w:r w:rsidRPr="00F22110">
              <w:rPr>
                <w:rFonts w:ascii="Book Antiqua" w:hAnsi="Book Antiqua"/>
                <w:sz w:val="24"/>
                <w:szCs w:val="24"/>
              </w:rPr>
              <w:t xml:space="preserve">: Metode </w:t>
            </w:r>
            <w:proofErr w:type="spellStart"/>
            <w:r w:rsidRPr="00F22110">
              <w:rPr>
                <w:rFonts w:ascii="Book Antiqua" w:hAnsi="Book Antiqua"/>
                <w:sz w:val="24"/>
                <w:szCs w:val="24"/>
              </w:rPr>
              <w:t>Penentuan</w:t>
            </w:r>
            <w:proofErr w:type="spellEnd"/>
            <w:r w:rsidRPr="00F22110">
              <w:rPr>
                <w:rFonts w:ascii="Book Antiqua" w:hAnsi="Book Antiqua"/>
                <w:sz w:val="24"/>
                <w:szCs w:val="24"/>
              </w:rPr>
              <w:t xml:space="preserve"> Harga dan </w:t>
            </w:r>
            <w:proofErr w:type="spellStart"/>
            <w:r w:rsidRPr="00F22110">
              <w:rPr>
                <w:rFonts w:ascii="Book Antiqua" w:hAnsi="Book Antiqua"/>
                <w:sz w:val="24"/>
                <w:szCs w:val="24"/>
              </w:rPr>
              <w:t>Aspek</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Akunting</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dalam</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Investasi</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Emas</w:t>
            </w:r>
            <w:proofErr w:type="spellEnd"/>
            <w:r w:rsidRPr="00F22110">
              <w:rPr>
                <w:rFonts w:ascii="Book Antiqua" w:hAnsi="Book Antiqua"/>
                <w:sz w:val="24"/>
                <w:szCs w:val="24"/>
              </w:rPr>
              <w:t>.</w:t>
            </w:r>
          </w:p>
          <w:p w14:paraId="7C02E39D" w14:textId="77777777" w:rsidR="00F22110" w:rsidRPr="00F22110" w:rsidRDefault="00F22110" w:rsidP="00F22110">
            <w:pPr>
              <w:spacing w:after="120" w:line="240" w:lineRule="auto"/>
              <w:ind w:left="567" w:hanging="567"/>
              <w:rPr>
                <w:rFonts w:ascii="Book Antiqua" w:hAnsi="Book Antiqua"/>
                <w:sz w:val="24"/>
                <w:szCs w:val="24"/>
              </w:rPr>
            </w:pPr>
            <w:r w:rsidRPr="00F22110">
              <w:rPr>
                <w:rFonts w:ascii="Book Antiqua" w:hAnsi="Book Antiqua"/>
                <w:sz w:val="24"/>
                <w:szCs w:val="24"/>
              </w:rPr>
              <w:t>Pegadaian.co.id</w:t>
            </w:r>
          </w:p>
          <w:p w14:paraId="15E2F387" w14:textId="77777777" w:rsidR="00F22110" w:rsidRPr="00F22110" w:rsidRDefault="00F22110" w:rsidP="00F22110">
            <w:pPr>
              <w:spacing w:after="120" w:line="240" w:lineRule="auto"/>
              <w:ind w:left="567" w:hanging="567"/>
              <w:rPr>
                <w:rFonts w:ascii="Book Antiqua" w:hAnsi="Book Antiqua"/>
                <w:sz w:val="24"/>
                <w:szCs w:val="24"/>
              </w:rPr>
            </w:pPr>
            <w:proofErr w:type="spellStart"/>
            <w:r w:rsidRPr="00F22110">
              <w:rPr>
                <w:rFonts w:ascii="Book Antiqua" w:hAnsi="Book Antiqua"/>
                <w:sz w:val="24"/>
                <w:szCs w:val="24"/>
              </w:rPr>
              <w:t>Peraturan</w:t>
            </w:r>
            <w:proofErr w:type="spellEnd"/>
            <w:r w:rsidRPr="00F22110">
              <w:rPr>
                <w:rFonts w:ascii="Book Antiqua" w:hAnsi="Book Antiqua"/>
                <w:sz w:val="24"/>
                <w:szCs w:val="24"/>
              </w:rPr>
              <w:t xml:space="preserve"> Badan </w:t>
            </w:r>
            <w:proofErr w:type="spellStart"/>
            <w:r w:rsidRPr="00F22110">
              <w:rPr>
                <w:rFonts w:ascii="Book Antiqua" w:hAnsi="Book Antiqua"/>
                <w:sz w:val="24"/>
                <w:szCs w:val="24"/>
              </w:rPr>
              <w:t>Pengelola</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Keuangan</w:t>
            </w:r>
            <w:proofErr w:type="spellEnd"/>
            <w:r w:rsidRPr="00F22110">
              <w:rPr>
                <w:rFonts w:ascii="Book Antiqua" w:hAnsi="Book Antiqua"/>
                <w:sz w:val="24"/>
                <w:szCs w:val="24"/>
              </w:rPr>
              <w:t xml:space="preserve"> Haji </w:t>
            </w:r>
            <w:proofErr w:type="spellStart"/>
            <w:r w:rsidRPr="00F22110">
              <w:rPr>
                <w:rFonts w:ascii="Book Antiqua" w:hAnsi="Book Antiqua"/>
                <w:sz w:val="24"/>
                <w:szCs w:val="24"/>
              </w:rPr>
              <w:t>Nomor</w:t>
            </w:r>
            <w:proofErr w:type="spellEnd"/>
            <w:r w:rsidRPr="00F22110">
              <w:rPr>
                <w:rFonts w:ascii="Book Antiqua" w:hAnsi="Book Antiqua"/>
                <w:sz w:val="24"/>
                <w:szCs w:val="24"/>
              </w:rPr>
              <w:t xml:space="preserve"> 10 </w:t>
            </w:r>
            <w:proofErr w:type="spellStart"/>
            <w:r w:rsidRPr="00F22110">
              <w:rPr>
                <w:rFonts w:ascii="Book Antiqua" w:hAnsi="Book Antiqua"/>
                <w:sz w:val="24"/>
                <w:szCs w:val="24"/>
              </w:rPr>
              <w:t>Tahun</w:t>
            </w:r>
            <w:proofErr w:type="spellEnd"/>
            <w:r w:rsidRPr="00F22110">
              <w:rPr>
                <w:rFonts w:ascii="Book Antiqua" w:hAnsi="Book Antiqua"/>
                <w:sz w:val="24"/>
                <w:szCs w:val="24"/>
              </w:rPr>
              <w:t xml:space="preserve"> 2020 </w:t>
            </w:r>
            <w:proofErr w:type="spellStart"/>
            <w:r w:rsidRPr="00F22110">
              <w:rPr>
                <w:rFonts w:ascii="Book Antiqua" w:hAnsi="Book Antiqua"/>
                <w:sz w:val="24"/>
                <w:szCs w:val="24"/>
              </w:rPr>
              <w:t>tentang</w:t>
            </w:r>
            <w:proofErr w:type="spellEnd"/>
            <w:r w:rsidRPr="00F22110">
              <w:rPr>
                <w:rFonts w:ascii="Book Antiqua" w:hAnsi="Book Antiqua"/>
                <w:sz w:val="24"/>
                <w:szCs w:val="24"/>
              </w:rPr>
              <w:t xml:space="preserve"> Tata Cara dan </w:t>
            </w:r>
            <w:proofErr w:type="spellStart"/>
            <w:r w:rsidRPr="00F22110">
              <w:rPr>
                <w:rFonts w:ascii="Book Antiqua" w:hAnsi="Book Antiqua"/>
                <w:sz w:val="24"/>
                <w:szCs w:val="24"/>
              </w:rPr>
              <w:t>Bentuk</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Investasi</w:t>
            </w:r>
            <w:proofErr w:type="spellEnd"/>
            <w:r w:rsidRPr="00F22110">
              <w:rPr>
                <w:rFonts w:ascii="Book Antiqua" w:hAnsi="Book Antiqua"/>
                <w:sz w:val="24"/>
                <w:szCs w:val="24"/>
              </w:rPr>
              <w:t xml:space="preserve"> Surat </w:t>
            </w:r>
            <w:proofErr w:type="spellStart"/>
            <w:r w:rsidRPr="00F22110">
              <w:rPr>
                <w:rFonts w:ascii="Book Antiqua" w:hAnsi="Book Antiqua"/>
                <w:sz w:val="24"/>
                <w:szCs w:val="24"/>
              </w:rPr>
              <w:t>Berharga</w:t>
            </w:r>
            <w:proofErr w:type="spellEnd"/>
            <w:r w:rsidRPr="00F22110">
              <w:rPr>
                <w:rFonts w:ascii="Book Antiqua" w:hAnsi="Book Antiqua"/>
                <w:sz w:val="24"/>
                <w:szCs w:val="24"/>
              </w:rPr>
              <w:t xml:space="preserve"> dan </w:t>
            </w:r>
            <w:proofErr w:type="spellStart"/>
            <w:r w:rsidRPr="00F22110">
              <w:rPr>
                <w:rFonts w:ascii="Book Antiqua" w:hAnsi="Book Antiqua"/>
                <w:sz w:val="24"/>
                <w:szCs w:val="24"/>
              </w:rPr>
              <w:t>Emas</w:t>
            </w:r>
            <w:proofErr w:type="spellEnd"/>
            <w:r w:rsidRPr="00F22110">
              <w:rPr>
                <w:rFonts w:ascii="Book Antiqua" w:hAnsi="Book Antiqua"/>
                <w:sz w:val="24"/>
                <w:szCs w:val="24"/>
              </w:rPr>
              <w:t>.</w:t>
            </w:r>
          </w:p>
          <w:p w14:paraId="3EA52E53" w14:textId="77777777" w:rsidR="00F22110" w:rsidRPr="00F22110" w:rsidRDefault="00F22110" w:rsidP="00F22110">
            <w:pPr>
              <w:spacing w:after="120" w:line="240" w:lineRule="auto"/>
              <w:ind w:left="567" w:hanging="567"/>
              <w:rPr>
                <w:rFonts w:ascii="Book Antiqua" w:hAnsi="Book Antiqua"/>
                <w:sz w:val="24"/>
                <w:szCs w:val="24"/>
              </w:rPr>
            </w:pPr>
            <w:proofErr w:type="spellStart"/>
            <w:r w:rsidRPr="00F22110">
              <w:rPr>
                <w:rFonts w:ascii="Book Antiqua" w:hAnsi="Book Antiqua"/>
                <w:sz w:val="24"/>
                <w:szCs w:val="24"/>
              </w:rPr>
              <w:t>Peraturan</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Pemerintah</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Nomor</w:t>
            </w:r>
            <w:proofErr w:type="spellEnd"/>
            <w:r w:rsidRPr="00F22110">
              <w:rPr>
                <w:rFonts w:ascii="Book Antiqua" w:hAnsi="Book Antiqua"/>
                <w:sz w:val="24"/>
                <w:szCs w:val="24"/>
              </w:rPr>
              <w:t xml:space="preserve"> 5 </w:t>
            </w:r>
            <w:proofErr w:type="spellStart"/>
            <w:r w:rsidRPr="00F22110">
              <w:rPr>
                <w:rFonts w:ascii="Book Antiqua" w:hAnsi="Book Antiqua"/>
                <w:sz w:val="24"/>
                <w:szCs w:val="24"/>
              </w:rPr>
              <w:t>Tahun</w:t>
            </w:r>
            <w:proofErr w:type="spellEnd"/>
            <w:r w:rsidRPr="00F22110">
              <w:rPr>
                <w:rFonts w:ascii="Book Antiqua" w:hAnsi="Book Antiqua"/>
                <w:sz w:val="24"/>
                <w:szCs w:val="24"/>
              </w:rPr>
              <w:t xml:space="preserve"> 2018 </w:t>
            </w:r>
            <w:proofErr w:type="spellStart"/>
            <w:r w:rsidRPr="00F22110">
              <w:rPr>
                <w:rFonts w:ascii="Book Antiqua" w:hAnsi="Book Antiqua"/>
                <w:sz w:val="24"/>
                <w:szCs w:val="24"/>
              </w:rPr>
              <w:t>tentang</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Pelaksanaan</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Undang-Undang</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Nomor</w:t>
            </w:r>
            <w:proofErr w:type="spellEnd"/>
            <w:r w:rsidRPr="00F22110">
              <w:rPr>
                <w:rFonts w:ascii="Book Antiqua" w:hAnsi="Book Antiqua"/>
                <w:sz w:val="24"/>
                <w:szCs w:val="24"/>
              </w:rPr>
              <w:t xml:space="preserve"> 34 </w:t>
            </w:r>
            <w:proofErr w:type="spellStart"/>
            <w:r w:rsidRPr="00F22110">
              <w:rPr>
                <w:rFonts w:ascii="Book Antiqua" w:hAnsi="Book Antiqua"/>
                <w:sz w:val="24"/>
                <w:szCs w:val="24"/>
              </w:rPr>
              <w:t>Tahun</w:t>
            </w:r>
            <w:proofErr w:type="spellEnd"/>
            <w:r w:rsidRPr="00F22110">
              <w:rPr>
                <w:rFonts w:ascii="Book Antiqua" w:hAnsi="Book Antiqua"/>
                <w:sz w:val="24"/>
                <w:szCs w:val="24"/>
              </w:rPr>
              <w:t xml:space="preserve"> 2014 </w:t>
            </w:r>
            <w:proofErr w:type="spellStart"/>
            <w:r w:rsidRPr="00F22110">
              <w:rPr>
                <w:rFonts w:ascii="Book Antiqua" w:hAnsi="Book Antiqua"/>
                <w:sz w:val="24"/>
                <w:szCs w:val="24"/>
              </w:rPr>
              <w:t>tentang</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Pengelolaan</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Keuangan</w:t>
            </w:r>
            <w:proofErr w:type="spellEnd"/>
            <w:r w:rsidRPr="00F22110">
              <w:rPr>
                <w:rFonts w:ascii="Book Antiqua" w:hAnsi="Book Antiqua"/>
                <w:sz w:val="24"/>
                <w:szCs w:val="24"/>
              </w:rPr>
              <w:t xml:space="preserve"> Haji.</w:t>
            </w:r>
          </w:p>
          <w:p w14:paraId="61EF0D67" w14:textId="77777777" w:rsidR="00F22110" w:rsidRPr="00F22110" w:rsidRDefault="00F22110" w:rsidP="00F22110">
            <w:pPr>
              <w:spacing w:after="120" w:line="240" w:lineRule="auto"/>
              <w:ind w:left="567" w:hanging="567"/>
              <w:rPr>
                <w:rFonts w:ascii="Book Antiqua" w:hAnsi="Book Antiqua"/>
                <w:sz w:val="24"/>
                <w:szCs w:val="24"/>
              </w:rPr>
            </w:pPr>
            <w:proofErr w:type="spellStart"/>
            <w:r w:rsidRPr="00F22110">
              <w:rPr>
                <w:rFonts w:ascii="Book Antiqua" w:hAnsi="Book Antiqua"/>
                <w:sz w:val="24"/>
                <w:szCs w:val="24"/>
              </w:rPr>
              <w:t>Prasetyo</w:t>
            </w:r>
            <w:proofErr w:type="spellEnd"/>
            <w:r w:rsidRPr="00F22110">
              <w:rPr>
                <w:rFonts w:ascii="Book Antiqua" w:hAnsi="Book Antiqua"/>
                <w:sz w:val="24"/>
                <w:szCs w:val="24"/>
              </w:rPr>
              <w:t xml:space="preserve">, Wibowo (2023), Ada BPIH, </w:t>
            </w:r>
            <w:proofErr w:type="spellStart"/>
            <w:r w:rsidRPr="00F22110">
              <w:rPr>
                <w:rFonts w:ascii="Book Antiqua" w:hAnsi="Book Antiqua"/>
                <w:sz w:val="24"/>
                <w:szCs w:val="24"/>
              </w:rPr>
              <w:t>Bipih</w:t>
            </w:r>
            <w:proofErr w:type="spellEnd"/>
            <w:r w:rsidRPr="00F22110">
              <w:rPr>
                <w:rFonts w:ascii="Book Antiqua" w:hAnsi="Book Antiqua"/>
                <w:sz w:val="24"/>
                <w:szCs w:val="24"/>
              </w:rPr>
              <w:t xml:space="preserve">, dan Nilai Manfaat, </w:t>
            </w:r>
            <w:proofErr w:type="spellStart"/>
            <w:r w:rsidRPr="00F22110">
              <w:rPr>
                <w:rFonts w:ascii="Book Antiqua" w:hAnsi="Book Antiqua"/>
                <w:sz w:val="24"/>
                <w:szCs w:val="24"/>
              </w:rPr>
              <w:t>Berapa</w:t>
            </w:r>
            <w:proofErr w:type="spellEnd"/>
            <w:r w:rsidRPr="00F22110">
              <w:rPr>
                <w:rFonts w:ascii="Book Antiqua" w:hAnsi="Book Antiqua"/>
                <w:sz w:val="24"/>
                <w:szCs w:val="24"/>
              </w:rPr>
              <w:t xml:space="preserve"> yang </w:t>
            </w:r>
            <w:proofErr w:type="spellStart"/>
            <w:r w:rsidRPr="00F22110">
              <w:rPr>
                <w:rFonts w:ascii="Book Antiqua" w:hAnsi="Book Antiqua"/>
                <w:sz w:val="24"/>
                <w:szCs w:val="24"/>
              </w:rPr>
              <w:t>Dibayar</w:t>
            </w:r>
            <w:proofErr w:type="spellEnd"/>
            <w:r w:rsidRPr="00F22110">
              <w:rPr>
                <w:rFonts w:ascii="Book Antiqua" w:hAnsi="Book Antiqua"/>
                <w:sz w:val="24"/>
                <w:szCs w:val="24"/>
              </w:rPr>
              <w:t xml:space="preserve"> Jemaah Haji? </w:t>
            </w:r>
            <w:proofErr w:type="spellStart"/>
            <w:r w:rsidRPr="00F22110">
              <w:rPr>
                <w:rFonts w:ascii="Book Antiqua" w:hAnsi="Book Antiqua"/>
                <w:sz w:val="24"/>
                <w:szCs w:val="24"/>
              </w:rPr>
              <w:t>diakses</w:t>
            </w:r>
            <w:proofErr w:type="spellEnd"/>
            <w:r w:rsidRPr="00F22110">
              <w:rPr>
                <w:rFonts w:ascii="Book Antiqua" w:hAnsi="Book Antiqua"/>
                <w:sz w:val="24"/>
                <w:szCs w:val="24"/>
              </w:rPr>
              <w:t xml:space="preserve"> pada 1 </w:t>
            </w:r>
            <w:proofErr w:type="spellStart"/>
            <w:r w:rsidRPr="00F22110">
              <w:rPr>
                <w:rFonts w:ascii="Book Antiqua" w:hAnsi="Book Antiqua"/>
                <w:sz w:val="24"/>
                <w:szCs w:val="24"/>
              </w:rPr>
              <w:t>Desember</w:t>
            </w:r>
            <w:proofErr w:type="spellEnd"/>
            <w:r w:rsidRPr="00F22110">
              <w:rPr>
                <w:rFonts w:ascii="Book Antiqua" w:hAnsi="Book Antiqua"/>
                <w:sz w:val="24"/>
                <w:szCs w:val="24"/>
              </w:rPr>
              <w:t xml:space="preserve"> 2023 </w:t>
            </w:r>
            <w:proofErr w:type="spellStart"/>
            <w:r w:rsidRPr="00F22110">
              <w:rPr>
                <w:rFonts w:ascii="Book Antiqua" w:hAnsi="Book Antiqua"/>
                <w:sz w:val="24"/>
                <w:szCs w:val="24"/>
              </w:rPr>
              <w:t>dari</w:t>
            </w:r>
            <w:proofErr w:type="spellEnd"/>
            <w:r w:rsidRPr="00F22110">
              <w:rPr>
                <w:rFonts w:ascii="Book Antiqua" w:hAnsi="Book Antiqua"/>
                <w:sz w:val="24"/>
                <w:szCs w:val="24"/>
              </w:rPr>
              <w:t xml:space="preserve"> </w:t>
            </w:r>
            <w:hyperlink r:id="rId20" w:history="1">
              <w:r w:rsidRPr="00F22110">
                <w:rPr>
                  <w:rStyle w:val="Hyperlink"/>
                  <w:rFonts w:ascii="Book Antiqua" w:hAnsi="Book Antiqua"/>
                  <w:color w:val="000000" w:themeColor="text1"/>
                  <w:sz w:val="24"/>
                  <w:szCs w:val="24"/>
                  <w:u w:val="none"/>
                </w:rPr>
                <w:t>https://kemenag.go.id/nasional/ada-bpih-bipih-dan-nilai-manfaat-berapa-yang-dibayar-jemaah-haji-pemDS</w:t>
              </w:r>
            </w:hyperlink>
            <w:r w:rsidRPr="00F22110">
              <w:rPr>
                <w:rFonts w:ascii="Book Antiqua" w:hAnsi="Book Antiqua"/>
                <w:color w:val="000000" w:themeColor="text1"/>
                <w:sz w:val="24"/>
                <w:szCs w:val="24"/>
              </w:rPr>
              <w:t>.</w:t>
            </w:r>
          </w:p>
          <w:p w14:paraId="2AE20DCC" w14:textId="77777777" w:rsidR="00F22110" w:rsidRPr="00F22110" w:rsidRDefault="00F22110" w:rsidP="00F22110">
            <w:pPr>
              <w:spacing w:after="120" w:line="240" w:lineRule="auto"/>
              <w:ind w:left="567" w:hanging="567"/>
              <w:rPr>
                <w:rFonts w:ascii="Book Antiqua" w:hAnsi="Book Antiqua"/>
                <w:sz w:val="24"/>
                <w:szCs w:val="24"/>
              </w:rPr>
            </w:pPr>
            <w:r w:rsidRPr="00F22110">
              <w:rPr>
                <w:rFonts w:ascii="Book Antiqua" w:hAnsi="Book Antiqua"/>
                <w:sz w:val="24"/>
                <w:szCs w:val="24"/>
              </w:rPr>
              <w:t xml:space="preserve">Qian, Yao &amp; </w:t>
            </w:r>
            <w:proofErr w:type="spellStart"/>
            <w:r w:rsidRPr="00F22110">
              <w:rPr>
                <w:rFonts w:ascii="Book Antiqua" w:hAnsi="Book Antiqua"/>
                <w:sz w:val="24"/>
                <w:szCs w:val="24"/>
              </w:rPr>
              <w:t>Ralescu</w:t>
            </w:r>
            <w:proofErr w:type="spellEnd"/>
            <w:r w:rsidRPr="00F22110">
              <w:rPr>
                <w:rFonts w:ascii="Book Antiqua" w:hAnsi="Book Antiqua"/>
                <w:sz w:val="24"/>
                <w:szCs w:val="24"/>
              </w:rPr>
              <w:t>, Dan &amp; Zhang, Bo. (2019). The analysis of factors affecting global gold price. Resources Policy. 64. 101478. 10.1016/j.resourpol.2019.101478.</w:t>
            </w:r>
          </w:p>
          <w:p w14:paraId="3D381BBC" w14:textId="77777777" w:rsidR="00F22110" w:rsidRPr="00F22110" w:rsidRDefault="00F22110" w:rsidP="00F22110">
            <w:pPr>
              <w:spacing w:after="120" w:line="240" w:lineRule="auto"/>
              <w:ind w:left="567" w:hanging="567"/>
              <w:rPr>
                <w:rFonts w:ascii="Book Antiqua" w:hAnsi="Book Antiqua"/>
                <w:sz w:val="24"/>
                <w:szCs w:val="24"/>
              </w:rPr>
            </w:pPr>
            <w:r w:rsidRPr="00F22110">
              <w:rPr>
                <w:rFonts w:ascii="Book Antiqua" w:hAnsi="Book Antiqua"/>
                <w:sz w:val="24"/>
                <w:szCs w:val="24"/>
              </w:rPr>
              <w:t xml:space="preserve">Sholeh, Mohammad (2014). </w:t>
            </w:r>
            <w:proofErr w:type="spellStart"/>
            <w:r w:rsidRPr="00F22110">
              <w:rPr>
                <w:rFonts w:ascii="Book Antiqua" w:hAnsi="Book Antiqua"/>
                <w:sz w:val="24"/>
                <w:szCs w:val="24"/>
              </w:rPr>
              <w:t>Emas</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sebagai</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Instrumen</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Investasi</w:t>
            </w:r>
            <w:proofErr w:type="spellEnd"/>
            <w:r w:rsidRPr="00F22110">
              <w:rPr>
                <w:rFonts w:ascii="Book Antiqua" w:hAnsi="Book Antiqua"/>
                <w:sz w:val="24"/>
                <w:szCs w:val="24"/>
              </w:rPr>
              <w:t xml:space="preserve"> yang Aman pada </w:t>
            </w:r>
            <w:proofErr w:type="spellStart"/>
            <w:r w:rsidRPr="00F22110">
              <w:rPr>
                <w:rFonts w:ascii="Book Antiqua" w:hAnsi="Book Antiqua"/>
                <w:sz w:val="24"/>
                <w:szCs w:val="24"/>
              </w:rPr>
              <w:t>saat</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Instrumen</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Investasi</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Keuangan</w:t>
            </w:r>
            <w:proofErr w:type="spellEnd"/>
            <w:r w:rsidRPr="00F22110">
              <w:rPr>
                <w:rFonts w:ascii="Book Antiqua" w:hAnsi="Book Antiqua"/>
                <w:sz w:val="24"/>
                <w:szCs w:val="24"/>
              </w:rPr>
              <w:t xml:space="preserve"> Lain </w:t>
            </w:r>
            <w:proofErr w:type="spellStart"/>
            <w:r w:rsidRPr="00F22110">
              <w:rPr>
                <w:rFonts w:ascii="Book Antiqua" w:hAnsi="Book Antiqua"/>
                <w:sz w:val="24"/>
                <w:szCs w:val="24"/>
              </w:rPr>
              <w:t>Mengalami</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Peningkatan</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Resiko</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Jurnal</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Mahasiswa</w:t>
            </w:r>
            <w:proofErr w:type="spellEnd"/>
            <w:r w:rsidRPr="00F22110">
              <w:rPr>
                <w:rFonts w:ascii="Book Antiqua" w:hAnsi="Book Antiqua"/>
                <w:sz w:val="24"/>
                <w:szCs w:val="24"/>
              </w:rPr>
              <w:t xml:space="preserve"> Universitas Negeri Surabaya.</w:t>
            </w:r>
          </w:p>
          <w:p w14:paraId="2C8CBFDC" w14:textId="77777777" w:rsidR="00F22110" w:rsidRPr="00F22110" w:rsidRDefault="00F22110" w:rsidP="00F22110">
            <w:pPr>
              <w:spacing w:after="120" w:line="240" w:lineRule="auto"/>
              <w:ind w:left="567" w:hanging="567"/>
              <w:rPr>
                <w:rFonts w:ascii="Book Antiqua" w:hAnsi="Book Antiqua"/>
                <w:sz w:val="24"/>
                <w:szCs w:val="24"/>
              </w:rPr>
            </w:pPr>
            <w:r w:rsidRPr="00F22110">
              <w:rPr>
                <w:rFonts w:ascii="Segoe UI Symbol" w:hAnsi="Segoe UI Symbol" w:cs="Segoe UI Symbol"/>
                <w:sz w:val="24"/>
                <w:szCs w:val="24"/>
              </w:rPr>
              <w:t>⁠</w:t>
            </w:r>
            <w:r w:rsidRPr="00F22110">
              <w:rPr>
                <w:rFonts w:ascii="Book Antiqua" w:hAnsi="Book Antiqua"/>
                <w:sz w:val="24"/>
                <w:szCs w:val="24"/>
              </w:rPr>
              <w:t xml:space="preserve">Sunaryo, 2022, </w:t>
            </w:r>
            <w:proofErr w:type="spellStart"/>
            <w:r w:rsidRPr="00F22110">
              <w:rPr>
                <w:rFonts w:ascii="Book Antiqua" w:hAnsi="Book Antiqua"/>
                <w:sz w:val="24"/>
                <w:szCs w:val="24"/>
              </w:rPr>
              <w:t>Determinan</w:t>
            </w:r>
            <w:proofErr w:type="spellEnd"/>
            <w:r w:rsidRPr="00F22110">
              <w:rPr>
                <w:rFonts w:ascii="Book Antiqua" w:hAnsi="Book Antiqua"/>
                <w:sz w:val="24"/>
                <w:szCs w:val="24"/>
              </w:rPr>
              <w:t xml:space="preserve"> Harga </w:t>
            </w:r>
            <w:proofErr w:type="spellStart"/>
            <w:r w:rsidRPr="00F22110">
              <w:rPr>
                <w:rFonts w:ascii="Book Antiqua" w:hAnsi="Book Antiqua"/>
                <w:sz w:val="24"/>
                <w:szCs w:val="24"/>
              </w:rPr>
              <w:t>Emas</w:t>
            </w:r>
            <w:proofErr w:type="spellEnd"/>
            <w:r w:rsidRPr="00F22110">
              <w:rPr>
                <w:rFonts w:ascii="Book Antiqua" w:hAnsi="Book Antiqua"/>
                <w:sz w:val="24"/>
                <w:szCs w:val="24"/>
              </w:rPr>
              <w:t xml:space="preserve"> (Studi Kasus Pada PT Aneka Tambang, </w:t>
            </w:r>
            <w:proofErr w:type="spellStart"/>
            <w:r w:rsidRPr="00F22110">
              <w:rPr>
                <w:rFonts w:ascii="Book Antiqua" w:hAnsi="Book Antiqua"/>
                <w:sz w:val="24"/>
                <w:szCs w:val="24"/>
              </w:rPr>
              <w:t>Tbk</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Periode</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Tahun</w:t>
            </w:r>
            <w:proofErr w:type="spellEnd"/>
            <w:r w:rsidRPr="00F22110">
              <w:rPr>
                <w:rFonts w:ascii="Book Antiqua" w:hAnsi="Book Antiqua"/>
                <w:sz w:val="24"/>
                <w:szCs w:val="24"/>
              </w:rPr>
              <w:t xml:space="preserve"> 2010 - 2019), </w:t>
            </w:r>
            <w:proofErr w:type="spellStart"/>
            <w:r w:rsidRPr="00F22110">
              <w:rPr>
                <w:rFonts w:ascii="Book Antiqua" w:hAnsi="Book Antiqua"/>
                <w:sz w:val="24"/>
                <w:szCs w:val="24"/>
              </w:rPr>
              <w:t>Jurnal</w:t>
            </w:r>
            <w:proofErr w:type="spellEnd"/>
            <w:r w:rsidRPr="00F22110">
              <w:rPr>
                <w:rFonts w:ascii="Book Antiqua" w:hAnsi="Book Antiqua"/>
                <w:sz w:val="24"/>
                <w:szCs w:val="24"/>
              </w:rPr>
              <w:t xml:space="preserve"> Ekonomi dan </w:t>
            </w:r>
            <w:proofErr w:type="spellStart"/>
            <w:r w:rsidRPr="00F22110">
              <w:rPr>
                <w:rFonts w:ascii="Book Antiqua" w:hAnsi="Book Antiqua"/>
                <w:sz w:val="24"/>
                <w:szCs w:val="24"/>
              </w:rPr>
              <w:t>Bisnis</w:t>
            </w:r>
            <w:proofErr w:type="spellEnd"/>
            <w:r w:rsidRPr="00F22110">
              <w:rPr>
                <w:rFonts w:ascii="Book Antiqua" w:hAnsi="Book Antiqua"/>
                <w:sz w:val="24"/>
                <w:szCs w:val="24"/>
              </w:rPr>
              <w:t xml:space="preserve"> Kinerja Vol. 5 No. 1. DOI: 10.34005/</w:t>
            </w:r>
            <w:proofErr w:type="gramStart"/>
            <w:r w:rsidRPr="00F22110">
              <w:rPr>
                <w:rFonts w:ascii="Book Antiqua" w:hAnsi="Book Antiqua"/>
                <w:sz w:val="24"/>
                <w:szCs w:val="24"/>
              </w:rPr>
              <w:t>kinerja.v</w:t>
            </w:r>
            <w:proofErr w:type="gramEnd"/>
            <w:r w:rsidRPr="00F22110">
              <w:rPr>
                <w:rFonts w:ascii="Book Antiqua" w:hAnsi="Book Antiqua"/>
                <w:sz w:val="24"/>
                <w:szCs w:val="24"/>
              </w:rPr>
              <w:t>5i01.2126</w:t>
            </w:r>
          </w:p>
          <w:p w14:paraId="2EA9161E" w14:textId="77777777" w:rsidR="00F22110" w:rsidRPr="00F22110" w:rsidRDefault="00F22110" w:rsidP="00F22110">
            <w:pPr>
              <w:spacing w:after="120" w:line="240" w:lineRule="auto"/>
              <w:rPr>
                <w:rFonts w:ascii="Book Antiqua" w:hAnsi="Book Antiqua"/>
                <w:sz w:val="24"/>
                <w:szCs w:val="24"/>
              </w:rPr>
            </w:pPr>
            <w:proofErr w:type="spellStart"/>
            <w:r w:rsidRPr="00F22110">
              <w:rPr>
                <w:rFonts w:ascii="Book Antiqua" w:hAnsi="Book Antiqua"/>
                <w:sz w:val="24"/>
                <w:szCs w:val="24"/>
              </w:rPr>
              <w:t>Undang-Undang</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Nomor</w:t>
            </w:r>
            <w:proofErr w:type="spellEnd"/>
            <w:r w:rsidRPr="00F22110">
              <w:rPr>
                <w:rFonts w:ascii="Book Antiqua" w:hAnsi="Book Antiqua"/>
                <w:sz w:val="24"/>
                <w:szCs w:val="24"/>
              </w:rPr>
              <w:t xml:space="preserve"> 34 </w:t>
            </w:r>
            <w:proofErr w:type="spellStart"/>
            <w:r w:rsidRPr="00F22110">
              <w:rPr>
                <w:rFonts w:ascii="Book Antiqua" w:hAnsi="Book Antiqua"/>
                <w:sz w:val="24"/>
                <w:szCs w:val="24"/>
              </w:rPr>
              <w:t>Tahun</w:t>
            </w:r>
            <w:proofErr w:type="spellEnd"/>
            <w:r w:rsidRPr="00F22110">
              <w:rPr>
                <w:rFonts w:ascii="Book Antiqua" w:hAnsi="Book Antiqua"/>
                <w:sz w:val="24"/>
                <w:szCs w:val="24"/>
              </w:rPr>
              <w:t xml:space="preserve"> 2014 </w:t>
            </w:r>
            <w:proofErr w:type="spellStart"/>
            <w:r w:rsidRPr="00F22110">
              <w:rPr>
                <w:rFonts w:ascii="Book Antiqua" w:hAnsi="Book Antiqua"/>
                <w:sz w:val="24"/>
                <w:szCs w:val="24"/>
              </w:rPr>
              <w:t>tentang</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Pengelolaan</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Keuangan</w:t>
            </w:r>
            <w:proofErr w:type="spellEnd"/>
            <w:r w:rsidRPr="00F22110">
              <w:rPr>
                <w:rFonts w:ascii="Book Antiqua" w:hAnsi="Book Antiqua"/>
                <w:sz w:val="24"/>
                <w:szCs w:val="24"/>
              </w:rPr>
              <w:t xml:space="preserve"> Haji.</w:t>
            </w:r>
          </w:p>
          <w:p w14:paraId="27C24368" w14:textId="77777777" w:rsidR="00F22110" w:rsidRPr="00F22110" w:rsidRDefault="00F22110" w:rsidP="00F22110">
            <w:pPr>
              <w:spacing w:after="120" w:line="240" w:lineRule="auto"/>
              <w:ind w:left="567" w:hanging="567"/>
              <w:rPr>
                <w:rFonts w:ascii="Book Antiqua" w:hAnsi="Book Antiqua"/>
                <w:sz w:val="24"/>
                <w:szCs w:val="24"/>
              </w:rPr>
            </w:pPr>
            <w:r w:rsidRPr="00F22110">
              <w:rPr>
                <w:rFonts w:ascii="Book Antiqua" w:hAnsi="Book Antiqua"/>
                <w:sz w:val="24"/>
                <w:szCs w:val="24"/>
                <w:lang w:val="it-IT"/>
              </w:rPr>
              <w:t xml:space="preserve">Wahyuni, Asri Nur (2014), Analisis Perbandingan Kinerja Investasi Emas dan Investasi Saham selama Masa Inflasi 1994 – 2013. </w:t>
            </w:r>
            <w:proofErr w:type="spellStart"/>
            <w:r w:rsidRPr="00F22110">
              <w:rPr>
                <w:rFonts w:ascii="Book Antiqua" w:hAnsi="Book Antiqua"/>
                <w:sz w:val="24"/>
                <w:szCs w:val="24"/>
              </w:rPr>
              <w:t>Jurnal</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Bisnis</w:t>
            </w:r>
            <w:proofErr w:type="spellEnd"/>
            <w:r w:rsidRPr="00F22110">
              <w:rPr>
                <w:rFonts w:ascii="Book Antiqua" w:hAnsi="Book Antiqua"/>
                <w:sz w:val="24"/>
                <w:szCs w:val="24"/>
              </w:rPr>
              <w:t xml:space="preserve"> Strategi, Vol. 23 No. 2 Des. 2014.</w:t>
            </w:r>
          </w:p>
          <w:p w14:paraId="62A0C3B2" w14:textId="77777777" w:rsidR="00F22110" w:rsidRPr="00F22110" w:rsidRDefault="00F22110" w:rsidP="00F22110">
            <w:pPr>
              <w:spacing w:after="120" w:line="240" w:lineRule="auto"/>
              <w:ind w:left="567" w:hanging="567"/>
              <w:rPr>
                <w:rFonts w:ascii="Book Antiqua" w:hAnsi="Book Antiqua"/>
                <w:sz w:val="24"/>
                <w:szCs w:val="24"/>
              </w:rPr>
            </w:pPr>
            <w:proofErr w:type="spellStart"/>
            <w:r w:rsidRPr="00F22110">
              <w:rPr>
                <w:rFonts w:ascii="Book Antiqua" w:hAnsi="Book Antiqua"/>
                <w:sz w:val="24"/>
                <w:szCs w:val="24"/>
              </w:rPr>
              <w:t>Wicaksono</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Mochammad</w:t>
            </w:r>
            <w:proofErr w:type="spellEnd"/>
            <w:r w:rsidRPr="00F22110">
              <w:rPr>
                <w:rFonts w:ascii="Book Antiqua" w:hAnsi="Book Antiqua"/>
                <w:sz w:val="24"/>
                <w:szCs w:val="24"/>
              </w:rPr>
              <w:t xml:space="preserve"> Yusuf (2016). </w:t>
            </w:r>
            <w:proofErr w:type="spellStart"/>
            <w:r w:rsidRPr="00F22110">
              <w:rPr>
                <w:rFonts w:ascii="Book Antiqua" w:hAnsi="Book Antiqua"/>
                <w:sz w:val="24"/>
                <w:szCs w:val="24"/>
              </w:rPr>
              <w:t>Pengaruh</w:t>
            </w:r>
            <w:proofErr w:type="spellEnd"/>
            <w:r w:rsidRPr="00F22110">
              <w:rPr>
                <w:rFonts w:ascii="Book Antiqua" w:hAnsi="Book Antiqua"/>
                <w:sz w:val="24"/>
                <w:szCs w:val="24"/>
              </w:rPr>
              <w:t xml:space="preserve"> </w:t>
            </w:r>
            <w:proofErr w:type="spellStart"/>
            <w:r w:rsidRPr="00F22110">
              <w:rPr>
                <w:rFonts w:ascii="Book Antiqua" w:hAnsi="Book Antiqua"/>
                <w:sz w:val="24"/>
                <w:szCs w:val="24"/>
              </w:rPr>
              <w:t>Inflasi</w:t>
            </w:r>
            <w:proofErr w:type="spellEnd"/>
            <w:r w:rsidRPr="00F22110">
              <w:rPr>
                <w:rFonts w:ascii="Book Antiqua" w:hAnsi="Book Antiqua"/>
                <w:sz w:val="24"/>
                <w:szCs w:val="24"/>
              </w:rPr>
              <w:t xml:space="preserve">, Kurs Dollar dan Suku Bunga </w:t>
            </w:r>
            <w:proofErr w:type="spellStart"/>
            <w:r w:rsidRPr="00F22110">
              <w:rPr>
                <w:rFonts w:ascii="Book Antiqua" w:hAnsi="Book Antiqua"/>
                <w:sz w:val="24"/>
                <w:szCs w:val="24"/>
              </w:rPr>
              <w:t>terhadap</w:t>
            </w:r>
            <w:proofErr w:type="spellEnd"/>
            <w:r w:rsidRPr="00F22110">
              <w:rPr>
                <w:rFonts w:ascii="Book Antiqua" w:hAnsi="Book Antiqua"/>
                <w:sz w:val="24"/>
                <w:szCs w:val="24"/>
              </w:rPr>
              <w:t xml:space="preserve"> Harga </w:t>
            </w:r>
            <w:proofErr w:type="spellStart"/>
            <w:r w:rsidRPr="00F22110">
              <w:rPr>
                <w:rFonts w:ascii="Book Antiqua" w:hAnsi="Book Antiqua"/>
                <w:sz w:val="24"/>
                <w:szCs w:val="24"/>
              </w:rPr>
              <w:t>Emas</w:t>
            </w:r>
            <w:proofErr w:type="spellEnd"/>
            <w:r w:rsidRPr="00F22110">
              <w:rPr>
                <w:rFonts w:ascii="Book Antiqua" w:hAnsi="Book Antiqua"/>
                <w:sz w:val="24"/>
                <w:szCs w:val="24"/>
              </w:rPr>
              <w:t xml:space="preserve"> di Indonesia. </w:t>
            </w:r>
            <w:proofErr w:type="spellStart"/>
            <w:r w:rsidRPr="00F22110">
              <w:rPr>
                <w:rFonts w:ascii="Book Antiqua" w:hAnsi="Book Antiqua"/>
                <w:sz w:val="24"/>
                <w:szCs w:val="24"/>
              </w:rPr>
              <w:t>Jurnal</w:t>
            </w:r>
            <w:proofErr w:type="spellEnd"/>
            <w:r w:rsidRPr="00F22110">
              <w:rPr>
                <w:rFonts w:ascii="Book Antiqua" w:hAnsi="Book Antiqua"/>
                <w:sz w:val="24"/>
                <w:szCs w:val="24"/>
              </w:rPr>
              <w:t xml:space="preserve"> Pendidikan dan Ekonomi. Volume 5 </w:t>
            </w:r>
            <w:proofErr w:type="spellStart"/>
            <w:r w:rsidRPr="00F22110">
              <w:rPr>
                <w:rFonts w:ascii="Book Antiqua" w:hAnsi="Book Antiqua"/>
                <w:sz w:val="24"/>
                <w:szCs w:val="24"/>
              </w:rPr>
              <w:t>Nomor</w:t>
            </w:r>
            <w:proofErr w:type="spellEnd"/>
            <w:r w:rsidRPr="00F22110">
              <w:rPr>
                <w:rFonts w:ascii="Book Antiqua" w:hAnsi="Book Antiqua"/>
                <w:sz w:val="24"/>
                <w:szCs w:val="24"/>
              </w:rPr>
              <w:t xml:space="preserve"> 2 </w:t>
            </w:r>
            <w:proofErr w:type="spellStart"/>
            <w:r w:rsidRPr="00F22110">
              <w:rPr>
                <w:rFonts w:ascii="Book Antiqua" w:hAnsi="Book Antiqua"/>
                <w:sz w:val="24"/>
                <w:szCs w:val="24"/>
              </w:rPr>
              <w:t>Tahun</w:t>
            </w:r>
            <w:proofErr w:type="spellEnd"/>
            <w:r w:rsidRPr="00F22110">
              <w:rPr>
                <w:rFonts w:ascii="Book Antiqua" w:hAnsi="Book Antiqua"/>
                <w:sz w:val="24"/>
                <w:szCs w:val="24"/>
              </w:rPr>
              <w:t xml:space="preserve"> 2016.</w:t>
            </w:r>
          </w:p>
          <w:p w14:paraId="4C80787A" w14:textId="77777777" w:rsidR="00F22110" w:rsidRPr="00F22110" w:rsidRDefault="00F22110" w:rsidP="00F22110">
            <w:pPr>
              <w:spacing w:after="120" w:line="240" w:lineRule="auto"/>
              <w:ind w:left="567" w:hanging="567"/>
              <w:rPr>
                <w:rFonts w:ascii="Book Antiqua" w:hAnsi="Book Antiqua"/>
                <w:sz w:val="24"/>
                <w:szCs w:val="24"/>
              </w:rPr>
            </w:pPr>
            <w:proofErr w:type="spellStart"/>
            <w:r w:rsidRPr="00F22110">
              <w:rPr>
                <w:rFonts w:ascii="Book Antiqua" w:hAnsi="Book Antiqua"/>
                <w:sz w:val="24"/>
                <w:szCs w:val="24"/>
              </w:rPr>
              <w:t>Witjaksono</w:t>
            </w:r>
            <w:proofErr w:type="spellEnd"/>
            <w:r w:rsidRPr="00F22110">
              <w:rPr>
                <w:rFonts w:ascii="Book Antiqua" w:hAnsi="Book Antiqua"/>
                <w:sz w:val="24"/>
                <w:szCs w:val="24"/>
              </w:rPr>
              <w:t xml:space="preserve">, Beny </w:t>
            </w:r>
            <w:proofErr w:type="spellStart"/>
            <w:r w:rsidRPr="00F22110">
              <w:rPr>
                <w:rFonts w:ascii="Book Antiqua" w:hAnsi="Book Antiqua"/>
                <w:sz w:val="24"/>
                <w:szCs w:val="24"/>
              </w:rPr>
              <w:t>dkk</w:t>
            </w:r>
            <w:proofErr w:type="spellEnd"/>
            <w:r w:rsidRPr="00F22110">
              <w:rPr>
                <w:rFonts w:ascii="Book Antiqua" w:hAnsi="Book Antiqua"/>
                <w:sz w:val="24"/>
                <w:szCs w:val="24"/>
              </w:rPr>
              <w:t xml:space="preserve">. </w:t>
            </w:r>
            <w:r w:rsidRPr="00F22110">
              <w:rPr>
                <w:rFonts w:ascii="Book Antiqua" w:hAnsi="Book Antiqua"/>
                <w:sz w:val="24"/>
                <w:szCs w:val="24"/>
                <w:lang w:val="it-IT"/>
              </w:rPr>
              <w:t xml:space="preserve">(2022). Investasi Emas BPKH. Badan Pengelola Keuangan Haji, Jakarta. </w:t>
            </w:r>
            <w:r w:rsidRPr="00F22110">
              <w:rPr>
                <w:rFonts w:ascii="Book Antiqua" w:hAnsi="Book Antiqua"/>
                <w:sz w:val="24"/>
                <w:szCs w:val="24"/>
              </w:rPr>
              <w:t>Hal. 34-35.</w:t>
            </w:r>
          </w:p>
          <w:p w14:paraId="779AC0FA" w14:textId="77777777" w:rsidR="00F22110" w:rsidRPr="00F22110" w:rsidRDefault="00F22110" w:rsidP="00F22110">
            <w:pPr>
              <w:spacing w:after="120" w:line="240" w:lineRule="auto"/>
              <w:ind w:left="567" w:hanging="567"/>
              <w:rPr>
                <w:rFonts w:ascii="Book Antiqua" w:hAnsi="Book Antiqua"/>
                <w:sz w:val="24"/>
                <w:szCs w:val="24"/>
                <w:lang w:val="it-IT"/>
              </w:rPr>
            </w:pPr>
            <w:r w:rsidRPr="00F22110">
              <w:rPr>
                <w:rFonts w:ascii="Book Antiqua" w:hAnsi="Book Antiqua"/>
                <w:sz w:val="24"/>
                <w:szCs w:val="24"/>
              </w:rPr>
              <w:t xml:space="preserve">Zhang, H., Demirer, R., Huang, J., Huang, W., &amp; Tahir Suleman, M. (2021). Economic policy uncertainty and gold return dynamics: Evidence from high-frequency data. </w:t>
            </w:r>
            <w:r w:rsidRPr="00F22110">
              <w:rPr>
                <w:rFonts w:ascii="Book Antiqua" w:hAnsi="Book Antiqua"/>
                <w:sz w:val="24"/>
                <w:szCs w:val="24"/>
                <w:lang w:val="it-IT"/>
              </w:rPr>
              <w:t>Resources Policy, 72. https://doi.org/10.1016/j.resourpol.2021.102078</w:t>
            </w:r>
          </w:p>
          <w:p w14:paraId="596533E0" w14:textId="77777777" w:rsidR="00157A08" w:rsidRPr="00E54420" w:rsidRDefault="00157A08" w:rsidP="00157A08">
            <w:pPr>
              <w:spacing w:after="120" w:line="240" w:lineRule="auto"/>
              <w:ind w:right="-118"/>
              <w:contextualSpacing/>
              <w:rPr>
                <w:rFonts w:ascii="Book Antiqua" w:hAnsi="Book Antiqua" w:cs="Times New Roman"/>
              </w:rPr>
            </w:pPr>
          </w:p>
        </w:tc>
      </w:tr>
    </w:tbl>
    <w:p w14:paraId="75DC74B8" w14:textId="77777777" w:rsidR="00A842FD" w:rsidRPr="00E54420" w:rsidRDefault="00A842FD" w:rsidP="0078156D">
      <w:pPr>
        <w:tabs>
          <w:tab w:val="left" w:pos="1545"/>
        </w:tabs>
        <w:spacing w:after="0" w:line="240" w:lineRule="auto"/>
        <w:ind w:left="851" w:right="4"/>
        <w:rPr>
          <w:rFonts w:ascii="Book Antiqua" w:eastAsiaTheme="minorEastAsia" w:hAnsi="Book Antiqua"/>
          <w:sz w:val="24"/>
          <w:szCs w:val="24"/>
        </w:rPr>
      </w:pPr>
      <w:bookmarkStart w:id="15" w:name="_Hlk106996412"/>
      <w:bookmarkStart w:id="16" w:name="_Hlk153436568"/>
    </w:p>
    <w:bookmarkEnd w:id="15"/>
    <w:bookmarkEnd w:id="16"/>
    <w:p w14:paraId="11A0A28A" w14:textId="79714DAE" w:rsidR="00E54420" w:rsidRPr="00E54420" w:rsidRDefault="00E54420">
      <w:pPr>
        <w:spacing w:after="160" w:line="259" w:lineRule="auto"/>
        <w:jc w:val="left"/>
        <w:rPr>
          <w:rFonts w:ascii="Book Antiqua" w:eastAsiaTheme="majorEastAsia" w:hAnsi="Book Antiqua" w:cs="Times New Roman"/>
          <w:b/>
          <w:bCs/>
          <w:caps/>
        </w:rPr>
      </w:pPr>
    </w:p>
    <w:sectPr w:rsidR="00E54420" w:rsidRPr="00E54420" w:rsidSect="00E54420">
      <w:headerReference w:type="even" r:id="rId21"/>
      <w:headerReference w:type="default" r:id="rId22"/>
      <w:headerReference w:type="first" r:id="rId23"/>
      <w:pgSz w:w="11906" w:h="16838" w:code="9"/>
      <w:pgMar w:top="1134" w:right="1418" w:bottom="1134" w:left="1418" w:header="709" w:footer="709" w:gutter="0"/>
      <w:pgNumType w:start="12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2EB68" w14:textId="77777777" w:rsidR="0090233C" w:rsidRDefault="0090233C" w:rsidP="00903A26">
      <w:pPr>
        <w:spacing w:after="0" w:line="240" w:lineRule="auto"/>
      </w:pPr>
      <w:r>
        <w:separator/>
      </w:r>
    </w:p>
  </w:endnote>
  <w:endnote w:type="continuationSeparator" w:id="0">
    <w:p w14:paraId="79D8F9D2" w14:textId="77777777" w:rsidR="0090233C" w:rsidRDefault="0090233C" w:rsidP="0090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ion Pro">
    <w:altName w:val="Cambria"/>
    <w:charset w:val="00"/>
    <w:family w:val="roman"/>
    <w:pitch w:val="default"/>
    <w:sig w:usb0="00000000" w:usb1="00000000"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NewRoman">
    <w:altName w:val="Times New Roman"/>
    <w:charset w:val="00"/>
    <w:family w:val="roman"/>
    <w:pitch w:val="default"/>
    <w:sig w:usb0="00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8CFD4" w14:textId="77777777" w:rsidR="0090233C" w:rsidRDefault="0090233C" w:rsidP="00903A26">
      <w:pPr>
        <w:spacing w:after="0" w:line="240" w:lineRule="auto"/>
      </w:pPr>
      <w:r>
        <w:separator/>
      </w:r>
    </w:p>
  </w:footnote>
  <w:footnote w:type="continuationSeparator" w:id="0">
    <w:p w14:paraId="7359E865" w14:textId="77777777" w:rsidR="0090233C" w:rsidRDefault="0090233C" w:rsidP="00903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36" w:type="pct"/>
      <w:tblInd w:w="-426" w:type="dxa"/>
      <w:tblBorders>
        <w:insideV w:val="single" w:sz="4" w:space="0" w:color="auto"/>
      </w:tblBorders>
      <w:tblCellMar>
        <w:left w:w="113" w:type="dxa"/>
        <w:right w:w="113" w:type="dxa"/>
      </w:tblCellMar>
      <w:tblLook w:val="04A0" w:firstRow="1" w:lastRow="0" w:firstColumn="1" w:lastColumn="0" w:noHBand="0" w:noVBand="1"/>
    </w:tblPr>
    <w:tblGrid>
      <w:gridCol w:w="428"/>
      <w:gridCol w:w="9070"/>
    </w:tblGrid>
    <w:tr w:rsidR="00222E62" w:rsidRPr="006A6DFE" w14:paraId="0846CED4" w14:textId="77777777" w:rsidTr="00EA3982">
      <w:tc>
        <w:tcPr>
          <w:tcW w:w="428" w:type="dxa"/>
        </w:tcPr>
        <w:p w14:paraId="1588BAA0" w14:textId="74BD0CFF" w:rsidR="00222E62" w:rsidRPr="006A6DFE" w:rsidRDefault="00222E62" w:rsidP="00222E62">
          <w:pPr>
            <w:pStyle w:val="Header"/>
            <w:jc w:val="right"/>
            <w:rPr>
              <w:rFonts w:ascii="Agency FB" w:hAnsi="Agency FB"/>
            </w:rPr>
          </w:pPr>
          <w:r w:rsidRPr="006A6DFE">
            <w:rPr>
              <w:rFonts w:ascii="Agency FB" w:hAnsi="Agency FB"/>
            </w:rPr>
            <w:fldChar w:fldCharType="begin"/>
          </w:r>
          <w:r w:rsidRPr="006A6DFE">
            <w:rPr>
              <w:rFonts w:ascii="Agency FB" w:hAnsi="Agency FB"/>
            </w:rPr>
            <w:instrText xml:space="preserve"> PAGE   \* MERGEFORMAT </w:instrText>
          </w:r>
          <w:r w:rsidRPr="006A6DFE">
            <w:rPr>
              <w:rFonts w:ascii="Agency FB" w:hAnsi="Agency FB"/>
            </w:rPr>
            <w:fldChar w:fldCharType="separate"/>
          </w:r>
          <w:r w:rsidR="00E66514">
            <w:rPr>
              <w:rFonts w:ascii="Agency FB" w:hAnsi="Agency FB"/>
              <w:noProof/>
            </w:rPr>
            <w:t>20</w:t>
          </w:r>
          <w:r w:rsidRPr="006A6DFE">
            <w:rPr>
              <w:rFonts w:ascii="Agency FB" w:hAnsi="Agency FB"/>
            </w:rPr>
            <w:fldChar w:fldCharType="end"/>
          </w:r>
        </w:p>
      </w:tc>
      <w:tc>
        <w:tcPr>
          <w:tcW w:w="9070" w:type="dxa"/>
          <w:tcBorders>
            <w:left w:val="single" w:sz="4" w:space="0" w:color="auto"/>
          </w:tcBorders>
          <w:noWrap/>
        </w:tcPr>
        <w:p w14:paraId="396C3C01" w14:textId="0F2D7C9F" w:rsidR="00222E62" w:rsidRPr="00601C9E" w:rsidRDefault="00E54420" w:rsidP="00222E62">
          <w:pPr>
            <w:pStyle w:val="Tabel"/>
            <w:tabs>
              <w:tab w:val="clear" w:pos="0"/>
            </w:tabs>
            <w:jc w:val="both"/>
            <w:rPr>
              <w:rFonts w:ascii="Agency FB" w:hAnsi="Agency FB"/>
              <w:b w:val="0"/>
              <w:i/>
              <w:iCs/>
              <w:lang w:val="en-US"/>
            </w:rPr>
          </w:pPr>
          <w:r w:rsidRPr="00E54420">
            <w:rPr>
              <w:rFonts w:ascii="Agency FB" w:hAnsi="Agency FB"/>
              <w:b w:val="0"/>
              <w:i/>
              <w:iCs/>
              <w:lang w:val="en-US"/>
            </w:rPr>
            <w:t xml:space="preserve">Mutia Melina Damayanti, Ida </w:t>
          </w:r>
          <w:proofErr w:type="spellStart"/>
          <w:r w:rsidRPr="00E54420">
            <w:rPr>
              <w:rFonts w:ascii="Agency FB" w:hAnsi="Agency FB"/>
              <w:b w:val="0"/>
              <w:i/>
              <w:iCs/>
              <w:lang w:val="en-US"/>
            </w:rPr>
            <w:t>Busnetty</w:t>
          </w:r>
          <w:proofErr w:type="spellEnd"/>
          <w:r w:rsidRPr="00E54420">
            <w:rPr>
              <w:rFonts w:ascii="Agency FB" w:hAnsi="Agency FB"/>
              <w:b w:val="0"/>
              <w:i/>
              <w:iCs/>
              <w:lang w:val="en-US"/>
            </w:rPr>
            <w:t xml:space="preserve">, Ellyana Amran, </w:t>
          </w:r>
          <w:proofErr w:type="spellStart"/>
          <w:r w:rsidRPr="00E54420">
            <w:rPr>
              <w:rFonts w:ascii="Agency FB" w:hAnsi="Agency FB"/>
              <w:b w:val="0"/>
              <w:i/>
              <w:iCs/>
              <w:lang w:val="en-US"/>
            </w:rPr>
            <w:t>Nirdukita</w:t>
          </w:r>
          <w:proofErr w:type="spellEnd"/>
          <w:r w:rsidRPr="00E54420">
            <w:rPr>
              <w:rFonts w:ascii="Agency FB" w:hAnsi="Agency FB"/>
              <w:b w:val="0"/>
              <w:i/>
              <w:iCs/>
              <w:lang w:val="en-US"/>
            </w:rPr>
            <w:t xml:space="preserve"> Ratnawati, </w:t>
          </w:r>
          <w:r>
            <w:rPr>
              <w:rFonts w:ascii="Agency FB" w:hAnsi="Agency FB"/>
              <w:b w:val="0"/>
              <w:i/>
              <w:iCs/>
              <w:lang w:val="en-US"/>
            </w:rPr>
            <w:t xml:space="preserve">and </w:t>
          </w:r>
          <w:proofErr w:type="spellStart"/>
          <w:r w:rsidRPr="00E54420">
            <w:rPr>
              <w:rFonts w:ascii="Agency FB" w:hAnsi="Agency FB"/>
              <w:b w:val="0"/>
              <w:i/>
              <w:iCs/>
              <w:lang w:val="en-US"/>
            </w:rPr>
            <w:t>Soeharjoto</w:t>
          </w:r>
          <w:proofErr w:type="spellEnd"/>
          <w:r w:rsidR="00222E62" w:rsidRPr="005F63B6">
            <w:rPr>
              <w:rFonts w:ascii="Agency FB" w:hAnsi="Agency FB"/>
              <w:b w:val="0"/>
              <w:i/>
              <w:iCs/>
              <w:lang w:val="en-US"/>
            </w:rPr>
            <w:t xml:space="preserve">: </w:t>
          </w:r>
          <w:r w:rsidRPr="00E54420">
            <w:rPr>
              <w:rFonts w:ascii="Agency FB" w:hAnsi="Agency FB"/>
              <w:b w:val="0"/>
              <w:i/>
              <w:iCs/>
              <w:lang w:val="en-US"/>
            </w:rPr>
            <w:t>Gold Investment at Hajj Financial Management Agency (BPKH)</w:t>
          </w:r>
        </w:p>
      </w:tc>
    </w:tr>
  </w:tbl>
  <w:p w14:paraId="34ECA2CF" w14:textId="77777777" w:rsidR="00222E62" w:rsidRDefault="00222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61" w:type="pct"/>
      <w:tblCellMar>
        <w:left w:w="113" w:type="dxa"/>
        <w:right w:w="113" w:type="dxa"/>
      </w:tblCellMar>
      <w:tblLook w:val="01E0" w:firstRow="1" w:lastRow="1" w:firstColumn="1" w:lastColumn="1" w:noHBand="0" w:noVBand="0"/>
    </w:tblPr>
    <w:tblGrid>
      <w:gridCol w:w="9115"/>
      <w:gridCol w:w="428"/>
    </w:tblGrid>
    <w:tr w:rsidR="00E54420" w:rsidRPr="00735694" w14:paraId="44A94442" w14:textId="77777777" w:rsidTr="007F2E78">
      <w:trPr>
        <w:trHeight w:val="44"/>
      </w:trPr>
      <w:tc>
        <w:tcPr>
          <w:tcW w:w="4776" w:type="pct"/>
          <w:tcBorders>
            <w:right w:val="single" w:sz="6" w:space="0" w:color="000000"/>
          </w:tcBorders>
        </w:tcPr>
        <w:p w14:paraId="501B121B" w14:textId="1309DFE3" w:rsidR="00E54420" w:rsidRPr="00735694" w:rsidRDefault="00E54420" w:rsidP="00E54420">
          <w:pPr>
            <w:pStyle w:val="Header"/>
            <w:tabs>
              <w:tab w:val="clear" w:pos="9026"/>
            </w:tabs>
            <w:jc w:val="right"/>
            <w:rPr>
              <w:rFonts w:ascii="Agency FB" w:hAnsi="Agency FB"/>
              <w:i/>
              <w:lang w:val="en-US"/>
            </w:rPr>
          </w:pPr>
          <w:r>
            <w:rPr>
              <w:rFonts w:ascii="Agency FB" w:hAnsi="Agency FB"/>
              <w:i/>
              <w:lang w:val="en-MY"/>
            </w:rPr>
            <w:t>International Journal of Islamic Finance</w:t>
          </w:r>
          <w:r w:rsidRPr="00735694">
            <w:rPr>
              <w:rFonts w:ascii="Agency FB" w:hAnsi="Agency FB"/>
              <w:i/>
              <w:lang w:val="en-MY"/>
            </w:rPr>
            <w:t xml:space="preserve"> Vol. </w:t>
          </w:r>
          <w:r>
            <w:rPr>
              <w:rFonts w:ascii="Agency FB" w:hAnsi="Agency FB"/>
              <w:i/>
              <w:lang w:val="en-MY"/>
            </w:rPr>
            <w:t>2</w:t>
          </w:r>
          <w:r w:rsidRPr="00735694">
            <w:rPr>
              <w:rFonts w:ascii="Agency FB" w:hAnsi="Agency FB"/>
              <w:i/>
              <w:lang w:val="en-MY"/>
            </w:rPr>
            <w:t>, No.</w:t>
          </w:r>
          <w:r w:rsidRPr="00735694">
            <w:rPr>
              <w:rFonts w:ascii="Agency FB" w:hAnsi="Agency FB"/>
              <w:i/>
            </w:rPr>
            <w:t xml:space="preserve"> </w:t>
          </w:r>
          <w:r>
            <w:rPr>
              <w:rFonts w:ascii="Agency FB" w:hAnsi="Agency FB"/>
              <w:i/>
            </w:rPr>
            <w:t>1</w:t>
          </w:r>
          <w:r w:rsidRPr="00735694">
            <w:rPr>
              <w:rFonts w:ascii="Agency FB" w:hAnsi="Agency FB"/>
              <w:i/>
            </w:rPr>
            <w:t xml:space="preserve"> </w:t>
          </w:r>
          <w:r w:rsidRPr="00735694">
            <w:rPr>
              <w:rFonts w:ascii="Agency FB" w:hAnsi="Agency FB"/>
              <w:i/>
              <w:lang w:val="en-MY"/>
            </w:rPr>
            <w:t>(20</w:t>
          </w:r>
          <w:r w:rsidRPr="00735694">
            <w:rPr>
              <w:rFonts w:ascii="Agency FB" w:hAnsi="Agency FB"/>
              <w:i/>
            </w:rPr>
            <w:t>2</w:t>
          </w:r>
          <w:r>
            <w:rPr>
              <w:rFonts w:ascii="Agency FB" w:hAnsi="Agency FB"/>
              <w:i/>
            </w:rPr>
            <w:t>4</w:t>
          </w:r>
          <w:r w:rsidRPr="00735694">
            <w:rPr>
              <w:rFonts w:ascii="Agency FB" w:hAnsi="Agency FB"/>
              <w:i/>
              <w:lang w:val="en-MY"/>
            </w:rPr>
            <w:t xml:space="preserve">) </w:t>
          </w:r>
          <w:r>
            <w:rPr>
              <w:rFonts w:ascii="Agency FB" w:hAnsi="Agency FB"/>
              <w:i/>
              <w:lang w:val="en-MY"/>
            </w:rPr>
            <w:t>123</w:t>
          </w:r>
          <w:r w:rsidRPr="00735694">
            <w:rPr>
              <w:rFonts w:ascii="Agency FB" w:hAnsi="Agency FB"/>
              <w:i/>
              <w:lang w:val="en-MY"/>
            </w:rPr>
            <w:t>-</w:t>
          </w:r>
          <w:r>
            <w:rPr>
              <w:rFonts w:ascii="Agency FB" w:hAnsi="Agency FB"/>
              <w:i/>
              <w:lang w:val="en-MY"/>
            </w:rPr>
            <w:t>1</w:t>
          </w:r>
          <w:r w:rsidR="00870D35">
            <w:rPr>
              <w:rFonts w:ascii="Agency FB" w:hAnsi="Agency FB"/>
              <w:i/>
              <w:lang w:val="en-MY"/>
            </w:rPr>
            <w:t>50</w:t>
          </w:r>
        </w:p>
      </w:tc>
      <w:tc>
        <w:tcPr>
          <w:tcW w:w="224" w:type="pct"/>
          <w:tcBorders>
            <w:left w:val="single" w:sz="6" w:space="0" w:color="000000"/>
          </w:tcBorders>
        </w:tcPr>
        <w:p w14:paraId="3992829B" w14:textId="77777777" w:rsidR="00E54420" w:rsidRPr="00735694" w:rsidRDefault="00E54420" w:rsidP="00E54420">
          <w:pPr>
            <w:pStyle w:val="Header"/>
            <w:rPr>
              <w:rFonts w:ascii="Agency FB" w:hAnsi="Agency FB"/>
              <w:noProof/>
            </w:rPr>
          </w:pPr>
          <w:r w:rsidRPr="00735694">
            <w:rPr>
              <w:rFonts w:ascii="Agency FB" w:hAnsi="Agency FB"/>
              <w:noProof/>
            </w:rPr>
            <w:fldChar w:fldCharType="begin"/>
          </w:r>
          <w:r w:rsidRPr="00735694">
            <w:rPr>
              <w:rFonts w:ascii="Agency FB" w:hAnsi="Agency FB"/>
              <w:noProof/>
            </w:rPr>
            <w:instrText xml:space="preserve"> PAGE   \* MERGEFORMAT </w:instrText>
          </w:r>
          <w:r w:rsidRPr="00735694">
            <w:rPr>
              <w:rFonts w:ascii="Agency FB" w:hAnsi="Agency FB"/>
              <w:noProof/>
            </w:rPr>
            <w:fldChar w:fldCharType="separate"/>
          </w:r>
          <w:r>
            <w:rPr>
              <w:rFonts w:ascii="Agency FB" w:hAnsi="Agency FB"/>
              <w:noProof/>
            </w:rPr>
            <w:t>19</w:t>
          </w:r>
          <w:r w:rsidRPr="00735694">
            <w:rPr>
              <w:rFonts w:ascii="Agency FB" w:hAnsi="Agency FB"/>
              <w:noProof/>
            </w:rPr>
            <w:fldChar w:fldCharType="end"/>
          </w:r>
        </w:p>
      </w:tc>
    </w:tr>
  </w:tbl>
  <w:p w14:paraId="6DA8B815" w14:textId="2497D77A" w:rsidR="00824D81" w:rsidRPr="00E54420" w:rsidRDefault="00824D81" w:rsidP="00E544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18" w:type="pct"/>
      <w:tblLook w:val="01E0" w:firstRow="1" w:lastRow="1" w:firstColumn="1" w:lastColumn="1" w:noHBand="0" w:noVBand="0"/>
    </w:tblPr>
    <w:tblGrid>
      <w:gridCol w:w="9540"/>
      <w:gridCol w:w="9540"/>
    </w:tblGrid>
    <w:tr w:rsidR="00E54420" w:rsidRPr="00EC16F0" w14:paraId="6480DE2E" w14:textId="77777777" w:rsidTr="00E54420">
      <w:trPr>
        <w:trHeight w:val="703"/>
      </w:trPr>
      <w:tc>
        <w:tcPr>
          <w:tcW w:w="2500" w:type="pct"/>
        </w:tcPr>
        <w:p w14:paraId="097846A6" w14:textId="1EC585BE" w:rsidR="00E54420" w:rsidRPr="00EC16F0" w:rsidRDefault="00E54420" w:rsidP="00E54420">
          <w:pPr>
            <w:pStyle w:val="Header"/>
            <w:contextualSpacing/>
            <w:rPr>
              <w:rFonts w:asciiTheme="majorHAnsi" w:hAnsiTheme="majorHAnsi" w:cstheme="majorHAnsi"/>
              <w:sz w:val="20"/>
              <w:szCs w:val="20"/>
              <w:lang w:val="en-US"/>
            </w:rPr>
          </w:pPr>
          <w:r w:rsidRPr="00EC16F0">
            <w:rPr>
              <w:rFonts w:asciiTheme="majorHAnsi" w:hAnsiTheme="majorHAnsi" w:cstheme="majorHAnsi"/>
              <w:color w:val="4472C4" w:themeColor="accent1"/>
              <w:sz w:val="20"/>
              <w:szCs w:val="20"/>
              <w:u w:val="single"/>
            </w:rPr>
            <w:t>International Journal of Islamic Finance</w:t>
          </w:r>
          <w:r w:rsidRPr="00EC16F0">
            <w:rPr>
              <w:rFonts w:asciiTheme="majorHAnsi" w:hAnsiTheme="majorHAnsi" w:cstheme="majorHAnsi"/>
              <w:sz w:val="20"/>
              <w:szCs w:val="20"/>
              <w:lang w:val="en-MY"/>
            </w:rPr>
            <w:t xml:space="preserve">, Vol. </w:t>
          </w:r>
          <w:r>
            <w:rPr>
              <w:rFonts w:asciiTheme="majorHAnsi" w:hAnsiTheme="majorHAnsi" w:cstheme="majorHAnsi"/>
              <w:sz w:val="20"/>
              <w:szCs w:val="20"/>
              <w:lang w:val="en-MY"/>
            </w:rPr>
            <w:t>02</w:t>
          </w:r>
          <w:r w:rsidRPr="00EC16F0">
            <w:rPr>
              <w:rFonts w:asciiTheme="majorHAnsi" w:hAnsiTheme="majorHAnsi" w:cstheme="majorHAnsi"/>
              <w:sz w:val="20"/>
              <w:szCs w:val="20"/>
              <w:lang w:val="en-MY"/>
            </w:rPr>
            <w:t xml:space="preserve">, No. </w:t>
          </w:r>
          <w:r>
            <w:rPr>
              <w:rFonts w:asciiTheme="majorHAnsi" w:hAnsiTheme="majorHAnsi" w:cstheme="majorHAnsi"/>
              <w:sz w:val="20"/>
              <w:szCs w:val="20"/>
              <w:lang w:val="en-MY"/>
            </w:rPr>
            <w:t>01</w:t>
          </w:r>
          <w:r w:rsidRPr="00EC16F0">
            <w:rPr>
              <w:rFonts w:asciiTheme="majorHAnsi" w:hAnsiTheme="majorHAnsi" w:cstheme="majorHAnsi"/>
              <w:sz w:val="20"/>
              <w:szCs w:val="20"/>
              <w:lang w:val="en-MY"/>
            </w:rPr>
            <w:t xml:space="preserve"> (20</w:t>
          </w:r>
          <w:r>
            <w:rPr>
              <w:rFonts w:asciiTheme="majorHAnsi" w:hAnsiTheme="majorHAnsi" w:cstheme="majorHAnsi"/>
              <w:sz w:val="20"/>
              <w:szCs w:val="20"/>
              <w:lang w:val="en-MY"/>
            </w:rPr>
            <w:t>24</w:t>
          </w:r>
          <w:r w:rsidRPr="00EC16F0">
            <w:rPr>
              <w:rFonts w:asciiTheme="majorHAnsi" w:hAnsiTheme="majorHAnsi" w:cstheme="majorHAnsi"/>
              <w:sz w:val="20"/>
              <w:szCs w:val="20"/>
              <w:lang w:val="en-MY"/>
            </w:rPr>
            <w:t xml:space="preserve">) </w:t>
          </w:r>
          <w:r>
            <w:rPr>
              <w:rFonts w:asciiTheme="majorHAnsi" w:hAnsiTheme="majorHAnsi" w:cstheme="majorHAnsi"/>
              <w:sz w:val="20"/>
              <w:szCs w:val="20"/>
              <w:lang w:val="en-MY"/>
            </w:rPr>
            <w:t>123</w:t>
          </w:r>
          <w:r w:rsidRPr="00EC16F0">
            <w:rPr>
              <w:rFonts w:asciiTheme="majorHAnsi" w:hAnsiTheme="majorHAnsi" w:cstheme="majorHAnsi"/>
              <w:sz w:val="20"/>
              <w:szCs w:val="20"/>
              <w:lang w:val="en-MY"/>
            </w:rPr>
            <w:t>-</w:t>
          </w:r>
          <w:r w:rsidR="00870D35">
            <w:rPr>
              <w:rFonts w:asciiTheme="majorHAnsi" w:hAnsiTheme="majorHAnsi" w:cstheme="majorHAnsi"/>
              <w:sz w:val="20"/>
              <w:szCs w:val="20"/>
              <w:lang w:val="en-MY"/>
            </w:rPr>
            <w:t>150</w:t>
          </w:r>
        </w:p>
        <w:p w14:paraId="663AF591" w14:textId="77777777" w:rsidR="00E54420" w:rsidRPr="00EC16F0" w:rsidRDefault="00000000" w:rsidP="00E54420">
          <w:pPr>
            <w:pStyle w:val="Header"/>
            <w:contextualSpacing/>
            <w:rPr>
              <w:rFonts w:asciiTheme="majorHAnsi" w:hAnsiTheme="majorHAnsi" w:cstheme="majorHAnsi"/>
              <w:b/>
              <w:bCs/>
              <w:sz w:val="20"/>
              <w:szCs w:val="20"/>
            </w:rPr>
          </w:pPr>
          <w:hyperlink r:id="rId1" w:history="1">
            <w:r w:rsidR="00E54420" w:rsidRPr="00EC16F0">
              <w:rPr>
                <w:rStyle w:val="Hyperlink"/>
                <w:rFonts w:asciiTheme="majorHAnsi" w:hAnsiTheme="majorHAnsi" w:cstheme="majorHAnsi"/>
                <w:sz w:val="20"/>
                <w:szCs w:val="20"/>
                <w:lang w:val="en-US"/>
              </w:rPr>
              <w:t xml:space="preserve">Published by </w:t>
            </w:r>
            <w:r w:rsidR="00E54420" w:rsidRPr="00EC16F0">
              <w:rPr>
                <w:rStyle w:val="Hyperlink"/>
                <w:rFonts w:asciiTheme="majorHAnsi" w:hAnsiTheme="majorHAnsi" w:cstheme="majorHAnsi"/>
                <w:sz w:val="20"/>
                <w:szCs w:val="20"/>
              </w:rPr>
              <w:t>Department of Islamic</w:t>
            </w:r>
          </w:hyperlink>
          <w:r w:rsidR="00E54420" w:rsidRPr="00EC16F0">
            <w:rPr>
              <w:rStyle w:val="Hyperlink"/>
              <w:rFonts w:asciiTheme="majorHAnsi" w:hAnsiTheme="majorHAnsi" w:cstheme="majorHAnsi"/>
              <w:sz w:val="20"/>
              <w:szCs w:val="20"/>
            </w:rPr>
            <w:t xml:space="preserve"> Financial Management</w:t>
          </w:r>
          <w:r w:rsidR="00E54420" w:rsidRPr="00EC16F0">
            <w:rPr>
              <w:rFonts w:asciiTheme="majorHAnsi" w:hAnsiTheme="majorHAnsi" w:cstheme="majorHAnsi"/>
              <w:sz w:val="20"/>
              <w:szCs w:val="20"/>
              <w:lang w:val="en-US"/>
            </w:rPr>
            <w:t xml:space="preserve">, </w:t>
          </w:r>
          <w:r w:rsidR="00E54420" w:rsidRPr="00EC16F0">
            <w:rPr>
              <w:rFonts w:asciiTheme="majorHAnsi" w:hAnsiTheme="majorHAnsi" w:cstheme="majorHAnsi"/>
              <w:sz w:val="20"/>
              <w:szCs w:val="20"/>
            </w:rPr>
            <w:t xml:space="preserve">Universitas Islam Negeri Sunan </w:t>
          </w:r>
          <w:proofErr w:type="spellStart"/>
          <w:r w:rsidR="00E54420" w:rsidRPr="00EC16F0">
            <w:rPr>
              <w:rFonts w:asciiTheme="majorHAnsi" w:hAnsiTheme="majorHAnsi" w:cstheme="majorHAnsi"/>
              <w:sz w:val="20"/>
              <w:szCs w:val="20"/>
            </w:rPr>
            <w:t>Kalijaga</w:t>
          </w:r>
          <w:proofErr w:type="spellEnd"/>
          <w:r w:rsidR="00E54420" w:rsidRPr="00EC16F0">
            <w:rPr>
              <w:rFonts w:asciiTheme="majorHAnsi" w:hAnsiTheme="majorHAnsi" w:cstheme="majorHAnsi"/>
              <w:sz w:val="20"/>
              <w:szCs w:val="20"/>
            </w:rPr>
            <w:t xml:space="preserve"> Yogyakarta</w:t>
          </w:r>
        </w:p>
        <w:p w14:paraId="7EEB9C68" w14:textId="3F69DCCE" w:rsidR="00E54420" w:rsidRPr="00EC16F0" w:rsidRDefault="00E54420" w:rsidP="00E54420">
          <w:pPr>
            <w:pStyle w:val="Header"/>
            <w:tabs>
              <w:tab w:val="right" w:pos="7274"/>
            </w:tabs>
            <w:contextualSpacing/>
            <w:rPr>
              <w:rFonts w:asciiTheme="majorHAnsi" w:hAnsiTheme="majorHAnsi" w:cstheme="majorHAnsi"/>
              <w:sz w:val="20"/>
              <w:szCs w:val="20"/>
              <w:lang w:val="en-MY"/>
            </w:rPr>
          </w:pPr>
          <w:r w:rsidRPr="00EC16F0">
            <w:rPr>
              <w:rFonts w:asciiTheme="majorHAnsi" w:hAnsiTheme="majorHAnsi" w:cstheme="majorHAnsi"/>
              <w:sz w:val="20"/>
              <w:szCs w:val="20"/>
              <w:lang w:val="en-MY"/>
            </w:rPr>
            <w:t xml:space="preserve">e-ISSN:  </w:t>
          </w:r>
          <w:r w:rsidR="00CF0B01" w:rsidRPr="00C6524A">
            <w:rPr>
              <w:rFonts w:asciiTheme="majorHAnsi" w:hAnsiTheme="majorHAnsi" w:cstheme="majorHAnsi"/>
              <w:sz w:val="20"/>
              <w:szCs w:val="20"/>
              <w:lang w:val="en-US"/>
            </w:rPr>
            <w:t>3031-8068</w:t>
          </w:r>
        </w:p>
        <w:p w14:paraId="254AB527" w14:textId="2FDC2EBA" w:rsidR="00E54420" w:rsidRPr="00EC16F0" w:rsidRDefault="00000000" w:rsidP="00E54420">
          <w:pPr>
            <w:pStyle w:val="Header"/>
            <w:tabs>
              <w:tab w:val="right" w:pos="7274"/>
            </w:tabs>
            <w:contextualSpacing/>
            <w:rPr>
              <w:rFonts w:asciiTheme="majorHAnsi" w:hAnsiTheme="majorHAnsi" w:cstheme="majorHAnsi"/>
              <w:sz w:val="20"/>
              <w:szCs w:val="20"/>
            </w:rPr>
          </w:pPr>
          <w:hyperlink r:id="rId2" w:history="1">
            <w:r w:rsidR="00E54420" w:rsidRPr="00EC16F0">
              <w:rPr>
                <w:rStyle w:val="Hyperlink"/>
                <w:rFonts w:asciiTheme="majorHAnsi" w:hAnsiTheme="majorHAnsi" w:cstheme="majorHAnsi"/>
                <w:sz w:val="20"/>
                <w:szCs w:val="20"/>
              </w:rPr>
              <w:t>http://ejournal.uinsuka.ac.id/febi/IJIF</w:t>
            </w:r>
          </w:hyperlink>
          <w:r w:rsidR="00E54420" w:rsidRPr="00EC16F0">
            <w:rPr>
              <w:rFonts w:asciiTheme="majorHAnsi" w:hAnsiTheme="majorHAnsi" w:cstheme="majorHAnsi"/>
              <w:sz w:val="20"/>
              <w:szCs w:val="20"/>
            </w:rPr>
            <w:t xml:space="preserve"> </w:t>
          </w:r>
        </w:p>
      </w:tc>
      <w:tc>
        <w:tcPr>
          <w:tcW w:w="2500" w:type="pct"/>
        </w:tcPr>
        <w:p w14:paraId="3EED2020" w14:textId="120A0411" w:rsidR="00E54420" w:rsidRPr="00EC16F0" w:rsidRDefault="00E54420" w:rsidP="00E54420">
          <w:pPr>
            <w:pStyle w:val="Header"/>
            <w:tabs>
              <w:tab w:val="right" w:pos="7274"/>
            </w:tabs>
            <w:contextualSpacing/>
            <w:rPr>
              <w:rFonts w:asciiTheme="majorHAnsi" w:hAnsiTheme="majorHAnsi" w:cstheme="majorHAnsi"/>
              <w:sz w:val="20"/>
              <w:szCs w:val="20"/>
              <w:lang w:val="en-MY"/>
            </w:rPr>
          </w:pPr>
          <w:bookmarkStart w:id="17" w:name="_Hlk45008036"/>
          <w:r w:rsidRPr="00EC16F0">
            <w:rPr>
              <w:rFonts w:asciiTheme="majorHAnsi" w:hAnsiTheme="majorHAnsi" w:cstheme="majorHAnsi"/>
              <w:sz w:val="20"/>
              <w:szCs w:val="20"/>
            </w:rPr>
            <w:t xml:space="preserve"> </w:t>
          </w:r>
        </w:p>
      </w:tc>
    </w:tr>
    <w:bookmarkEnd w:id="17"/>
  </w:tbl>
  <w:p w14:paraId="6BE50E18" w14:textId="77777777" w:rsidR="00222E62" w:rsidRDefault="00222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4D4C"/>
    <w:multiLevelType w:val="hybridMultilevel"/>
    <w:tmpl w:val="4EFA51A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83C17D0"/>
    <w:multiLevelType w:val="hybridMultilevel"/>
    <w:tmpl w:val="9A321B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9437E30"/>
    <w:multiLevelType w:val="hybridMultilevel"/>
    <w:tmpl w:val="7E7601B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D413494"/>
    <w:multiLevelType w:val="hybridMultilevel"/>
    <w:tmpl w:val="B584F6A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0FB1D31"/>
    <w:multiLevelType w:val="hybridMultilevel"/>
    <w:tmpl w:val="9C1C6190"/>
    <w:lvl w:ilvl="0" w:tplc="FFFFFFFF">
      <w:start w:val="1"/>
      <w:numFmt w:val="decimal"/>
      <w:lvlText w:val="%1."/>
      <w:lvlJc w:val="left"/>
      <w:pPr>
        <w:ind w:left="718" w:hanging="360"/>
      </w:pPr>
    </w:lvl>
    <w:lvl w:ilvl="1" w:tplc="38090019">
      <w:start w:val="1"/>
      <w:numFmt w:val="lowerLetter"/>
      <w:lvlText w:val="%2."/>
      <w:lvlJc w:val="left"/>
      <w:pPr>
        <w:ind w:left="4309"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5" w15:restartNumberingAfterBreak="0">
    <w:nsid w:val="112975A0"/>
    <w:multiLevelType w:val="hybridMultilevel"/>
    <w:tmpl w:val="8528BB9A"/>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5AD4578"/>
    <w:multiLevelType w:val="hybridMultilevel"/>
    <w:tmpl w:val="BD8AD656"/>
    <w:lvl w:ilvl="0" w:tplc="254E71D2">
      <w:start w:val="2"/>
      <w:numFmt w:val="decimal"/>
      <w:lvlText w:val="%1."/>
      <w:lvlJc w:val="left"/>
      <w:pPr>
        <w:ind w:left="367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66965DF"/>
    <w:multiLevelType w:val="hybridMultilevel"/>
    <w:tmpl w:val="D4C08AF6"/>
    <w:lvl w:ilvl="0" w:tplc="FFFFFFFF">
      <w:start w:val="1"/>
      <w:numFmt w:val="decimal"/>
      <w:lvlText w:val="%1."/>
      <w:lvlJc w:val="left"/>
      <w:pPr>
        <w:ind w:left="720" w:hanging="360"/>
      </w:pPr>
    </w:lvl>
    <w:lvl w:ilvl="1" w:tplc="3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A14FA2"/>
    <w:multiLevelType w:val="hybridMultilevel"/>
    <w:tmpl w:val="7F0C65F4"/>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9" w15:restartNumberingAfterBreak="0">
    <w:nsid w:val="192D0648"/>
    <w:multiLevelType w:val="multilevel"/>
    <w:tmpl w:val="3EDA9BBA"/>
    <w:lvl w:ilvl="0">
      <w:start w:val="1"/>
      <w:numFmt w:val="upperLetter"/>
      <w:lvlText w:val="%1."/>
      <w:lvlJc w:val="left"/>
      <w:pPr>
        <w:ind w:left="928"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9EA679F"/>
    <w:multiLevelType w:val="hybridMultilevel"/>
    <w:tmpl w:val="8EFCBD5A"/>
    <w:lvl w:ilvl="0" w:tplc="38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A4E6A14"/>
    <w:multiLevelType w:val="hybridMultilevel"/>
    <w:tmpl w:val="AC0822B0"/>
    <w:lvl w:ilvl="0" w:tplc="FFFFFFFF">
      <w:start w:val="1"/>
      <w:numFmt w:val="decimal"/>
      <w:lvlText w:val="%1."/>
      <w:lvlJc w:val="left"/>
      <w:pPr>
        <w:ind w:left="3672" w:hanging="360"/>
      </w:pPr>
    </w:lvl>
    <w:lvl w:ilvl="1" w:tplc="FFFFFFFF" w:tentative="1">
      <w:start w:val="1"/>
      <w:numFmt w:val="lowerLetter"/>
      <w:lvlText w:val="%2."/>
      <w:lvlJc w:val="left"/>
      <w:pPr>
        <w:ind w:left="4392" w:hanging="360"/>
      </w:pPr>
    </w:lvl>
    <w:lvl w:ilvl="2" w:tplc="FFFFFFFF" w:tentative="1">
      <w:start w:val="1"/>
      <w:numFmt w:val="lowerRoman"/>
      <w:lvlText w:val="%3."/>
      <w:lvlJc w:val="right"/>
      <w:pPr>
        <w:ind w:left="5112" w:hanging="180"/>
      </w:pPr>
    </w:lvl>
    <w:lvl w:ilvl="3" w:tplc="FFFFFFFF" w:tentative="1">
      <w:start w:val="1"/>
      <w:numFmt w:val="decimal"/>
      <w:lvlText w:val="%4."/>
      <w:lvlJc w:val="left"/>
      <w:pPr>
        <w:ind w:left="5832" w:hanging="360"/>
      </w:pPr>
    </w:lvl>
    <w:lvl w:ilvl="4" w:tplc="FFFFFFFF" w:tentative="1">
      <w:start w:val="1"/>
      <w:numFmt w:val="lowerLetter"/>
      <w:lvlText w:val="%5."/>
      <w:lvlJc w:val="left"/>
      <w:pPr>
        <w:ind w:left="6552" w:hanging="360"/>
      </w:pPr>
    </w:lvl>
    <w:lvl w:ilvl="5" w:tplc="FFFFFFFF" w:tentative="1">
      <w:start w:val="1"/>
      <w:numFmt w:val="lowerRoman"/>
      <w:lvlText w:val="%6."/>
      <w:lvlJc w:val="right"/>
      <w:pPr>
        <w:ind w:left="7272" w:hanging="180"/>
      </w:pPr>
    </w:lvl>
    <w:lvl w:ilvl="6" w:tplc="FFFFFFFF" w:tentative="1">
      <w:start w:val="1"/>
      <w:numFmt w:val="decimal"/>
      <w:lvlText w:val="%7."/>
      <w:lvlJc w:val="left"/>
      <w:pPr>
        <w:ind w:left="7992" w:hanging="360"/>
      </w:pPr>
    </w:lvl>
    <w:lvl w:ilvl="7" w:tplc="FFFFFFFF" w:tentative="1">
      <w:start w:val="1"/>
      <w:numFmt w:val="lowerLetter"/>
      <w:lvlText w:val="%8."/>
      <w:lvlJc w:val="left"/>
      <w:pPr>
        <w:ind w:left="8712" w:hanging="360"/>
      </w:pPr>
    </w:lvl>
    <w:lvl w:ilvl="8" w:tplc="FFFFFFFF" w:tentative="1">
      <w:start w:val="1"/>
      <w:numFmt w:val="lowerRoman"/>
      <w:lvlText w:val="%9."/>
      <w:lvlJc w:val="right"/>
      <w:pPr>
        <w:ind w:left="9432" w:hanging="180"/>
      </w:pPr>
    </w:lvl>
  </w:abstractNum>
  <w:abstractNum w:abstractNumId="12" w15:restartNumberingAfterBreak="0">
    <w:nsid w:val="1B511E6E"/>
    <w:multiLevelType w:val="hybridMultilevel"/>
    <w:tmpl w:val="DB1669E0"/>
    <w:lvl w:ilvl="0" w:tplc="FFFFFFFF">
      <w:start w:val="1"/>
      <w:numFmt w:val="decimal"/>
      <w:lvlText w:val="%1."/>
      <w:lvlJc w:val="left"/>
      <w:pPr>
        <w:ind w:left="1287" w:hanging="360"/>
      </w:pPr>
    </w:lvl>
    <w:lvl w:ilvl="1" w:tplc="3809000F">
      <w:start w:val="1"/>
      <w:numFmt w:val="decimal"/>
      <w:lvlText w:val="%2."/>
      <w:lvlJc w:val="left"/>
      <w:pPr>
        <w:ind w:left="144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1CBF7C0A"/>
    <w:multiLevelType w:val="hybridMultilevel"/>
    <w:tmpl w:val="E22C5C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D405155"/>
    <w:multiLevelType w:val="hybridMultilevel"/>
    <w:tmpl w:val="F62CAD8E"/>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5" w15:restartNumberingAfterBreak="0">
    <w:nsid w:val="1D99287C"/>
    <w:multiLevelType w:val="hybridMultilevel"/>
    <w:tmpl w:val="C7B26C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DDB05A2"/>
    <w:multiLevelType w:val="hybridMultilevel"/>
    <w:tmpl w:val="E93057F6"/>
    <w:lvl w:ilvl="0" w:tplc="FFFFFFFF">
      <w:start w:val="1"/>
      <w:numFmt w:val="decimal"/>
      <w:lvlText w:val="%1."/>
      <w:lvlJc w:val="left"/>
      <w:pPr>
        <w:ind w:left="720" w:hanging="360"/>
      </w:pPr>
    </w:lvl>
    <w:lvl w:ilvl="1" w:tplc="3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E242E2"/>
    <w:multiLevelType w:val="hybridMultilevel"/>
    <w:tmpl w:val="1A62751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6F11FC7"/>
    <w:multiLevelType w:val="hybridMultilevel"/>
    <w:tmpl w:val="86607504"/>
    <w:lvl w:ilvl="0" w:tplc="3809000F">
      <w:start w:val="1"/>
      <w:numFmt w:val="decimal"/>
      <w:lvlText w:val="%1."/>
      <w:lvlJc w:val="left"/>
      <w:pPr>
        <w:ind w:left="1512" w:hanging="360"/>
      </w:pPr>
    </w:lvl>
    <w:lvl w:ilvl="1" w:tplc="38090019" w:tentative="1">
      <w:start w:val="1"/>
      <w:numFmt w:val="lowerLetter"/>
      <w:lvlText w:val="%2."/>
      <w:lvlJc w:val="left"/>
      <w:pPr>
        <w:ind w:left="2232" w:hanging="360"/>
      </w:pPr>
    </w:lvl>
    <w:lvl w:ilvl="2" w:tplc="3809001B" w:tentative="1">
      <w:start w:val="1"/>
      <w:numFmt w:val="lowerRoman"/>
      <w:lvlText w:val="%3."/>
      <w:lvlJc w:val="right"/>
      <w:pPr>
        <w:ind w:left="2952" w:hanging="180"/>
      </w:pPr>
    </w:lvl>
    <w:lvl w:ilvl="3" w:tplc="3809000F">
      <w:start w:val="1"/>
      <w:numFmt w:val="decimal"/>
      <w:lvlText w:val="%4."/>
      <w:lvlJc w:val="left"/>
      <w:pPr>
        <w:ind w:left="3672" w:hanging="360"/>
      </w:pPr>
    </w:lvl>
    <w:lvl w:ilvl="4" w:tplc="38090019" w:tentative="1">
      <w:start w:val="1"/>
      <w:numFmt w:val="lowerLetter"/>
      <w:lvlText w:val="%5."/>
      <w:lvlJc w:val="left"/>
      <w:pPr>
        <w:ind w:left="4392" w:hanging="360"/>
      </w:pPr>
    </w:lvl>
    <w:lvl w:ilvl="5" w:tplc="3809001B" w:tentative="1">
      <w:start w:val="1"/>
      <w:numFmt w:val="lowerRoman"/>
      <w:lvlText w:val="%6."/>
      <w:lvlJc w:val="right"/>
      <w:pPr>
        <w:ind w:left="5112" w:hanging="180"/>
      </w:pPr>
    </w:lvl>
    <w:lvl w:ilvl="6" w:tplc="3809000F" w:tentative="1">
      <w:start w:val="1"/>
      <w:numFmt w:val="decimal"/>
      <w:lvlText w:val="%7."/>
      <w:lvlJc w:val="left"/>
      <w:pPr>
        <w:ind w:left="5832" w:hanging="360"/>
      </w:pPr>
    </w:lvl>
    <w:lvl w:ilvl="7" w:tplc="38090019" w:tentative="1">
      <w:start w:val="1"/>
      <w:numFmt w:val="lowerLetter"/>
      <w:lvlText w:val="%8."/>
      <w:lvlJc w:val="left"/>
      <w:pPr>
        <w:ind w:left="6552" w:hanging="360"/>
      </w:pPr>
    </w:lvl>
    <w:lvl w:ilvl="8" w:tplc="3809001B" w:tentative="1">
      <w:start w:val="1"/>
      <w:numFmt w:val="lowerRoman"/>
      <w:lvlText w:val="%9."/>
      <w:lvlJc w:val="right"/>
      <w:pPr>
        <w:ind w:left="7272" w:hanging="180"/>
      </w:pPr>
    </w:lvl>
  </w:abstractNum>
  <w:abstractNum w:abstractNumId="19" w15:restartNumberingAfterBreak="0">
    <w:nsid w:val="28615D8C"/>
    <w:multiLevelType w:val="hybridMultilevel"/>
    <w:tmpl w:val="295E6C22"/>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0" w15:restartNumberingAfterBreak="0">
    <w:nsid w:val="298229AD"/>
    <w:multiLevelType w:val="hybridMultilevel"/>
    <w:tmpl w:val="F8C64A1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C1C5CEC"/>
    <w:multiLevelType w:val="hybridMultilevel"/>
    <w:tmpl w:val="04B263FE"/>
    <w:lvl w:ilvl="0" w:tplc="FFFFFFFF">
      <w:start w:val="1"/>
      <w:numFmt w:val="decimal"/>
      <w:lvlText w:val="%1."/>
      <w:lvlJc w:val="left"/>
      <w:pPr>
        <w:ind w:left="720" w:hanging="360"/>
      </w:pPr>
    </w:lvl>
    <w:lvl w:ilvl="1" w:tplc="3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F5B749A"/>
    <w:multiLevelType w:val="hybridMultilevel"/>
    <w:tmpl w:val="2038681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2B34AFB"/>
    <w:multiLevelType w:val="hybridMultilevel"/>
    <w:tmpl w:val="EDB4BDF8"/>
    <w:lvl w:ilvl="0" w:tplc="FFFFFFFF">
      <w:start w:val="1"/>
      <w:numFmt w:val="decimal"/>
      <w:lvlText w:val="%1."/>
      <w:lvlJc w:val="left"/>
      <w:pPr>
        <w:ind w:left="1571" w:hanging="360"/>
      </w:pPr>
    </w:lvl>
    <w:lvl w:ilvl="1" w:tplc="3809000F">
      <w:start w:val="1"/>
      <w:numFmt w:val="decimal"/>
      <w:lvlText w:val="%2."/>
      <w:lvlJc w:val="left"/>
      <w:pPr>
        <w:ind w:left="144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4" w15:restartNumberingAfterBreak="0">
    <w:nsid w:val="32EA764D"/>
    <w:multiLevelType w:val="hybridMultilevel"/>
    <w:tmpl w:val="6CDC94F4"/>
    <w:lvl w:ilvl="0" w:tplc="3809000F">
      <w:start w:val="1"/>
      <w:numFmt w:val="decimal"/>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5" w15:restartNumberingAfterBreak="0">
    <w:nsid w:val="39C04A6B"/>
    <w:multiLevelType w:val="hybridMultilevel"/>
    <w:tmpl w:val="98E40EFE"/>
    <w:lvl w:ilvl="0" w:tplc="FFFFFFFF">
      <w:start w:val="1"/>
      <w:numFmt w:val="decimal"/>
      <w:lvlText w:val="%1."/>
      <w:lvlJc w:val="left"/>
      <w:pPr>
        <w:ind w:left="720" w:hanging="360"/>
      </w:pPr>
    </w:lvl>
    <w:lvl w:ilvl="1" w:tplc="38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AE22C72"/>
    <w:multiLevelType w:val="hybridMultilevel"/>
    <w:tmpl w:val="8C2AC140"/>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7" w15:restartNumberingAfterBreak="0">
    <w:nsid w:val="44E70CF4"/>
    <w:multiLevelType w:val="hybridMultilevel"/>
    <w:tmpl w:val="5C6E3F0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47024900"/>
    <w:multiLevelType w:val="hybridMultilevel"/>
    <w:tmpl w:val="67603746"/>
    <w:lvl w:ilvl="0" w:tplc="FFFFFFFF">
      <w:start w:val="1"/>
      <w:numFmt w:val="decimal"/>
      <w:lvlText w:val="%1."/>
      <w:lvlJc w:val="left"/>
      <w:pPr>
        <w:ind w:left="720" w:hanging="360"/>
      </w:pPr>
    </w:lvl>
    <w:lvl w:ilvl="1" w:tplc="3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0B52E6"/>
    <w:multiLevelType w:val="hybridMultilevel"/>
    <w:tmpl w:val="233640FE"/>
    <w:lvl w:ilvl="0" w:tplc="3809000F">
      <w:start w:val="1"/>
      <w:numFmt w:val="decimal"/>
      <w:lvlText w:val="%1."/>
      <w:lvlJc w:val="left"/>
      <w:pPr>
        <w:ind w:left="1571" w:hanging="360"/>
      </w:pPr>
    </w:lvl>
    <w:lvl w:ilvl="1" w:tplc="38090019">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0" w15:restartNumberingAfterBreak="0">
    <w:nsid w:val="4B3A2982"/>
    <w:multiLevelType w:val="hybridMultilevel"/>
    <w:tmpl w:val="354E7D9C"/>
    <w:lvl w:ilvl="0" w:tplc="FFFFFFFF">
      <w:start w:val="1"/>
      <w:numFmt w:val="decimal"/>
      <w:lvlText w:val="%1."/>
      <w:lvlJc w:val="left"/>
      <w:pPr>
        <w:ind w:left="718" w:hanging="360"/>
      </w:pPr>
    </w:lvl>
    <w:lvl w:ilvl="1" w:tplc="3809000F">
      <w:start w:val="1"/>
      <w:numFmt w:val="decimal"/>
      <w:lvlText w:val="%2."/>
      <w:lvlJc w:val="left"/>
      <w:pPr>
        <w:ind w:left="1440"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1" w15:restartNumberingAfterBreak="0">
    <w:nsid w:val="4E2F2F8E"/>
    <w:multiLevelType w:val="hybridMultilevel"/>
    <w:tmpl w:val="3352435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08013AB"/>
    <w:multiLevelType w:val="hybridMultilevel"/>
    <w:tmpl w:val="7B0E5FE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5A02CF3"/>
    <w:multiLevelType w:val="hybridMultilevel"/>
    <w:tmpl w:val="50961CEA"/>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4" w15:restartNumberingAfterBreak="0">
    <w:nsid w:val="55D0465E"/>
    <w:multiLevelType w:val="hybridMultilevel"/>
    <w:tmpl w:val="B164FD3A"/>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15:restartNumberingAfterBreak="0">
    <w:nsid w:val="59043C6F"/>
    <w:multiLevelType w:val="multilevel"/>
    <w:tmpl w:val="0DA8487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B13C7D"/>
    <w:multiLevelType w:val="hybridMultilevel"/>
    <w:tmpl w:val="69DCAA0C"/>
    <w:lvl w:ilvl="0" w:tplc="3809000F">
      <w:start w:val="1"/>
      <w:numFmt w:val="decimal"/>
      <w:lvlText w:val="%1."/>
      <w:lvlJc w:val="left"/>
      <w:pPr>
        <w:ind w:left="720" w:hanging="360"/>
      </w:pPr>
    </w:lvl>
    <w:lvl w:ilvl="1" w:tplc="1E1CA35E">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CD657F0"/>
    <w:multiLevelType w:val="hybridMultilevel"/>
    <w:tmpl w:val="D48C78F0"/>
    <w:lvl w:ilvl="0" w:tplc="FFFFFFFF">
      <w:start w:val="1"/>
      <w:numFmt w:val="decimal"/>
      <w:lvlText w:val="%1."/>
      <w:lvlJc w:val="left"/>
      <w:pPr>
        <w:ind w:left="720" w:hanging="360"/>
      </w:pPr>
    </w:lvl>
    <w:lvl w:ilvl="1" w:tplc="3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3A747CB"/>
    <w:multiLevelType w:val="hybridMultilevel"/>
    <w:tmpl w:val="0ACCA93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D1E6ED2"/>
    <w:multiLevelType w:val="hybridMultilevel"/>
    <w:tmpl w:val="AC0822B0"/>
    <w:lvl w:ilvl="0" w:tplc="3809000F">
      <w:start w:val="1"/>
      <w:numFmt w:val="decimal"/>
      <w:lvlText w:val="%1."/>
      <w:lvlJc w:val="left"/>
      <w:pPr>
        <w:ind w:left="3672" w:hanging="360"/>
      </w:pPr>
    </w:lvl>
    <w:lvl w:ilvl="1" w:tplc="38090019" w:tentative="1">
      <w:start w:val="1"/>
      <w:numFmt w:val="lowerLetter"/>
      <w:lvlText w:val="%2."/>
      <w:lvlJc w:val="left"/>
      <w:pPr>
        <w:ind w:left="4392" w:hanging="360"/>
      </w:pPr>
    </w:lvl>
    <w:lvl w:ilvl="2" w:tplc="3809001B" w:tentative="1">
      <w:start w:val="1"/>
      <w:numFmt w:val="lowerRoman"/>
      <w:lvlText w:val="%3."/>
      <w:lvlJc w:val="right"/>
      <w:pPr>
        <w:ind w:left="5112" w:hanging="180"/>
      </w:pPr>
    </w:lvl>
    <w:lvl w:ilvl="3" w:tplc="3809000F" w:tentative="1">
      <w:start w:val="1"/>
      <w:numFmt w:val="decimal"/>
      <w:lvlText w:val="%4."/>
      <w:lvlJc w:val="left"/>
      <w:pPr>
        <w:ind w:left="5832" w:hanging="360"/>
      </w:pPr>
    </w:lvl>
    <w:lvl w:ilvl="4" w:tplc="38090019" w:tentative="1">
      <w:start w:val="1"/>
      <w:numFmt w:val="lowerLetter"/>
      <w:lvlText w:val="%5."/>
      <w:lvlJc w:val="left"/>
      <w:pPr>
        <w:ind w:left="6552" w:hanging="360"/>
      </w:pPr>
    </w:lvl>
    <w:lvl w:ilvl="5" w:tplc="3809001B" w:tentative="1">
      <w:start w:val="1"/>
      <w:numFmt w:val="lowerRoman"/>
      <w:lvlText w:val="%6."/>
      <w:lvlJc w:val="right"/>
      <w:pPr>
        <w:ind w:left="7272" w:hanging="180"/>
      </w:pPr>
    </w:lvl>
    <w:lvl w:ilvl="6" w:tplc="3809000F" w:tentative="1">
      <w:start w:val="1"/>
      <w:numFmt w:val="decimal"/>
      <w:lvlText w:val="%7."/>
      <w:lvlJc w:val="left"/>
      <w:pPr>
        <w:ind w:left="7992" w:hanging="360"/>
      </w:pPr>
    </w:lvl>
    <w:lvl w:ilvl="7" w:tplc="38090019" w:tentative="1">
      <w:start w:val="1"/>
      <w:numFmt w:val="lowerLetter"/>
      <w:lvlText w:val="%8."/>
      <w:lvlJc w:val="left"/>
      <w:pPr>
        <w:ind w:left="8712" w:hanging="360"/>
      </w:pPr>
    </w:lvl>
    <w:lvl w:ilvl="8" w:tplc="3809001B" w:tentative="1">
      <w:start w:val="1"/>
      <w:numFmt w:val="lowerRoman"/>
      <w:lvlText w:val="%9."/>
      <w:lvlJc w:val="right"/>
      <w:pPr>
        <w:ind w:left="9432" w:hanging="180"/>
      </w:pPr>
    </w:lvl>
  </w:abstractNum>
  <w:abstractNum w:abstractNumId="40" w15:restartNumberingAfterBreak="0">
    <w:nsid w:val="71A64BC9"/>
    <w:multiLevelType w:val="hybridMultilevel"/>
    <w:tmpl w:val="E30264D8"/>
    <w:lvl w:ilvl="0" w:tplc="FFFFFFFF">
      <w:start w:val="1"/>
      <w:numFmt w:val="decimal"/>
      <w:lvlText w:val="%1."/>
      <w:lvlJc w:val="left"/>
      <w:pPr>
        <w:ind w:left="720" w:hanging="360"/>
      </w:pPr>
    </w:lvl>
    <w:lvl w:ilvl="1" w:tplc="3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87F631D"/>
    <w:multiLevelType w:val="hybridMultilevel"/>
    <w:tmpl w:val="5B5C3A5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B165060"/>
    <w:multiLevelType w:val="multilevel"/>
    <w:tmpl w:val="D6A89D2E"/>
    <w:lvl w:ilvl="0">
      <w:start w:val="1"/>
      <w:numFmt w:val="decimal"/>
      <w:lvlText w:val="%1."/>
      <w:lvlJc w:val="left"/>
      <w:pPr>
        <w:ind w:left="360" w:hanging="360"/>
      </w:pPr>
      <w:rPr>
        <w:rFonts w:hint="default"/>
      </w:rPr>
    </w:lvl>
    <w:lvl w:ilvl="1">
      <w:start w:val="1"/>
      <w:numFmt w:val="decimal"/>
      <w:lvlText w:val="B.%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C301304"/>
    <w:multiLevelType w:val="hybridMultilevel"/>
    <w:tmpl w:val="840C5824"/>
    <w:lvl w:ilvl="0" w:tplc="FFFFFFFF">
      <w:start w:val="1"/>
      <w:numFmt w:val="decimal"/>
      <w:lvlText w:val="%1."/>
      <w:lvlJc w:val="left"/>
      <w:pPr>
        <w:ind w:left="1629" w:hanging="360"/>
      </w:pPr>
    </w:lvl>
    <w:lvl w:ilvl="1" w:tplc="3809000F">
      <w:start w:val="1"/>
      <w:numFmt w:val="decimal"/>
      <w:lvlText w:val="%2."/>
      <w:lvlJc w:val="left"/>
      <w:pPr>
        <w:ind w:left="720" w:hanging="360"/>
      </w:pPr>
    </w:lvl>
    <w:lvl w:ilvl="2" w:tplc="FFFFFFFF" w:tentative="1">
      <w:start w:val="1"/>
      <w:numFmt w:val="lowerRoman"/>
      <w:lvlText w:val="%3."/>
      <w:lvlJc w:val="right"/>
      <w:pPr>
        <w:ind w:left="3069" w:hanging="180"/>
      </w:pPr>
    </w:lvl>
    <w:lvl w:ilvl="3" w:tplc="FFFFFFFF" w:tentative="1">
      <w:start w:val="1"/>
      <w:numFmt w:val="decimal"/>
      <w:lvlText w:val="%4."/>
      <w:lvlJc w:val="left"/>
      <w:pPr>
        <w:ind w:left="3789" w:hanging="360"/>
      </w:pPr>
    </w:lvl>
    <w:lvl w:ilvl="4" w:tplc="FFFFFFFF" w:tentative="1">
      <w:start w:val="1"/>
      <w:numFmt w:val="lowerLetter"/>
      <w:lvlText w:val="%5."/>
      <w:lvlJc w:val="left"/>
      <w:pPr>
        <w:ind w:left="4509" w:hanging="360"/>
      </w:pPr>
    </w:lvl>
    <w:lvl w:ilvl="5" w:tplc="FFFFFFFF" w:tentative="1">
      <w:start w:val="1"/>
      <w:numFmt w:val="lowerRoman"/>
      <w:lvlText w:val="%6."/>
      <w:lvlJc w:val="right"/>
      <w:pPr>
        <w:ind w:left="5229" w:hanging="180"/>
      </w:pPr>
    </w:lvl>
    <w:lvl w:ilvl="6" w:tplc="FFFFFFFF" w:tentative="1">
      <w:start w:val="1"/>
      <w:numFmt w:val="decimal"/>
      <w:lvlText w:val="%7."/>
      <w:lvlJc w:val="left"/>
      <w:pPr>
        <w:ind w:left="5949" w:hanging="360"/>
      </w:pPr>
    </w:lvl>
    <w:lvl w:ilvl="7" w:tplc="FFFFFFFF" w:tentative="1">
      <w:start w:val="1"/>
      <w:numFmt w:val="lowerLetter"/>
      <w:lvlText w:val="%8."/>
      <w:lvlJc w:val="left"/>
      <w:pPr>
        <w:ind w:left="6669" w:hanging="360"/>
      </w:pPr>
    </w:lvl>
    <w:lvl w:ilvl="8" w:tplc="FFFFFFFF" w:tentative="1">
      <w:start w:val="1"/>
      <w:numFmt w:val="lowerRoman"/>
      <w:lvlText w:val="%9."/>
      <w:lvlJc w:val="right"/>
      <w:pPr>
        <w:ind w:left="7389" w:hanging="180"/>
      </w:pPr>
    </w:lvl>
  </w:abstractNum>
  <w:num w:numId="1" w16cid:durableId="2038651014">
    <w:abstractNumId w:val="9"/>
  </w:num>
  <w:num w:numId="2" w16cid:durableId="1593127512">
    <w:abstractNumId w:val="42"/>
  </w:num>
  <w:num w:numId="3" w16cid:durableId="2084914531">
    <w:abstractNumId w:val="35"/>
  </w:num>
  <w:num w:numId="4" w16cid:durableId="2105875782">
    <w:abstractNumId w:val="0"/>
  </w:num>
  <w:num w:numId="5" w16cid:durableId="2058892428">
    <w:abstractNumId w:val="13"/>
  </w:num>
  <w:num w:numId="6" w16cid:durableId="652567468">
    <w:abstractNumId w:val="15"/>
  </w:num>
  <w:num w:numId="7" w16cid:durableId="1479765551">
    <w:abstractNumId w:val="41"/>
  </w:num>
  <w:num w:numId="8" w16cid:durableId="1760103062">
    <w:abstractNumId w:val="1"/>
  </w:num>
  <w:num w:numId="9" w16cid:durableId="422188315">
    <w:abstractNumId w:val="36"/>
  </w:num>
  <w:num w:numId="10" w16cid:durableId="386034989">
    <w:abstractNumId w:val="27"/>
  </w:num>
  <w:num w:numId="11" w16cid:durableId="1210990679">
    <w:abstractNumId w:val="10"/>
  </w:num>
  <w:num w:numId="12" w16cid:durableId="1572736136">
    <w:abstractNumId w:val="5"/>
  </w:num>
  <w:num w:numId="13" w16cid:durableId="527182331">
    <w:abstractNumId w:val="21"/>
  </w:num>
  <w:num w:numId="14" w16cid:durableId="1293753484">
    <w:abstractNumId w:val="2"/>
  </w:num>
  <w:num w:numId="15" w16cid:durableId="1727991346">
    <w:abstractNumId w:val="17"/>
  </w:num>
  <w:num w:numId="16" w16cid:durableId="310600732">
    <w:abstractNumId w:val="43"/>
  </w:num>
  <w:num w:numId="17" w16cid:durableId="1141994883">
    <w:abstractNumId w:val="19"/>
  </w:num>
  <w:num w:numId="18" w16cid:durableId="1585139702">
    <w:abstractNumId w:val="23"/>
  </w:num>
  <w:num w:numId="19" w16cid:durableId="1798722026">
    <w:abstractNumId w:val="16"/>
  </w:num>
  <w:num w:numId="20" w16cid:durableId="1812862381">
    <w:abstractNumId w:val="25"/>
  </w:num>
  <w:num w:numId="21" w16cid:durableId="897015862">
    <w:abstractNumId w:val="12"/>
  </w:num>
  <w:num w:numId="22" w16cid:durableId="1649895619">
    <w:abstractNumId w:val="40"/>
  </w:num>
  <w:num w:numId="23" w16cid:durableId="1726685570">
    <w:abstractNumId w:val="30"/>
  </w:num>
  <w:num w:numId="24" w16cid:durableId="94640382">
    <w:abstractNumId w:val="37"/>
  </w:num>
  <w:num w:numId="25" w16cid:durableId="635914992">
    <w:abstractNumId w:val="28"/>
  </w:num>
  <w:num w:numId="26" w16cid:durableId="1384789446">
    <w:abstractNumId w:val="18"/>
  </w:num>
  <w:num w:numId="27" w16cid:durableId="753890914">
    <w:abstractNumId w:val="39"/>
  </w:num>
  <w:num w:numId="28" w16cid:durableId="1312755006">
    <w:abstractNumId w:val="11"/>
  </w:num>
  <w:num w:numId="29" w16cid:durableId="346253132">
    <w:abstractNumId w:val="6"/>
  </w:num>
  <w:num w:numId="30" w16cid:durableId="942614522">
    <w:abstractNumId w:val="34"/>
  </w:num>
  <w:num w:numId="31" w16cid:durableId="269432778">
    <w:abstractNumId w:val="3"/>
  </w:num>
  <w:num w:numId="32" w16cid:durableId="78212157">
    <w:abstractNumId w:val="20"/>
  </w:num>
  <w:num w:numId="33" w16cid:durableId="546259477">
    <w:abstractNumId w:val="32"/>
  </w:num>
  <w:num w:numId="34" w16cid:durableId="2039625707">
    <w:abstractNumId w:val="7"/>
  </w:num>
  <w:num w:numId="35" w16cid:durableId="1893615744">
    <w:abstractNumId w:val="14"/>
  </w:num>
  <w:num w:numId="36" w16cid:durableId="212161788">
    <w:abstractNumId w:val="8"/>
  </w:num>
  <w:num w:numId="37" w16cid:durableId="745952739">
    <w:abstractNumId w:val="26"/>
  </w:num>
  <w:num w:numId="38" w16cid:durableId="1630435464">
    <w:abstractNumId w:val="29"/>
  </w:num>
  <w:num w:numId="39" w16cid:durableId="589118980">
    <w:abstractNumId w:val="4"/>
  </w:num>
  <w:num w:numId="40" w16cid:durableId="1564485222">
    <w:abstractNumId w:val="38"/>
  </w:num>
  <w:num w:numId="41" w16cid:durableId="1852794340">
    <w:abstractNumId w:val="24"/>
  </w:num>
  <w:num w:numId="42" w16cid:durableId="1135560473">
    <w:abstractNumId w:val="31"/>
  </w:num>
  <w:num w:numId="43" w16cid:durableId="1379747101">
    <w:abstractNumId w:val="22"/>
  </w:num>
  <w:num w:numId="44" w16cid:durableId="603880825">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A26"/>
    <w:rsid w:val="00004994"/>
    <w:rsid w:val="00004C67"/>
    <w:rsid w:val="0000666D"/>
    <w:rsid w:val="00007667"/>
    <w:rsid w:val="00007A19"/>
    <w:rsid w:val="000131FC"/>
    <w:rsid w:val="0001504B"/>
    <w:rsid w:val="00020A57"/>
    <w:rsid w:val="000231DC"/>
    <w:rsid w:val="00025083"/>
    <w:rsid w:val="00026E96"/>
    <w:rsid w:val="00041F29"/>
    <w:rsid w:val="00045D96"/>
    <w:rsid w:val="0004769B"/>
    <w:rsid w:val="00054398"/>
    <w:rsid w:val="000660D6"/>
    <w:rsid w:val="00067CFB"/>
    <w:rsid w:val="00083A42"/>
    <w:rsid w:val="000848A9"/>
    <w:rsid w:val="000873C3"/>
    <w:rsid w:val="00087B52"/>
    <w:rsid w:val="00092752"/>
    <w:rsid w:val="000A24C6"/>
    <w:rsid w:val="000A3775"/>
    <w:rsid w:val="000A7F69"/>
    <w:rsid w:val="000B10DC"/>
    <w:rsid w:val="000B712A"/>
    <w:rsid w:val="000C381F"/>
    <w:rsid w:val="000C5DC5"/>
    <w:rsid w:val="000D11E3"/>
    <w:rsid w:val="000D7065"/>
    <w:rsid w:val="000E0362"/>
    <w:rsid w:val="000E04E8"/>
    <w:rsid w:val="000E1C41"/>
    <w:rsid w:val="000E1D14"/>
    <w:rsid w:val="000E2356"/>
    <w:rsid w:val="000F2ADF"/>
    <w:rsid w:val="001051D6"/>
    <w:rsid w:val="00110675"/>
    <w:rsid w:val="00111ABB"/>
    <w:rsid w:val="00113EE0"/>
    <w:rsid w:val="001202BB"/>
    <w:rsid w:val="001229FB"/>
    <w:rsid w:val="00123940"/>
    <w:rsid w:val="00124CF2"/>
    <w:rsid w:val="00130D8E"/>
    <w:rsid w:val="0013369C"/>
    <w:rsid w:val="00135641"/>
    <w:rsid w:val="001401E5"/>
    <w:rsid w:val="00144528"/>
    <w:rsid w:val="001453B0"/>
    <w:rsid w:val="0014638A"/>
    <w:rsid w:val="0015550B"/>
    <w:rsid w:val="00157A08"/>
    <w:rsid w:val="001602CB"/>
    <w:rsid w:val="00171929"/>
    <w:rsid w:val="00172849"/>
    <w:rsid w:val="00172D1F"/>
    <w:rsid w:val="0018112E"/>
    <w:rsid w:val="0018322A"/>
    <w:rsid w:val="001837AB"/>
    <w:rsid w:val="00185308"/>
    <w:rsid w:val="001861FB"/>
    <w:rsid w:val="001900D6"/>
    <w:rsid w:val="00196AB1"/>
    <w:rsid w:val="001A040D"/>
    <w:rsid w:val="001A3985"/>
    <w:rsid w:val="001B2A57"/>
    <w:rsid w:val="001B7B2A"/>
    <w:rsid w:val="001C11F5"/>
    <w:rsid w:val="001C557C"/>
    <w:rsid w:val="001C78F0"/>
    <w:rsid w:val="001D4823"/>
    <w:rsid w:val="001D50FB"/>
    <w:rsid w:val="001D7043"/>
    <w:rsid w:val="001E6FB6"/>
    <w:rsid w:val="001E77A8"/>
    <w:rsid w:val="0020106C"/>
    <w:rsid w:val="00201161"/>
    <w:rsid w:val="00202138"/>
    <w:rsid w:val="00207044"/>
    <w:rsid w:val="002127E5"/>
    <w:rsid w:val="002167EF"/>
    <w:rsid w:val="0022059D"/>
    <w:rsid w:val="00220D14"/>
    <w:rsid w:val="00222E62"/>
    <w:rsid w:val="002237F7"/>
    <w:rsid w:val="00230419"/>
    <w:rsid w:val="00235143"/>
    <w:rsid w:val="002374E0"/>
    <w:rsid w:val="002672DE"/>
    <w:rsid w:val="00273B76"/>
    <w:rsid w:val="0027509A"/>
    <w:rsid w:val="00281BB4"/>
    <w:rsid w:val="00283FB2"/>
    <w:rsid w:val="002843CD"/>
    <w:rsid w:val="00284FBC"/>
    <w:rsid w:val="002862BF"/>
    <w:rsid w:val="002937D5"/>
    <w:rsid w:val="0029429A"/>
    <w:rsid w:val="002943AC"/>
    <w:rsid w:val="002952E7"/>
    <w:rsid w:val="00295907"/>
    <w:rsid w:val="002A430D"/>
    <w:rsid w:val="002A4497"/>
    <w:rsid w:val="002A4BC2"/>
    <w:rsid w:val="002A5788"/>
    <w:rsid w:val="002A7EDF"/>
    <w:rsid w:val="002C072E"/>
    <w:rsid w:val="002C2CE6"/>
    <w:rsid w:val="002C4E4E"/>
    <w:rsid w:val="002C5019"/>
    <w:rsid w:val="002C51CE"/>
    <w:rsid w:val="002C55CF"/>
    <w:rsid w:val="002C610A"/>
    <w:rsid w:val="002D23AB"/>
    <w:rsid w:val="002E0287"/>
    <w:rsid w:val="002E3A9B"/>
    <w:rsid w:val="002E3C34"/>
    <w:rsid w:val="002F35D3"/>
    <w:rsid w:val="002F391E"/>
    <w:rsid w:val="0030560F"/>
    <w:rsid w:val="00310EB7"/>
    <w:rsid w:val="00313053"/>
    <w:rsid w:val="00313FFD"/>
    <w:rsid w:val="00314453"/>
    <w:rsid w:val="003238C7"/>
    <w:rsid w:val="00325B1B"/>
    <w:rsid w:val="00327654"/>
    <w:rsid w:val="003304A6"/>
    <w:rsid w:val="00337153"/>
    <w:rsid w:val="00337926"/>
    <w:rsid w:val="00340207"/>
    <w:rsid w:val="00340530"/>
    <w:rsid w:val="0034650E"/>
    <w:rsid w:val="00346C8A"/>
    <w:rsid w:val="00350031"/>
    <w:rsid w:val="00354426"/>
    <w:rsid w:val="00356158"/>
    <w:rsid w:val="00362FDC"/>
    <w:rsid w:val="003644AB"/>
    <w:rsid w:val="003731C3"/>
    <w:rsid w:val="00373E83"/>
    <w:rsid w:val="0037589F"/>
    <w:rsid w:val="0038012E"/>
    <w:rsid w:val="00391289"/>
    <w:rsid w:val="003959F7"/>
    <w:rsid w:val="003A23C1"/>
    <w:rsid w:val="003A56B7"/>
    <w:rsid w:val="003B30D2"/>
    <w:rsid w:val="003B46CD"/>
    <w:rsid w:val="003C0957"/>
    <w:rsid w:val="003C1E2A"/>
    <w:rsid w:val="003C2F9D"/>
    <w:rsid w:val="003C521B"/>
    <w:rsid w:val="003D0715"/>
    <w:rsid w:val="003D6ED2"/>
    <w:rsid w:val="003E0EE5"/>
    <w:rsid w:val="003F0847"/>
    <w:rsid w:val="003F2712"/>
    <w:rsid w:val="00401963"/>
    <w:rsid w:val="0040692E"/>
    <w:rsid w:val="00417019"/>
    <w:rsid w:val="00422BE2"/>
    <w:rsid w:val="00425559"/>
    <w:rsid w:val="00427373"/>
    <w:rsid w:val="004279FF"/>
    <w:rsid w:val="004366CD"/>
    <w:rsid w:val="00446A05"/>
    <w:rsid w:val="004735BE"/>
    <w:rsid w:val="004756CD"/>
    <w:rsid w:val="00483369"/>
    <w:rsid w:val="004842FB"/>
    <w:rsid w:val="00486CC2"/>
    <w:rsid w:val="004956F2"/>
    <w:rsid w:val="004A3788"/>
    <w:rsid w:val="004A44D6"/>
    <w:rsid w:val="004A5F68"/>
    <w:rsid w:val="004A623B"/>
    <w:rsid w:val="004A638F"/>
    <w:rsid w:val="004B273E"/>
    <w:rsid w:val="004C36A9"/>
    <w:rsid w:val="004D2CD1"/>
    <w:rsid w:val="004E250A"/>
    <w:rsid w:val="004E25E5"/>
    <w:rsid w:val="004E7B72"/>
    <w:rsid w:val="004F3FDB"/>
    <w:rsid w:val="004F4E3C"/>
    <w:rsid w:val="004F7DDF"/>
    <w:rsid w:val="00502743"/>
    <w:rsid w:val="00503BDD"/>
    <w:rsid w:val="00510AA0"/>
    <w:rsid w:val="00511740"/>
    <w:rsid w:val="005160D9"/>
    <w:rsid w:val="00516C51"/>
    <w:rsid w:val="005171FC"/>
    <w:rsid w:val="0052083B"/>
    <w:rsid w:val="00520D80"/>
    <w:rsid w:val="00523442"/>
    <w:rsid w:val="0052559F"/>
    <w:rsid w:val="00530CEA"/>
    <w:rsid w:val="00534D66"/>
    <w:rsid w:val="00535686"/>
    <w:rsid w:val="0054102E"/>
    <w:rsid w:val="00547B1C"/>
    <w:rsid w:val="00550BC0"/>
    <w:rsid w:val="00552498"/>
    <w:rsid w:val="0055458D"/>
    <w:rsid w:val="00571E0C"/>
    <w:rsid w:val="0057452B"/>
    <w:rsid w:val="005800A7"/>
    <w:rsid w:val="00581FAF"/>
    <w:rsid w:val="00585934"/>
    <w:rsid w:val="005A0A05"/>
    <w:rsid w:val="005A1004"/>
    <w:rsid w:val="005A295F"/>
    <w:rsid w:val="005A40CD"/>
    <w:rsid w:val="005A77F8"/>
    <w:rsid w:val="005B4A02"/>
    <w:rsid w:val="005C24CC"/>
    <w:rsid w:val="005D0458"/>
    <w:rsid w:val="005E4D15"/>
    <w:rsid w:val="005F57BD"/>
    <w:rsid w:val="005F58FC"/>
    <w:rsid w:val="005F7702"/>
    <w:rsid w:val="0061318B"/>
    <w:rsid w:val="006140E8"/>
    <w:rsid w:val="00614C46"/>
    <w:rsid w:val="006152B1"/>
    <w:rsid w:val="00616FF5"/>
    <w:rsid w:val="0062178B"/>
    <w:rsid w:val="00621EC1"/>
    <w:rsid w:val="00621F9C"/>
    <w:rsid w:val="00622AE6"/>
    <w:rsid w:val="0063073E"/>
    <w:rsid w:val="006410F2"/>
    <w:rsid w:val="00655DE5"/>
    <w:rsid w:val="006563C8"/>
    <w:rsid w:val="00663099"/>
    <w:rsid w:val="00663C2A"/>
    <w:rsid w:val="00667092"/>
    <w:rsid w:val="00671517"/>
    <w:rsid w:val="00686055"/>
    <w:rsid w:val="0068612F"/>
    <w:rsid w:val="006971B4"/>
    <w:rsid w:val="006A0B68"/>
    <w:rsid w:val="006A0BC4"/>
    <w:rsid w:val="006A6ADA"/>
    <w:rsid w:val="006B2B9A"/>
    <w:rsid w:val="006B551B"/>
    <w:rsid w:val="006B7B2F"/>
    <w:rsid w:val="006C0029"/>
    <w:rsid w:val="006C01A6"/>
    <w:rsid w:val="006C5B32"/>
    <w:rsid w:val="006D0B71"/>
    <w:rsid w:val="006D1557"/>
    <w:rsid w:val="006D58AF"/>
    <w:rsid w:val="006E01AE"/>
    <w:rsid w:val="006F43CC"/>
    <w:rsid w:val="007015A0"/>
    <w:rsid w:val="00703CDB"/>
    <w:rsid w:val="00710DDC"/>
    <w:rsid w:val="00712043"/>
    <w:rsid w:val="00725048"/>
    <w:rsid w:val="00732C2E"/>
    <w:rsid w:val="00741200"/>
    <w:rsid w:val="00746B39"/>
    <w:rsid w:val="0074764A"/>
    <w:rsid w:val="00751FE7"/>
    <w:rsid w:val="0075576E"/>
    <w:rsid w:val="00756A67"/>
    <w:rsid w:val="00757C09"/>
    <w:rsid w:val="00763CDD"/>
    <w:rsid w:val="00766350"/>
    <w:rsid w:val="007731F3"/>
    <w:rsid w:val="00775EB7"/>
    <w:rsid w:val="00776559"/>
    <w:rsid w:val="0078156D"/>
    <w:rsid w:val="0079401B"/>
    <w:rsid w:val="007A4A7F"/>
    <w:rsid w:val="007A6359"/>
    <w:rsid w:val="007A653A"/>
    <w:rsid w:val="007A6C6F"/>
    <w:rsid w:val="007B0447"/>
    <w:rsid w:val="007B0F84"/>
    <w:rsid w:val="007B1FC5"/>
    <w:rsid w:val="007B4170"/>
    <w:rsid w:val="007C1831"/>
    <w:rsid w:val="007C687B"/>
    <w:rsid w:val="007C7985"/>
    <w:rsid w:val="007D0214"/>
    <w:rsid w:val="007D772B"/>
    <w:rsid w:val="007E4FA0"/>
    <w:rsid w:val="007E67E8"/>
    <w:rsid w:val="007F195D"/>
    <w:rsid w:val="007F26F2"/>
    <w:rsid w:val="007F3540"/>
    <w:rsid w:val="007F7506"/>
    <w:rsid w:val="00801782"/>
    <w:rsid w:val="00801BEC"/>
    <w:rsid w:val="0080349B"/>
    <w:rsid w:val="008034E2"/>
    <w:rsid w:val="00806769"/>
    <w:rsid w:val="00811831"/>
    <w:rsid w:val="00812A19"/>
    <w:rsid w:val="00821AA3"/>
    <w:rsid w:val="0082300B"/>
    <w:rsid w:val="00824D81"/>
    <w:rsid w:val="008255B4"/>
    <w:rsid w:val="0083083B"/>
    <w:rsid w:val="00833137"/>
    <w:rsid w:val="0083485A"/>
    <w:rsid w:val="008406AC"/>
    <w:rsid w:val="00842B09"/>
    <w:rsid w:val="008438F8"/>
    <w:rsid w:val="0084400D"/>
    <w:rsid w:val="008454F4"/>
    <w:rsid w:val="00847017"/>
    <w:rsid w:val="00855285"/>
    <w:rsid w:val="008555C9"/>
    <w:rsid w:val="008561B3"/>
    <w:rsid w:val="00857A38"/>
    <w:rsid w:val="00865F09"/>
    <w:rsid w:val="0087004E"/>
    <w:rsid w:val="00870D35"/>
    <w:rsid w:val="008811B8"/>
    <w:rsid w:val="008847D4"/>
    <w:rsid w:val="008970EE"/>
    <w:rsid w:val="008A07A9"/>
    <w:rsid w:val="008A0B5A"/>
    <w:rsid w:val="008A3C9D"/>
    <w:rsid w:val="008A5BEE"/>
    <w:rsid w:val="008C623E"/>
    <w:rsid w:val="008D2B41"/>
    <w:rsid w:val="008E1588"/>
    <w:rsid w:val="008E4341"/>
    <w:rsid w:val="008E67A5"/>
    <w:rsid w:val="0090233C"/>
    <w:rsid w:val="00903A26"/>
    <w:rsid w:val="009134BF"/>
    <w:rsid w:val="00913CC7"/>
    <w:rsid w:val="00913DFE"/>
    <w:rsid w:val="00915EDA"/>
    <w:rsid w:val="00920BEA"/>
    <w:rsid w:val="00923147"/>
    <w:rsid w:val="00930989"/>
    <w:rsid w:val="009357BC"/>
    <w:rsid w:val="00941068"/>
    <w:rsid w:val="00950179"/>
    <w:rsid w:val="009526B0"/>
    <w:rsid w:val="0096287A"/>
    <w:rsid w:val="00963B3C"/>
    <w:rsid w:val="009729CD"/>
    <w:rsid w:val="009740C6"/>
    <w:rsid w:val="00974887"/>
    <w:rsid w:val="00975A9B"/>
    <w:rsid w:val="009878E2"/>
    <w:rsid w:val="00990826"/>
    <w:rsid w:val="00991B4E"/>
    <w:rsid w:val="009C38DC"/>
    <w:rsid w:val="009D414B"/>
    <w:rsid w:val="009E44A5"/>
    <w:rsid w:val="009E74DA"/>
    <w:rsid w:val="009F0676"/>
    <w:rsid w:val="009F3ADE"/>
    <w:rsid w:val="009F5323"/>
    <w:rsid w:val="00A0282C"/>
    <w:rsid w:val="00A033B6"/>
    <w:rsid w:val="00A060C2"/>
    <w:rsid w:val="00A12E1F"/>
    <w:rsid w:val="00A322CF"/>
    <w:rsid w:val="00A3370F"/>
    <w:rsid w:val="00A35A29"/>
    <w:rsid w:val="00A4674C"/>
    <w:rsid w:val="00A47EC1"/>
    <w:rsid w:val="00A52275"/>
    <w:rsid w:val="00A57D9D"/>
    <w:rsid w:val="00A655E1"/>
    <w:rsid w:val="00A67313"/>
    <w:rsid w:val="00A70D6C"/>
    <w:rsid w:val="00A842FD"/>
    <w:rsid w:val="00A872D3"/>
    <w:rsid w:val="00A93322"/>
    <w:rsid w:val="00AA4394"/>
    <w:rsid w:val="00AA4F81"/>
    <w:rsid w:val="00AA76D5"/>
    <w:rsid w:val="00AB1358"/>
    <w:rsid w:val="00AB577B"/>
    <w:rsid w:val="00AD0CF8"/>
    <w:rsid w:val="00AD3FB3"/>
    <w:rsid w:val="00AE1230"/>
    <w:rsid w:val="00AF097F"/>
    <w:rsid w:val="00AF67CC"/>
    <w:rsid w:val="00B032A4"/>
    <w:rsid w:val="00B04D40"/>
    <w:rsid w:val="00B15A7C"/>
    <w:rsid w:val="00B20CEE"/>
    <w:rsid w:val="00B22CDC"/>
    <w:rsid w:val="00B27A4C"/>
    <w:rsid w:val="00B37556"/>
    <w:rsid w:val="00B400AE"/>
    <w:rsid w:val="00B50628"/>
    <w:rsid w:val="00B50DDC"/>
    <w:rsid w:val="00B60E7F"/>
    <w:rsid w:val="00B62E72"/>
    <w:rsid w:val="00B66918"/>
    <w:rsid w:val="00B83334"/>
    <w:rsid w:val="00B8633A"/>
    <w:rsid w:val="00B912AC"/>
    <w:rsid w:val="00B922D2"/>
    <w:rsid w:val="00B976B8"/>
    <w:rsid w:val="00BA2F64"/>
    <w:rsid w:val="00BA58F8"/>
    <w:rsid w:val="00BA7901"/>
    <w:rsid w:val="00BB03B2"/>
    <w:rsid w:val="00BB2402"/>
    <w:rsid w:val="00BB61C6"/>
    <w:rsid w:val="00BC0C01"/>
    <w:rsid w:val="00BC1952"/>
    <w:rsid w:val="00BC1998"/>
    <w:rsid w:val="00BC5458"/>
    <w:rsid w:val="00BC797F"/>
    <w:rsid w:val="00BD02B0"/>
    <w:rsid w:val="00BD5954"/>
    <w:rsid w:val="00BF10D4"/>
    <w:rsid w:val="00C00064"/>
    <w:rsid w:val="00C116C2"/>
    <w:rsid w:val="00C124C9"/>
    <w:rsid w:val="00C140C1"/>
    <w:rsid w:val="00C15E3F"/>
    <w:rsid w:val="00C2393B"/>
    <w:rsid w:val="00C2661C"/>
    <w:rsid w:val="00C35D56"/>
    <w:rsid w:val="00C447F1"/>
    <w:rsid w:val="00C5484C"/>
    <w:rsid w:val="00C57899"/>
    <w:rsid w:val="00C601B1"/>
    <w:rsid w:val="00C76082"/>
    <w:rsid w:val="00C8078F"/>
    <w:rsid w:val="00C82626"/>
    <w:rsid w:val="00C83E37"/>
    <w:rsid w:val="00C901F7"/>
    <w:rsid w:val="00C9429A"/>
    <w:rsid w:val="00C97B53"/>
    <w:rsid w:val="00C97FF1"/>
    <w:rsid w:val="00CB1A73"/>
    <w:rsid w:val="00CC2A71"/>
    <w:rsid w:val="00CC37C9"/>
    <w:rsid w:val="00CC54BF"/>
    <w:rsid w:val="00CD2782"/>
    <w:rsid w:val="00CD4757"/>
    <w:rsid w:val="00CE3AC2"/>
    <w:rsid w:val="00CE3C23"/>
    <w:rsid w:val="00CE4C92"/>
    <w:rsid w:val="00CF0B01"/>
    <w:rsid w:val="00CF1458"/>
    <w:rsid w:val="00CF316B"/>
    <w:rsid w:val="00D05EAA"/>
    <w:rsid w:val="00D124AE"/>
    <w:rsid w:val="00D16696"/>
    <w:rsid w:val="00D16B17"/>
    <w:rsid w:val="00D17C7B"/>
    <w:rsid w:val="00D33964"/>
    <w:rsid w:val="00D37FCF"/>
    <w:rsid w:val="00D4260E"/>
    <w:rsid w:val="00D43908"/>
    <w:rsid w:val="00D441B7"/>
    <w:rsid w:val="00D5551B"/>
    <w:rsid w:val="00D56E99"/>
    <w:rsid w:val="00D570D9"/>
    <w:rsid w:val="00D57D47"/>
    <w:rsid w:val="00D60F0C"/>
    <w:rsid w:val="00D612D1"/>
    <w:rsid w:val="00D61E3C"/>
    <w:rsid w:val="00D639F0"/>
    <w:rsid w:val="00D74566"/>
    <w:rsid w:val="00D8154F"/>
    <w:rsid w:val="00D866D8"/>
    <w:rsid w:val="00D86B04"/>
    <w:rsid w:val="00D90A8F"/>
    <w:rsid w:val="00D929E0"/>
    <w:rsid w:val="00D9341F"/>
    <w:rsid w:val="00D96E05"/>
    <w:rsid w:val="00DA0D1D"/>
    <w:rsid w:val="00DB387A"/>
    <w:rsid w:val="00DB3ACE"/>
    <w:rsid w:val="00DC3DEB"/>
    <w:rsid w:val="00DD5167"/>
    <w:rsid w:val="00DE166E"/>
    <w:rsid w:val="00DE64EE"/>
    <w:rsid w:val="00DE66F4"/>
    <w:rsid w:val="00DE77EF"/>
    <w:rsid w:val="00E041A6"/>
    <w:rsid w:val="00E101E1"/>
    <w:rsid w:val="00E16457"/>
    <w:rsid w:val="00E30C09"/>
    <w:rsid w:val="00E327E7"/>
    <w:rsid w:val="00E4112B"/>
    <w:rsid w:val="00E450FF"/>
    <w:rsid w:val="00E501AA"/>
    <w:rsid w:val="00E54420"/>
    <w:rsid w:val="00E54FBF"/>
    <w:rsid w:val="00E57709"/>
    <w:rsid w:val="00E62B36"/>
    <w:rsid w:val="00E66514"/>
    <w:rsid w:val="00E70F5D"/>
    <w:rsid w:val="00E71E24"/>
    <w:rsid w:val="00E7442C"/>
    <w:rsid w:val="00E77663"/>
    <w:rsid w:val="00E77DE9"/>
    <w:rsid w:val="00E8228A"/>
    <w:rsid w:val="00E82E45"/>
    <w:rsid w:val="00EA3982"/>
    <w:rsid w:val="00EA429C"/>
    <w:rsid w:val="00EA5E20"/>
    <w:rsid w:val="00EC0E3D"/>
    <w:rsid w:val="00EC16F0"/>
    <w:rsid w:val="00ED165E"/>
    <w:rsid w:val="00ED28BF"/>
    <w:rsid w:val="00ED7585"/>
    <w:rsid w:val="00EE4A0F"/>
    <w:rsid w:val="00EE5D86"/>
    <w:rsid w:val="00EE6A4D"/>
    <w:rsid w:val="00EE72B9"/>
    <w:rsid w:val="00EF484E"/>
    <w:rsid w:val="00F02808"/>
    <w:rsid w:val="00F04BA2"/>
    <w:rsid w:val="00F14DA4"/>
    <w:rsid w:val="00F22110"/>
    <w:rsid w:val="00F22B61"/>
    <w:rsid w:val="00F35E00"/>
    <w:rsid w:val="00F360EE"/>
    <w:rsid w:val="00F361B3"/>
    <w:rsid w:val="00F56663"/>
    <w:rsid w:val="00F66576"/>
    <w:rsid w:val="00F726A4"/>
    <w:rsid w:val="00F7302C"/>
    <w:rsid w:val="00F87378"/>
    <w:rsid w:val="00F91E25"/>
    <w:rsid w:val="00F94602"/>
    <w:rsid w:val="00F965F5"/>
    <w:rsid w:val="00F9700E"/>
    <w:rsid w:val="00FA57FA"/>
    <w:rsid w:val="00FA5E7C"/>
    <w:rsid w:val="00FB4CC3"/>
    <w:rsid w:val="00FB6A68"/>
    <w:rsid w:val="00FC2733"/>
    <w:rsid w:val="00FC4FA4"/>
    <w:rsid w:val="00FD47F3"/>
    <w:rsid w:val="00FD6523"/>
    <w:rsid w:val="00FD7CA9"/>
    <w:rsid w:val="00FE12C0"/>
    <w:rsid w:val="00FE495E"/>
    <w:rsid w:val="00FE5F69"/>
  </w:rsids>
  <m:mathPr>
    <m:mathFont m:val="Cambria Math"/>
    <m:brkBin m:val="before"/>
    <m:brkBinSub m:val="--"/>
    <m:smallFrac m:val="0"/>
    <m:dispDef/>
    <m:lMargin m:val="0"/>
    <m:rMargin m:val="0"/>
    <m:defJc m:val="centerGroup"/>
    <m:wrapIndent m:val="1440"/>
    <m:intLim m:val="subSup"/>
    <m:naryLim m:val="undOvr"/>
  </m:mathPr>
  <w:themeFontLang w:val="en-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FBCF5"/>
  <w15:docId w15:val="{F190005A-F255-499D-A538-803251E5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9 Normal"/>
    <w:rsid w:val="00C8078F"/>
    <w:pPr>
      <w:spacing w:after="200" w:line="276" w:lineRule="auto"/>
      <w:jc w:val="both"/>
    </w:pPr>
    <w:rPr>
      <w:rFonts w:ascii="Minion Pro" w:hAnsi="Minion Pro"/>
      <w:lang w:val="en-US"/>
    </w:rPr>
  </w:style>
  <w:style w:type="paragraph" w:styleId="Heading1">
    <w:name w:val="heading 1"/>
    <w:aliases w:val="1 BAB"/>
    <w:basedOn w:val="Normal"/>
    <w:next w:val="Normal"/>
    <w:link w:val="Heading1Char"/>
    <w:uiPriority w:val="9"/>
    <w:qFormat/>
    <w:rsid w:val="00CE4C92"/>
    <w:pPr>
      <w:keepNext/>
      <w:keepLines/>
      <w:spacing w:before="240" w:after="240" w:line="240" w:lineRule="auto"/>
      <w:outlineLvl w:val="0"/>
    </w:pPr>
    <w:rPr>
      <w:rFonts w:eastAsiaTheme="majorEastAsia" w:cstheme="majorBidi"/>
      <w:b/>
      <w:bCs/>
      <w:caps/>
      <w:szCs w:val="28"/>
      <w:lang w:val="en-GB"/>
    </w:rPr>
  </w:style>
  <w:style w:type="paragraph" w:styleId="Heading2">
    <w:name w:val="heading 2"/>
    <w:aliases w:val="3 ISI"/>
    <w:basedOn w:val="Normal"/>
    <w:next w:val="Normal"/>
    <w:link w:val="Heading2Char"/>
    <w:uiPriority w:val="9"/>
    <w:unhideWhenUsed/>
    <w:qFormat/>
    <w:rsid w:val="00CE4C92"/>
    <w:pPr>
      <w:spacing w:after="0"/>
      <w:ind w:firstLine="459"/>
      <w:outlineLvl w:val="1"/>
    </w:pPr>
    <w:rPr>
      <w:bCs/>
      <w:lang w:val="en-GB"/>
    </w:rPr>
  </w:style>
  <w:style w:type="paragraph" w:styleId="Heading3">
    <w:name w:val="heading 3"/>
    <w:basedOn w:val="Normal"/>
    <w:next w:val="Normal"/>
    <w:link w:val="Heading3Char"/>
    <w:uiPriority w:val="9"/>
    <w:semiHidden/>
    <w:unhideWhenUsed/>
    <w:qFormat/>
    <w:rsid w:val="00C942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aliases w:val="7 DAFTAR PUSTAKA"/>
    <w:basedOn w:val="Normal"/>
    <w:next w:val="Normal"/>
    <w:link w:val="Heading7Char"/>
    <w:uiPriority w:val="9"/>
    <w:unhideWhenUsed/>
    <w:qFormat/>
    <w:rsid w:val="00CE4C92"/>
    <w:pPr>
      <w:spacing w:after="0"/>
      <w:ind w:left="426" w:hanging="426"/>
      <w:outlineLvl w:val="6"/>
    </w:pPr>
    <w:rPr>
      <w:sz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A26"/>
    <w:pPr>
      <w:tabs>
        <w:tab w:val="center" w:pos="4513"/>
        <w:tab w:val="right" w:pos="9026"/>
      </w:tabs>
      <w:spacing w:after="0" w:line="240" w:lineRule="auto"/>
      <w:jc w:val="left"/>
    </w:pPr>
    <w:rPr>
      <w:rFonts w:asciiTheme="minorHAnsi" w:hAnsiTheme="minorHAnsi"/>
      <w:lang w:val="en-ID"/>
    </w:rPr>
  </w:style>
  <w:style w:type="character" w:customStyle="1" w:styleId="HeaderChar">
    <w:name w:val="Header Char"/>
    <w:basedOn w:val="DefaultParagraphFont"/>
    <w:link w:val="Header"/>
    <w:uiPriority w:val="99"/>
    <w:rsid w:val="00903A26"/>
    <w:rPr>
      <w:lang w:val="id-ID"/>
    </w:rPr>
  </w:style>
  <w:style w:type="paragraph" w:styleId="Footer">
    <w:name w:val="footer"/>
    <w:basedOn w:val="Normal"/>
    <w:link w:val="FooterChar"/>
    <w:uiPriority w:val="99"/>
    <w:unhideWhenUsed/>
    <w:rsid w:val="00903A26"/>
    <w:pPr>
      <w:tabs>
        <w:tab w:val="center" w:pos="4513"/>
        <w:tab w:val="right" w:pos="9026"/>
      </w:tabs>
      <w:spacing w:after="0" w:line="240" w:lineRule="auto"/>
      <w:jc w:val="left"/>
    </w:pPr>
    <w:rPr>
      <w:rFonts w:asciiTheme="minorHAnsi" w:hAnsiTheme="minorHAnsi"/>
      <w:lang w:val="en-ID"/>
    </w:rPr>
  </w:style>
  <w:style w:type="character" w:customStyle="1" w:styleId="FooterChar">
    <w:name w:val="Footer Char"/>
    <w:basedOn w:val="DefaultParagraphFont"/>
    <w:link w:val="Footer"/>
    <w:uiPriority w:val="99"/>
    <w:rsid w:val="00903A26"/>
    <w:rPr>
      <w:lang w:val="id-ID"/>
    </w:rPr>
  </w:style>
  <w:style w:type="character" w:styleId="Hyperlink">
    <w:name w:val="Hyperlink"/>
    <w:basedOn w:val="DefaultParagraphFont"/>
    <w:uiPriority w:val="99"/>
    <w:unhideWhenUsed/>
    <w:rsid w:val="00824D81"/>
    <w:rPr>
      <w:color w:val="0563C1" w:themeColor="hyperlink"/>
      <w:u w:val="single"/>
    </w:rPr>
  </w:style>
  <w:style w:type="character" w:customStyle="1" w:styleId="UnresolvedMention1">
    <w:name w:val="Unresolved Mention1"/>
    <w:basedOn w:val="DefaultParagraphFont"/>
    <w:uiPriority w:val="99"/>
    <w:semiHidden/>
    <w:unhideWhenUsed/>
    <w:rsid w:val="00824D81"/>
    <w:rPr>
      <w:color w:val="605E5C"/>
      <w:shd w:val="clear" w:color="auto" w:fill="E1DFDD"/>
    </w:rPr>
  </w:style>
  <w:style w:type="table" w:styleId="TableGrid">
    <w:name w:val="Table Grid"/>
    <w:basedOn w:val="TableNormal"/>
    <w:uiPriority w:val="39"/>
    <w:qFormat/>
    <w:rsid w:val="00C826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626"/>
    <w:pPr>
      <w:ind w:left="720"/>
      <w:contextualSpacing/>
      <w:jc w:val="left"/>
    </w:pPr>
    <w:rPr>
      <w:rFonts w:ascii="Calibri" w:eastAsia="Calibri" w:hAnsi="Calibri" w:cs="Times New Roman"/>
      <w:lang w:val="id-ID"/>
    </w:rPr>
  </w:style>
  <w:style w:type="character" w:customStyle="1" w:styleId="Heading1Char">
    <w:name w:val="Heading 1 Char"/>
    <w:aliases w:val="1 BAB Char"/>
    <w:basedOn w:val="DefaultParagraphFont"/>
    <w:link w:val="Heading1"/>
    <w:uiPriority w:val="9"/>
    <w:rsid w:val="00CE4C92"/>
    <w:rPr>
      <w:rFonts w:ascii="Minion Pro" w:eastAsiaTheme="majorEastAsia" w:hAnsi="Minion Pro" w:cstheme="majorBidi"/>
      <w:b/>
      <w:bCs/>
      <w:caps/>
      <w:szCs w:val="28"/>
      <w:lang w:val="en-GB"/>
    </w:rPr>
  </w:style>
  <w:style w:type="character" w:customStyle="1" w:styleId="Heading2Char">
    <w:name w:val="Heading 2 Char"/>
    <w:aliases w:val="3 ISI Char"/>
    <w:basedOn w:val="DefaultParagraphFont"/>
    <w:link w:val="Heading2"/>
    <w:uiPriority w:val="9"/>
    <w:rsid w:val="00CE4C92"/>
    <w:rPr>
      <w:rFonts w:ascii="Minion Pro" w:hAnsi="Minion Pro"/>
      <w:bCs/>
      <w:lang w:val="en-GB"/>
    </w:rPr>
  </w:style>
  <w:style w:type="character" w:customStyle="1" w:styleId="Heading7Char">
    <w:name w:val="Heading 7 Char"/>
    <w:aliases w:val="7 DAFTAR PUSTAKA Char"/>
    <w:basedOn w:val="DefaultParagraphFont"/>
    <w:link w:val="Heading7"/>
    <w:uiPriority w:val="9"/>
    <w:rsid w:val="00CE4C92"/>
    <w:rPr>
      <w:rFonts w:ascii="Minion Pro" w:hAnsi="Minion Pro"/>
      <w:sz w:val="20"/>
      <w:lang w:val="id-ID"/>
    </w:rPr>
  </w:style>
  <w:style w:type="paragraph" w:customStyle="1" w:styleId="Tabel">
    <w:name w:val="Tabel"/>
    <w:basedOn w:val="Normal"/>
    <w:link w:val="TabelChar"/>
    <w:qFormat/>
    <w:rsid w:val="00222E62"/>
    <w:pPr>
      <w:tabs>
        <w:tab w:val="left" w:pos="0"/>
      </w:tabs>
      <w:spacing w:after="0" w:line="240" w:lineRule="auto"/>
      <w:contextualSpacing/>
      <w:jc w:val="center"/>
    </w:pPr>
    <w:rPr>
      <w:rFonts w:ascii="TimesNewRoman" w:eastAsia="Times New Roman" w:hAnsi="TimesNewRoman" w:cs="TimesNewRoman"/>
      <w:b/>
      <w:lang w:val="id-ID"/>
    </w:rPr>
  </w:style>
  <w:style w:type="character" w:customStyle="1" w:styleId="TabelChar">
    <w:name w:val="Tabel Char"/>
    <w:link w:val="Tabel"/>
    <w:rsid w:val="00222E62"/>
    <w:rPr>
      <w:rFonts w:ascii="TimesNewRoman" w:eastAsia="Times New Roman" w:hAnsi="TimesNewRoman" w:cs="TimesNewRoman"/>
      <w:b/>
      <w:lang w:val="id-ID"/>
    </w:rPr>
  </w:style>
  <w:style w:type="paragraph" w:styleId="Caption">
    <w:name w:val="caption"/>
    <w:basedOn w:val="Normal"/>
    <w:next w:val="Normal"/>
    <w:uiPriority w:val="35"/>
    <w:unhideWhenUsed/>
    <w:qFormat/>
    <w:rsid w:val="00C8078F"/>
    <w:pPr>
      <w:spacing w:line="240" w:lineRule="auto"/>
    </w:pPr>
    <w:rPr>
      <w:i/>
      <w:iCs/>
      <w:color w:val="44546A" w:themeColor="text2"/>
      <w:sz w:val="18"/>
      <w:szCs w:val="18"/>
    </w:rPr>
  </w:style>
  <w:style w:type="paragraph" w:styleId="NoSpacing">
    <w:name w:val="No Spacing"/>
    <w:uiPriority w:val="1"/>
    <w:qFormat/>
    <w:rsid w:val="00020A57"/>
    <w:pPr>
      <w:spacing w:after="0" w:line="240" w:lineRule="auto"/>
      <w:jc w:val="both"/>
    </w:pPr>
    <w:rPr>
      <w:rFonts w:ascii="Minion Pro" w:hAnsi="Minion Pro"/>
      <w:lang w:val="en-US"/>
    </w:rPr>
  </w:style>
  <w:style w:type="table" w:customStyle="1" w:styleId="Style59">
    <w:name w:val="_Style 59"/>
    <w:basedOn w:val="TableNormal"/>
    <w:qFormat/>
    <w:rsid w:val="00502743"/>
    <w:pPr>
      <w:spacing w:after="0" w:line="240" w:lineRule="auto"/>
    </w:pPr>
    <w:rPr>
      <w:rFonts w:ascii="Times New Roman" w:eastAsia="Times New Roman" w:hAnsi="Times New Roman" w:cs="Times New Roman"/>
      <w:sz w:val="20"/>
      <w:szCs w:val="20"/>
      <w:lang w:eastAsia="en-ID"/>
    </w:rPr>
    <w:tblPr>
      <w:tblCellMar>
        <w:left w:w="115" w:type="dxa"/>
        <w:right w:w="115" w:type="dxa"/>
      </w:tblCellMar>
    </w:tblPr>
  </w:style>
  <w:style w:type="table" w:customStyle="1" w:styleId="Style60">
    <w:name w:val="_Style 60"/>
    <w:basedOn w:val="TableNormal"/>
    <w:qFormat/>
    <w:rsid w:val="00502743"/>
    <w:pPr>
      <w:spacing w:after="0" w:line="240" w:lineRule="auto"/>
    </w:pPr>
    <w:rPr>
      <w:rFonts w:ascii="Times New Roman" w:eastAsia="Times New Roman" w:hAnsi="Times New Roman" w:cs="Times New Roman"/>
      <w:sz w:val="20"/>
      <w:szCs w:val="20"/>
      <w:lang w:eastAsia="en-ID"/>
    </w:rPr>
    <w:tblPr>
      <w:tblCellMar>
        <w:left w:w="115" w:type="dxa"/>
        <w:right w:w="115" w:type="dxa"/>
      </w:tblCellMar>
    </w:tblPr>
  </w:style>
  <w:style w:type="table" w:customStyle="1" w:styleId="Style61">
    <w:name w:val="_Style 61"/>
    <w:basedOn w:val="TableNormal"/>
    <w:rsid w:val="00502743"/>
    <w:pPr>
      <w:spacing w:after="0" w:line="240" w:lineRule="auto"/>
    </w:pPr>
    <w:rPr>
      <w:rFonts w:ascii="Times New Roman" w:eastAsia="Times New Roman" w:hAnsi="Times New Roman" w:cs="Times New Roman"/>
      <w:sz w:val="20"/>
      <w:szCs w:val="20"/>
      <w:lang w:eastAsia="en-ID"/>
    </w:rPr>
    <w:tblPr>
      <w:tblCellMar>
        <w:left w:w="115" w:type="dxa"/>
        <w:right w:w="115" w:type="dxa"/>
      </w:tblCellMar>
    </w:tblPr>
  </w:style>
  <w:style w:type="table" w:customStyle="1" w:styleId="Style62">
    <w:name w:val="_Style 62"/>
    <w:basedOn w:val="TableNormal"/>
    <w:qFormat/>
    <w:rsid w:val="00ED28BF"/>
    <w:pPr>
      <w:spacing w:after="0" w:line="240" w:lineRule="auto"/>
    </w:pPr>
    <w:rPr>
      <w:rFonts w:ascii="Times New Roman" w:eastAsia="Times New Roman" w:hAnsi="Times New Roman" w:cs="Times New Roman"/>
      <w:sz w:val="20"/>
      <w:szCs w:val="20"/>
      <w:lang w:eastAsia="en-ID"/>
    </w:rPr>
    <w:tblPr>
      <w:tblCellMar>
        <w:left w:w="115" w:type="dxa"/>
        <w:right w:w="115" w:type="dxa"/>
      </w:tblCellMar>
    </w:tblPr>
  </w:style>
  <w:style w:type="table" w:customStyle="1" w:styleId="Style63">
    <w:name w:val="_Style 63"/>
    <w:basedOn w:val="TableNormal"/>
    <w:qFormat/>
    <w:rsid w:val="005C24CC"/>
    <w:pPr>
      <w:spacing w:after="0" w:line="240" w:lineRule="auto"/>
    </w:pPr>
    <w:rPr>
      <w:rFonts w:ascii="Times New Roman" w:eastAsia="Times New Roman" w:hAnsi="Times New Roman" w:cs="Times New Roman"/>
      <w:sz w:val="20"/>
      <w:szCs w:val="20"/>
      <w:lang w:eastAsia="en-ID"/>
    </w:rPr>
    <w:tblPr>
      <w:tblCellMar>
        <w:top w:w="100" w:type="dxa"/>
        <w:left w:w="100" w:type="dxa"/>
        <w:bottom w:w="100" w:type="dxa"/>
        <w:right w:w="100" w:type="dxa"/>
      </w:tblCellMar>
    </w:tblPr>
  </w:style>
  <w:style w:type="character" w:customStyle="1" w:styleId="Heading3Char">
    <w:name w:val="Heading 3 Char"/>
    <w:basedOn w:val="DefaultParagraphFont"/>
    <w:link w:val="Heading3"/>
    <w:uiPriority w:val="9"/>
    <w:semiHidden/>
    <w:rsid w:val="00C9429A"/>
    <w:rPr>
      <w:rFonts w:asciiTheme="majorHAnsi" w:eastAsiaTheme="majorEastAsia" w:hAnsiTheme="majorHAnsi" w:cstheme="majorBidi"/>
      <w:color w:val="1F3763" w:themeColor="accent1" w:themeShade="7F"/>
      <w:sz w:val="24"/>
      <w:szCs w:val="24"/>
      <w:lang w:val="en-US"/>
    </w:rPr>
  </w:style>
  <w:style w:type="character" w:styleId="UnresolvedMention">
    <w:name w:val="Unresolved Mention"/>
    <w:basedOn w:val="DefaultParagraphFont"/>
    <w:uiPriority w:val="99"/>
    <w:semiHidden/>
    <w:unhideWhenUsed/>
    <w:rsid w:val="007D0214"/>
    <w:rPr>
      <w:color w:val="605E5C"/>
      <w:shd w:val="clear" w:color="auto" w:fill="E1DFDD"/>
    </w:rPr>
  </w:style>
  <w:style w:type="character" w:styleId="CommentReference">
    <w:name w:val="annotation reference"/>
    <w:basedOn w:val="DefaultParagraphFont"/>
    <w:uiPriority w:val="99"/>
    <w:semiHidden/>
    <w:unhideWhenUsed/>
    <w:rsid w:val="0001504B"/>
    <w:rPr>
      <w:sz w:val="16"/>
      <w:szCs w:val="16"/>
    </w:rPr>
  </w:style>
  <w:style w:type="paragraph" w:styleId="CommentText">
    <w:name w:val="annotation text"/>
    <w:basedOn w:val="Normal"/>
    <w:link w:val="CommentTextChar"/>
    <w:uiPriority w:val="99"/>
    <w:unhideWhenUsed/>
    <w:rsid w:val="0001504B"/>
    <w:pPr>
      <w:spacing w:line="240" w:lineRule="auto"/>
    </w:pPr>
    <w:rPr>
      <w:sz w:val="20"/>
      <w:szCs w:val="20"/>
    </w:rPr>
  </w:style>
  <w:style w:type="character" w:customStyle="1" w:styleId="CommentTextChar">
    <w:name w:val="Comment Text Char"/>
    <w:basedOn w:val="DefaultParagraphFont"/>
    <w:link w:val="CommentText"/>
    <w:uiPriority w:val="99"/>
    <w:rsid w:val="0001504B"/>
    <w:rPr>
      <w:rFonts w:ascii="Minion Pro" w:hAnsi="Minion Pro"/>
      <w:sz w:val="20"/>
      <w:szCs w:val="20"/>
      <w:lang w:val="en-US"/>
    </w:rPr>
  </w:style>
  <w:style w:type="paragraph" w:styleId="CommentSubject">
    <w:name w:val="annotation subject"/>
    <w:basedOn w:val="CommentText"/>
    <w:next w:val="CommentText"/>
    <w:link w:val="CommentSubjectChar"/>
    <w:uiPriority w:val="99"/>
    <w:semiHidden/>
    <w:unhideWhenUsed/>
    <w:rsid w:val="0001504B"/>
    <w:rPr>
      <w:b/>
      <w:bCs/>
    </w:rPr>
  </w:style>
  <w:style w:type="character" w:customStyle="1" w:styleId="CommentSubjectChar">
    <w:name w:val="Comment Subject Char"/>
    <w:basedOn w:val="CommentTextChar"/>
    <w:link w:val="CommentSubject"/>
    <w:uiPriority w:val="99"/>
    <w:semiHidden/>
    <w:rsid w:val="0001504B"/>
    <w:rPr>
      <w:rFonts w:ascii="Minion Pro" w:hAnsi="Minion Pro"/>
      <w:b/>
      <w:bCs/>
      <w:sz w:val="20"/>
      <w:szCs w:val="20"/>
      <w:lang w:val="en-US"/>
    </w:rPr>
  </w:style>
  <w:style w:type="table" w:styleId="PlainTable3">
    <w:name w:val="Plain Table 3"/>
    <w:basedOn w:val="TableNormal"/>
    <w:uiPriority w:val="43"/>
    <w:rsid w:val="00F665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F665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665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657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
    <w:name w:val="Grid Table 2"/>
    <w:basedOn w:val="TableNormal"/>
    <w:uiPriority w:val="47"/>
    <w:rsid w:val="00F665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F6657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622A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
    <w:name w:val="List Table 7 Colorful"/>
    <w:basedOn w:val="TableNormal"/>
    <w:uiPriority w:val="52"/>
    <w:rsid w:val="00A842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842FD"/>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842F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4">
    <w:name w:val="List Table 6 Colorful Accent 4"/>
    <w:basedOn w:val="TableNormal"/>
    <w:uiPriority w:val="51"/>
    <w:rsid w:val="00A842FD"/>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
    <w:name w:val="List Table 6 Colorful"/>
    <w:basedOn w:val="TableNormal"/>
    <w:uiPriority w:val="51"/>
    <w:rsid w:val="00A842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A842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AB13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6Colorful-Accent3">
    <w:name w:val="Grid Table 6 Colorful Accent 3"/>
    <w:basedOn w:val="TableNormal"/>
    <w:uiPriority w:val="51"/>
    <w:rsid w:val="00AB135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
    <w:name w:val="List Table 2"/>
    <w:basedOn w:val="TableNormal"/>
    <w:uiPriority w:val="47"/>
    <w:rsid w:val="00AB135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F35E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D57D47"/>
    <w:rPr>
      <w:color w:val="954F72" w:themeColor="followedHyperlink"/>
      <w:u w:val="single"/>
    </w:rPr>
  </w:style>
  <w:style w:type="character" w:styleId="Strong">
    <w:name w:val="Strong"/>
    <w:basedOn w:val="DefaultParagraphFont"/>
    <w:uiPriority w:val="22"/>
    <w:qFormat/>
    <w:rsid w:val="00350031"/>
    <w:rPr>
      <w:b/>
      <w:bCs/>
    </w:rPr>
  </w:style>
  <w:style w:type="character" w:customStyle="1" w:styleId="apple-converted-space">
    <w:name w:val="apple-converted-space"/>
    <w:basedOn w:val="DefaultParagraphFont"/>
    <w:rsid w:val="00686055"/>
  </w:style>
  <w:style w:type="paragraph" w:styleId="EndnoteText">
    <w:name w:val="endnote text"/>
    <w:basedOn w:val="Normal"/>
    <w:link w:val="EndnoteTextChar"/>
    <w:uiPriority w:val="99"/>
    <w:semiHidden/>
    <w:unhideWhenUsed/>
    <w:rsid w:val="003C09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0957"/>
    <w:rPr>
      <w:rFonts w:ascii="Minion Pro" w:hAnsi="Minion Pro"/>
      <w:sz w:val="20"/>
      <w:szCs w:val="20"/>
      <w:lang w:val="en-US"/>
    </w:rPr>
  </w:style>
  <w:style w:type="character" w:styleId="EndnoteReference">
    <w:name w:val="endnote reference"/>
    <w:basedOn w:val="DefaultParagraphFont"/>
    <w:uiPriority w:val="99"/>
    <w:semiHidden/>
    <w:unhideWhenUsed/>
    <w:rsid w:val="003C09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0737">
      <w:bodyDiv w:val="1"/>
      <w:marLeft w:val="0"/>
      <w:marRight w:val="0"/>
      <w:marTop w:val="0"/>
      <w:marBottom w:val="0"/>
      <w:divBdr>
        <w:top w:val="none" w:sz="0" w:space="0" w:color="auto"/>
        <w:left w:val="none" w:sz="0" w:space="0" w:color="auto"/>
        <w:bottom w:val="none" w:sz="0" w:space="0" w:color="auto"/>
        <w:right w:val="none" w:sz="0" w:space="0" w:color="auto"/>
      </w:divBdr>
    </w:div>
    <w:div w:id="164828991">
      <w:bodyDiv w:val="1"/>
      <w:marLeft w:val="0"/>
      <w:marRight w:val="0"/>
      <w:marTop w:val="0"/>
      <w:marBottom w:val="0"/>
      <w:divBdr>
        <w:top w:val="none" w:sz="0" w:space="0" w:color="auto"/>
        <w:left w:val="none" w:sz="0" w:space="0" w:color="auto"/>
        <w:bottom w:val="none" w:sz="0" w:space="0" w:color="auto"/>
        <w:right w:val="none" w:sz="0" w:space="0" w:color="auto"/>
      </w:divBdr>
    </w:div>
    <w:div w:id="239944223">
      <w:bodyDiv w:val="1"/>
      <w:marLeft w:val="0"/>
      <w:marRight w:val="0"/>
      <w:marTop w:val="0"/>
      <w:marBottom w:val="0"/>
      <w:divBdr>
        <w:top w:val="none" w:sz="0" w:space="0" w:color="auto"/>
        <w:left w:val="none" w:sz="0" w:space="0" w:color="auto"/>
        <w:bottom w:val="none" w:sz="0" w:space="0" w:color="auto"/>
        <w:right w:val="none" w:sz="0" w:space="0" w:color="auto"/>
      </w:divBdr>
    </w:div>
    <w:div w:id="258217602">
      <w:bodyDiv w:val="1"/>
      <w:marLeft w:val="0"/>
      <w:marRight w:val="0"/>
      <w:marTop w:val="0"/>
      <w:marBottom w:val="0"/>
      <w:divBdr>
        <w:top w:val="none" w:sz="0" w:space="0" w:color="auto"/>
        <w:left w:val="none" w:sz="0" w:space="0" w:color="auto"/>
        <w:bottom w:val="none" w:sz="0" w:space="0" w:color="auto"/>
        <w:right w:val="none" w:sz="0" w:space="0" w:color="auto"/>
      </w:divBdr>
      <w:divsChild>
        <w:div w:id="1088427270">
          <w:marLeft w:val="0"/>
          <w:marRight w:val="0"/>
          <w:marTop w:val="0"/>
          <w:marBottom w:val="0"/>
          <w:divBdr>
            <w:top w:val="none" w:sz="0" w:space="0" w:color="auto"/>
            <w:left w:val="none" w:sz="0" w:space="0" w:color="auto"/>
            <w:bottom w:val="none" w:sz="0" w:space="0" w:color="auto"/>
            <w:right w:val="none" w:sz="0" w:space="0" w:color="auto"/>
          </w:divBdr>
        </w:div>
      </w:divsChild>
    </w:div>
    <w:div w:id="333385016">
      <w:bodyDiv w:val="1"/>
      <w:marLeft w:val="0"/>
      <w:marRight w:val="0"/>
      <w:marTop w:val="0"/>
      <w:marBottom w:val="0"/>
      <w:divBdr>
        <w:top w:val="none" w:sz="0" w:space="0" w:color="auto"/>
        <w:left w:val="none" w:sz="0" w:space="0" w:color="auto"/>
        <w:bottom w:val="none" w:sz="0" w:space="0" w:color="auto"/>
        <w:right w:val="none" w:sz="0" w:space="0" w:color="auto"/>
      </w:divBdr>
      <w:divsChild>
        <w:div w:id="1889995117">
          <w:marLeft w:val="0"/>
          <w:marRight w:val="0"/>
          <w:marTop w:val="0"/>
          <w:marBottom w:val="0"/>
          <w:divBdr>
            <w:top w:val="none" w:sz="0" w:space="0" w:color="auto"/>
            <w:left w:val="none" w:sz="0" w:space="0" w:color="auto"/>
            <w:bottom w:val="none" w:sz="0" w:space="0" w:color="auto"/>
            <w:right w:val="none" w:sz="0" w:space="0" w:color="auto"/>
          </w:divBdr>
        </w:div>
      </w:divsChild>
    </w:div>
    <w:div w:id="647593487">
      <w:bodyDiv w:val="1"/>
      <w:marLeft w:val="0"/>
      <w:marRight w:val="0"/>
      <w:marTop w:val="0"/>
      <w:marBottom w:val="0"/>
      <w:divBdr>
        <w:top w:val="none" w:sz="0" w:space="0" w:color="auto"/>
        <w:left w:val="none" w:sz="0" w:space="0" w:color="auto"/>
        <w:bottom w:val="none" w:sz="0" w:space="0" w:color="auto"/>
        <w:right w:val="none" w:sz="0" w:space="0" w:color="auto"/>
      </w:divBdr>
    </w:div>
    <w:div w:id="757016751">
      <w:bodyDiv w:val="1"/>
      <w:marLeft w:val="0"/>
      <w:marRight w:val="0"/>
      <w:marTop w:val="0"/>
      <w:marBottom w:val="0"/>
      <w:divBdr>
        <w:top w:val="none" w:sz="0" w:space="0" w:color="auto"/>
        <w:left w:val="none" w:sz="0" w:space="0" w:color="auto"/>
        <w:bottom w:val="none" w:sz="0" w:space="0" w:color="auto"/>
        <w:right w:val="none" w:sz="0" w:space="0" w:color="auto"/>
      </w:divBdr>
    </w:div>
    <w:div w:id="923297240">
      <w:bodyDiv w:val="1"/>
      <w:marLeft w:val="0"/>
      <w:marRight w:val="0"/>
      <w:marTop w:val="0"/>
      <w:marBottom w:val="0"/>
      <w:divBdr>
        <w:top w:val="none" w:sz="0" w:space="0" w:color="auto"/>
        <w:left w:val="none" w:sz="0" w:space="0" w:color="auto"/>
        <w:bottom w:val="none" w:sz="0" w:space="0" w:color="auto"/>
        <w:right w:val="none" w:sz="0" w:space="0" w:color="auto"/>
      </w:divBdr>
      <w:divsChild>
        <w:div w:id="865094808">
          <w:marLeft w:val="0"/>
          <w:marRight w:val="0"/>
          <w:marTop w:val="0"/>
          <w:marBottom w:val="0"/>
          <w:divBdr>
            <w:top w:val="none" w:sz="0" w:space="0" w:color="auto"/>
            <w:left w:val="none" w:sz="0" w:space="0" w:color="auto"/>
            <w:bottom w:val="none" w:sz="0" w:space="0" w:color="auto"/>
            <w:right w:val="none" w:sz="0" w:space="0" w:color="auto"/>
          </w:divBdr>
        </w:div>
        <w:div w:id="665522420">
          <w:marLeft w:val="0"/>
          <w:marRight w:val="0"/>
          <w:marTop w:val="0"/>
          <w:marBottom w:val="0"/>
          <w:divBdr>
            <w:top w:val="none" w:sz="0" w:space="0" w:color="auto"/>
            <w:left w:val="none" w:sz="0" w:space="0" w:color="auto"/>
            <w:bottom w:val="none" w:sz="0" w:space="0" w:color="auto"/>
            <w:right w:val="none" w:sz="0" w:space="0" w:color="auto"/>
          </w:divBdr>
          <w:divsChild>
            <w:div w:id="2134250318">
              <w:marLeft w:val="0"/>
              <w:marRight w:val="0"/>
              <w:marTop w:val="0"/>
              <w:marBottom w:val="0"/>
              <w:divBdr>
                <w:top w:val="none" w:sz="0" w:space="0" w:color="auto"/>
                <w:left w:val="none" w:sz="0" w:space="0" w:color="auto"/>
                <w:bottom w:val="none" w:sz="0" w:space="0" w:color="auto"/>
                <w:right w:val="none" w:sz="0" w:space="0" w:color="auto"/>
              </w:divBdr>
              <w:divsChild>
                <w:div w:id="3526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3570">
          <w:marLeft w:val="0"/>
          <w:marRight w:val="0"/>
          <w:marTop w:val="0"/>
          <w:marBottom w:val="0"/>
          <w:divBdr>
            <w:top w:val="none" w:sz="0" w:space="0" w:color="auto"/>
            <w:left w:val="none" w:sz="0" w:space="0" w:color="auto"/>
            <w:bottom w:val="none" w:sz="0" w:space="0" w:color="auto"/>
            <w:right w:val="none" w:sz="0" w:space="0" w:color="auto"/>
          </w:divBdr>
          <w:divsChild>
            <w:div w:id="1958830785">
              <w:marLeft w:val="0"/>
              <w:marRight w:val="0"/>
              <w:marTop w:val="60"/>
              <w:marBottom w:val="0"/>
              <w:divBdr>
                <w:top w:val="none" w:sz="0" w:space="0" w:color="auto"/>
                <w:left w:val="none" w:sz="0" w:space="0" w:color="auto"/>
                <w:bottom w:val="none" w:sz="0" w:space="0" w:color="auto"/>
                <w:right w:val="none" w:sz="0" w:space="0" w:color="auto"/>
              </w:divBdr>
            </w:div>
          </w:divsChild>
        </w:div>
        <w:div w:id="1698234812">
          <w:marLeft w:val="0"/>
          <w:marRight w:val="0"/>
          <w:marTop w:val="0"/>
          <w:marBottom w:val="0"/>
          <w:divBdr>
            <w:top w:val="none" w:sz="0" w:space="0" w:color="auto"/>
            <w:left w:val="none" w:sz="0" w:space="0" w:color="auto"/>
            <w:bottom w:val="none" w:sz="0" w:space="0" w:color="auto"/>
            <w:right w:val="none" w:sz="0" w:space="0" w:color="auto"/>
          </w:divBdr>
        </w:div>
        <w:div w:id="621379321">
          <w:marLeft w:val="0"/>
          <w:marRight w:val="0"/>
          <w:marTop w:val="0"/>
          <w:marBottom w:val="0"/>
          <w:divBdr>
            <w:top w:val="none" w:sz="0" w:space="0" w:color="auto"/>
            <w:left w:val="none" w:sz="0" w:space="0" w:color="auto"/>
            <w:bottom w:val="none" w:sz="0" w:space="0" w:color="auto"/>
            <w:right w:val="none" w:sz="0" w:space="0" w:color="auto"/>
          </w:divBdr>
          <w:divsChild>
            <w:div w:id="1672247459">
              <w:marLeft w:val="0"/>
              <w:marRight w:val="0"/>
              <w:marTop w:val="0"/>
              <w:marBottom w:val="0"/>
              <w:divBdr>
                <w:top w:val="none" w:sz="0" w:space="0" w:color="auto"/>
                <w:left w:val="none" w:sz="0" w:space="0" w:color="auto"/>
                <w:bottom w:val="none" w:sz="0" w:space="0" w:color="auto"/>
                <w:right w:val="none" w:sz="0" w:space="0" w:color="auto"/>
              </w:divBdr>
              <w:divsChild>
                <w:div w:id="912357057">
                  <w:marLeft w:val="0"/>
                  <w:marRight w:val="0"/>
                  <w:marTop w:val="0"/>
                  <w:marBottom w:val="0"/>
                  <w:divBdr>
                    <w:top w:val="none" w:sz="0" w:space="0" w:color="auto"/>
                    <w:left w:val="none" w:sz="0" w:space="0" w:color="auto"/>
                    <w:bottom w:val="none" w:sz="0" w:space="0" w:color="auto"/>
                    <w:right w:val="none" w:sz="0" w:space="0" w:color="auto"/>
                  </w:divBdr>
                  <w:divsChild>
                    <w:div w:id="36537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19558">
      <w:bodyDiv w:val="1"/>
      <w:marLeft w:val="0"/>
      <w:marRight w:val="0"/>
      <w:marTop w:val="0"/>
      <w:marBottom w:val="0"/>
      <w:divBdr>
        <w:top w:val="none" w:sz="0" w:space="0" w:color="auto"/>
        <w:left w:val="none" w:sz="0" w:space="0" w:color="auto"/>
        <w:bottom w:val="none" w:sz="0" w:space="0" w:color="auto"/>
        <w:right w:val="none" w:sz="0" w:space="0" w:color="auto"/>
      </w:divBdr>
    </w:div>
    <w:div w:id="1118720527">
      <w:bodyDiv w:val="1"/>
      <w:marLeft w:val="0"/>
      <w:marRight w:val="0"/>
      <w:marTop w:val="0"/>
      <w:marBottom w:val="0"/>
      <w:divBdr>
        <w:top w:val="none" w:sz="0" w:space="0" w:color="auto"/>
        <w:left w:val="none" w:sz="0" w:space="0" w:color="auto"/>
        <w:bottom w:val="none" w:sz="0" w:space="0" w:color="auto"/>
        <w:right w:val="none" w:sz="0" w:space="0" w:color="auto"/>
      </w:divBdr>
    </w:div>
    <w:div w:id="1140654712">
      <w:bodyDiv w:val="1"/>
      <w:marLeft w:val="0"/>
      <w:marRight w:val="0"/>
      <w:marTop w:val="0"/>
      <w:marBottom w:val="0"/>
      <w:divBdr>
        <w:top w:val="none" w:sz="0" w:space="0" w:color="auto"/>
        <w:left w:val="none" w:sz="0" w:space="0" w:color="auto"/>
        <w:bottom w:val="none" w:sz="0" w:space="0" w:color="auto"/>
        <w:right w:val="none" w:sz="0" w:space="0" w:color="auto"/>
      </w:divBdr>
      <w:divsChild>
        <w:div w:id="287512825">
          <w:marLeft w:val="0"/>
          <w:marRight w:val="0"/>
          <w:marTop w:val="0"/>
          <w:marBottom w:val="0"/>
          <w:divBdr>
            <w:top w:val="none" w:sz="0" w:space="0" w:color="auto"/>
            <w:left w:val="none" w:sz="0" w:space="0" w:color="auto"/>
            <w:bottom w:val="none" w:sz="0" w:space="0" w:color="auto"/>
            <w:right w:val="none" w:sz="0" w:space="0" w:color="auto"/>
          </w:divBdr>
        </w:div>
        <w:div w:id="2029870621">
          <w:marLeft w:val="0"/>
          <w:marRight w:val="0"/>
          <w:marTop w:val="0"/>
          <w:marBottom w:val="0"/>
          <w:divBdr>
            <w:top w:val="none" w:sz="0" w:space="0" w:color="auto"/>
            <w:left w:val="none" w:sz="0" w:space="0" w:color="auto"/>
            <w:bottom w:val="none" w:sz="0" w:space="0" w:color="auto"/>
            <w:right w:val="none" w:sz="0" w:space="0" w:color="auto"/>
          </w:divBdr>
          <w:divsChild>
            <w:div w:id="1127042547">
              <w:marLeft w:val="0"/>
              <w:marRight w:val="0"/>
              <w:marTop w:val="0"/>
              <w:marBottom w:val="0"/>
              <w:divBdr>
                <w:top w:val="none" w:sz="0" w:space="0" w:color="auto"/>
                <w:left w:val="none" w:sz="0" w:space="0" w:color="auto"/>
                <w:bottom w:val="none" w:sz="0" w:space="0" w:color="auto"/>
                <w:right w:val="none" w:sz="0" w:space="0" w:color="auto"/>
              </w:divBdr>
              <w:divsChild>
                <w:div w:id="6771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61168">
          <w:marLeft w:val="0"/>
          <w:marRight w:val="0"/>
          <w:marTop w:val="0"/>
          <w:marBottom w:val="0"/>
          <w:divBdr>
            <w:top w:val="none" w:sz="0" w:space="0" w:color="auto"/>
            <w:left w:val="none" w:sz="0" w:space="0" w:color="auto"/>
            <w:bottom w:val="none" w:sz="0" w:space="0" w:color="auto"/>
            <w:right w:val="none" w:sz="0" w:space="0" w:color="auto"/>
          </w:divBdr>
          <w:divsChild>
            <w:div w:id="263347833">
              <w:marLeft w:val="0"/>
              <w:marRight w:val="0"/>
              <w:marTop w:val="60"/>
              <w:marBottom w:val="0"/>
              <w:divBdr>
                <w:top w:val="none" w:sz="0" w:space="0" w:color="auto"/>
                <w:left w:val="none" w:sz="0" w:space="0" w:color="auto"/>
                <w:bottom w:val="none" w:sz="0" w:space="0" w:color="auto"/>
                <w:right w:val="none" w:sz="0" w:space="0" w:color="auto"/>
              </w:divBdr>
            </w:div>
          </w:divsChild>
        </w:div>
        <w:div w:id="580604982">
          <w:marLeft w:val="0"/>
          <w:marRight w:val="0"/>
          <w:marTop w:val="0"/>
          <w:marBottom w:val="0"/>
          <w:divBdr>
            <w:top w:val="none" w:sz="0" w:space="0" w:color="auto"/>
            <w:left w:val="none" w:sz="0" w:space="0" w:color="auto"/>
            <w:bottom w:val="none" w:sz="0" w:space="0" w:color="auto"/>
            <w:right w:val="none" w:sz="0" w:space="0" w:color="auto"/>
          </w:divBdr>
        </w:div>
        <w:div w:id="1365784351">
          <w:marLeft w:val="0"/>
          <w:marRight w:val="0"/>
          <w:marTop w:val="0"/>
          <w:marBottom w:val="0"/>
          <w:divBdr>
            <w:top w:val="none" w:sz="0" w:space="0" w:color="auto"/>
            <w:left w:val="none" w:sz="0" w:space="0" w:color="auto"/>
            <w:bottom w:val="none" w:sz="0" w:space="0" w:color="auto"/>
            <w:right w:val="none" w:sz="0" w:space="0" w:color="auto"/>
          </w:divBdr>
          <w:divsChild>
            <w:div w:id="993290519">
              <w:marLeft w:val="0"/>
              <w:marRight w:val="0"/>
              <w:marTop w:val="0"/>
              <w:marBottom w:val="0"/>
              <w:divBdr>
                <w:top w:val="none" w:sz="0" w:space="0" w:color="auto"/>
                <w:left w:val="none" w:sz="0" w:space="0" w:color="auto"/>
                <w:bottom w:val="none" w:sz="0" w:space="0" w:color="auto"/>
                <w:right w:val="none" w:sz="0" w:space="0" w:color="auto"/>
              </w:divBdr>
              <w:divsChild>
                <w:div w:id="432291159">
                  <w:marLeft w:val="0"/>
                  <w:marRight w:val="0"/>
                  <w:marTop w:val="0"/>
                  <w:marBottom w:val="0"/>
                  <w:divBdr>
                    <w:top w:val="none" w:sz="0" w:space="0" w:color="auto"/>
                    <w:left w:val="none" w:sz="0" w:space="0" w:color="auto"/>
                    <w:bottom w:val="none" w:sz="0" w:space="0" w:color="auto"/>
                    <w:right w:val="none" w:sz="0" w:space="0" w:color="auto"/>
                  </w:divBdr>
                  <w:divsChild>
                    <w:div w:id="11450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83159">
      <w:bodyDiv w:val="1"/>
      <w:marLeft w:val="0"/>
      <w:marRight w:val="0"/>
      <w:marTop w:val="0"/>
      <w:marBottom w:val="0"/>
      <w:divBdr>
        <w:top w:val="none" w:sz="0" w:space="0" w:color="auto"/>
        <w:left w:val="none" w:sz="0" w:space="0" w:color="auto"/>
        <w:bottom w:val="none" w:sz="0" w:space="0" w:color="auto"/>
        <w:right w:val="none" w:sz="0" w:space="0" w:color="auto"/>
      </w:divBdr>
      <w:divsChild>
        <w:div w:id="837770562">
          <w:marLeft w:val="0"/>
          <w:marRight w:val="0"/>
          <w:marTop w:val="0"/>
          <w:marBottom w:val="0"/>
          <w:divBdr>
            <w:top w:val="none" w:sz="0" w:space="0" w:color="auto"/>
            <w:left w:val="none" w:sz="0" w:space="0" w:color="auto"/>
            <w:bottom w:val="none" w:sz="0" w:space="0" w:color="auto"/>
            <w:right w:val="none" w:sz="0" w:space="0" w:color="auto"/>
          </w:divBdr>
        </w:div>
      </w:divsChild>
    </w:div>
    <w:div w:id="1250387836">
      <w:bodyDiv w:val="1"/>
      <w:marLeft w:val="0"/>
      <w:marRight w:val="0"/>
      <w:marTop w:val="0"/>
      <w:marBottom w:val="0"/>
      <w:divBdr>
        <w:top w:val="none" w:sz="0" w:space="0" w:color="auto"/>
        <w:left w:val="none" w:sz="0" w:space="0" w:color="auto"/>
        <w:bottom w:val="none" w:sz="0" w:space="0" w:color="auto"/>
        <w:right w:val="none" w:sz="0" w:space="0" w:color="auto"/>
      </w:divBdr>
    </w:div>
    <w:div w:id="1544831002">
      <w:bodyDiv w:val="1"/>
      <w:marLeft w:val="0"/>
      <w:marRight w:val="0"/>
      <w:marTop w:val="0"/>
      <w:marBottom w:val="0"/>
      <w:divBdr>
        <w:top w:val="none" w:sz="0" w:space="0" w:color="auto"/>
        <w:left w:val="none" w:sz="0" w:space="0" w:color="auto"/>
        <w:bottom w:val="none" w:sz="0" w:space="0" w:color="auto"/>
        <w:right w:val="none" w:sz="0" w:space="0" w:color="auto"/>
      </w:divBdr>
    </w:div>
    <w:div w:id="1635015622">
      <w:bodyDiv w:val="1"/>
      <w:marLeft w:val="0"/>
      <w:marRight w:val="0"/>
      <w:marTop w:val="0"/>
      <w:marBottom w:val="0"/>
      <w:divBdr>
        <w:top w:val="none" w:sz="0" w:space="0" w:color="auto"/>
        <w:left w:val="none" w:sz="0" w:space="0" w:color="auto"/>
        <w:bottom w:val="none" w:sz="0" w:space="0" w:color="auto"/>
        <w:right w:val="none" w:sz="0" w:space="0" w:color="auto"/>
      </w:divBdr>
    </w:div>
    <w:div w:id="1641154245">
      <w:bodyDiv w:val="1"/>
      <w:marLeft w:val="0"/>
      <w:marRight w:val="0"/>
      <w:marTop w:val="0"/>
      <w:marBottom w:val="0"/>
      <w:divBdr>
        <w:top w:val="none" w:sz="0" w:space="0" w:color="auto"/>
        <w:left w:val="none" w:sz="0" w:space="0" w:color="auto"/>
        <w:bottom w:val="none" w:sz="0" w:space="0" w:color="auto"/>
        <w:right w:val="none" w:sz="0" w:space="0" w:color="auto"/>
      </w:divBdr>
    </w:div>
    <w:div w:id="1801915985">
      <w:bodyDiv w:val="1"/>
      <w:marLeft w:val="0"/>
      <w:marRight w:val="0"/>
      <w:marTop w:val="0"/>
      <w:marBottom w:val="0"/>
      <w:divBdr>
        <w:top w:val="none" w:sz="0" w:space="0" w:color="auto"/>
        <w:left w:val="none" w:sz="0" w:space="0" w:color="auto"/>
        <w:bottom w:val="none" w:sz="0" w:space="0" w:color="auto"/>
        <w:right w:val="none" w:sz="0" w:space="0" w:color="auto"/>
      </w:divBdr>
      <w:divsChild>
        <w:div w:id="1144154916">
          <w:marLeft w:val="0"/>
          <w:marRight w:val="0"/>
          <w:marTop w:val="0"/>
          <w:marBottom w:val="0"/>
          <w:divBdr>
            <w:top w:val="none" w:sz="0" w:space="0" w:color="auto"/>
            <w:left w:val="none" w:sz="0" w:space="0" w:color="auto"/>
            <w:bottom w:val="none" w:sz="0" w:space="0" w:color="auto"/>
            <w:right w:val="none" w:sz="0" w:space="0" w:color="auto"/>
          </w:divBdr>
        </w:div>
      </w:divsChild>
    </w:div>
    <w:div w:id="2101635289">
      <w:bodyDiv w:val="1"/>
      <w:marLeft w:val="0"/>
      <w:marRight w:val="0"/>
      <w:marTop w:val="0"/>
      <w:marBottom w:val="0"/>
      <w:divBdr>
        <w:top w:val="none" w:sz="0" w:space="0" w:color="auto"/>
        <w:left w:val="none" w:sz="0" w:space="0" w:color="auto"/>
        <w:bottom w:val="none" w:sz="0" w:space="0" w:color="auto"/>
        <w:right w:val="none" w:sz="0" w:space="0" w:color="auto"/>
      </w:divBdr>
    </w:div>
    <w:div w:id="2116241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areksa.com/"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ps.go.id"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kemenag.go.id/nasional/ada-bpih-bipih-dan-nilai-manfaat-berapa-yang-dibayar-jemaah-haji-pem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go.i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hyperlink" Target="https://www"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ogammulia.com/" TargetMode="External"/><Relationship Id="rId22"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http://ejournal.uinsuka.ac.id/febi/IJIF" TargetMode="External"/><Relationship Id="rId1" Type="http://schemas.openxmlformats.org/officeDocument/2006/relationships/hyperlink" Target="http://aks.uin-suk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955D-41EF-5B42-8377-7EF451D66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28</Pages>
  <Words>8855</Words>
  <Characters>50477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Dwiyan Al Rasyid</dc:creator>
  <cp:keywords/>
  <dc:description/>
  <cp:lastModifiedBy>HP</cp:lastModifiedBy>
  <cp:revision>13</cp:revision>
  <dcterms:created xsi:type="dcterms:W3CDTF">2024-08-30T17:39:00Z</dcterms:created>
  <dcterms:modified xsi:type="dcterms:W3CDTF">2024-09-25T14:09:00Z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e5fe0c102c6a08a4f235ba219fcdd90247f9af440a4d0c4707842be1e5e47418</vt:lpwstr>
  </property>
  <property fmtid="{D5CDD505-2E9C-101B-9397-08002B2CF9AE}" pid="3" name="Mendeley Document_1">
    <vt:lpwstr>True</vt:lpwstr>
  </property>
  <property fmtid="{D5CDD505-2E9C-101B-9397-08002B2CF9AE}" pid="4" name="Mendeley Unique User Id_1">
    <vt:lpwstr>b331bdb6-960f-38b7-aa1d-5b3ceeef7fa1</vt:lpwstr>
  </property>
  <property fmtid="{D5CDD505-2E9C-101B-9397-08002B2CF9AE}" pid="5" name="Mendeley Citation Style_1">
    <vt:lpwstr>http://www.zotero.org/styles/apa</vt:lpwstr>
  </property>
  <property fmtid="{D5CDD505-2E9C-101B-9397-08002B2CF9AE}" pid="6" name="Mendeley Recent Style Id 0_1">
    <vt:lpwstr>http://www.zotero.org/styles/academy-of-management-review</vt:lpwstr>
  </property>
  <property fmtid="{D5CDD505-2E9C-101B-9397-08002B2CF9AE}" pid="7" name="Mendeley Recent Style Name 0_1">
    <vt:lpwstr>Academy of Management Review</vt:lpwstr>
  </property>
  <property fmtid="{D5CDD505-2E9C-101B-9397-08002B2CF9AE}" pid="8" name="Mendeley Recent Style Id 1_1">
    <vt:lpwstr>http://www.zotero.org/styles/american-medical-association</vt:lpwstr>
  </property>
  <property fmtid="{D5CDD505-2E9C-101B-9397-08002B2CF9AE}" pid="9" name="Mendeley Recent Style Name 1_1">
    <vt:lpwstr>American Medical Association 11th edition</vt:lpwstr>
  </property>
  <property fmtid="{D5CDD505-2E9C-101B-9397-08002B2CF9AE}" pid="10" name="Mendeley Recent Style Id 2_1">
    <vt:lpwstr>http://www.zotero.org/styles/american-political-science-association</vt:lpwstr>
  </property>
  <property fmtid="{D5CDD505-2E9C-101B-9397-08002B2CF9AE}" pid="11" name="Mendeley Recent Style Name 2_1">
    <vt:lpwstr>American Political Science Association</vt:lpwstr>
  </property>
  <property fmtid="{D5CDD505-2E9C-101B-9397-08002B2CF9AE}" pid="12" name="Mendeley Recent Style Id 3_1">
    <vt:lpwstr>http://www.zotero.org/styles/apa</vt:lpwstr>
  </property>
  <property fmtid="{D5CDD505-2E9C-101B-9397-08002B2CF9AE}" pid="13" name="Mendeley Recent Style Name 3_1">
    <vt:lpwstr>American Psychological Association 7th edition</vt:lpwstr>
  </property>
  <property fmtid="{D5CDD505-2E9C-101B-9397-08002B2CF9AE}" pid="14" name="Mendeley Recent Style Id 4_1">
    <vt:lpwstr>http://www.zotero.org/styles/american-sociological-association</vt:lpwstr>
  </property>
  <property fmtid="{D5CDD505-2E9C-101B-9397-08002B2CF9AE}" pid="15" name="Mendeley Recent Style Name 4_1">
    <vt:lpwstr>American Sociological Association 6th edition</vt:lpwstr>
  </property>
  <property fmtid="{D5CDD505-2E9C-101B-9397-08002B2CF9AE}" pid="16" name="Mendeley Recent Style Id 5_1">
    <vt:lpwstr>http://www.zotero.org/styles/chicago-author-date</vt:lpwstr>
  </property>
  <property fmtid="{D5CDD505-2E9C-101B-9397-08002B2CF9AE}" pid="17" name="Mendeley Recent Style Name 5_1">
    <vt:lpwstr>Chicago Manual of Style 17th edition (author-date)</vt:lpwstr>
  </property>
  <property fmtid="{D5CDD505-2E9C-101B-9397-08002B2CF9AE}" pid="18" name="Mendeley Recent Style Id 6_1">
    <vt:lpwstr>http://www.zotero.org/styles/harvard-cite-them-right</vt:lpwstr>
  </property>
  <property fmtid="{D5CDD505-2E9C-101B-9397-08002B2CF9AE}" pid="19" name="Mendeley Recent Style Name 6_1">
    <vt:lpwstr>Cite Them Right 10th edition - Harvard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http://www.zotero.org/styles/modern-language-association</vt:lpwstr>
  </property>
  <property fmtid="{D5CDD505-2E9C-101B-9397-08002B2CF9AE}" pid="25" name="Mendeley Recent Style Name 9_1">
    <vt:lpwstr>Modern Language Association 8th edition</vt:lpwstr>
  </property>
</Properties>
</file>