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99B5A" w14:textId="77777777" w:rsidR="00AD3FB3" w:rsidRPr="004D596A" w:rsidRDefault="00AD3FB3" w:rsidP="00AD3FB3">
      <w:pPr>
        <w:spacing w:after="60" w:line="240" w:lineRule="auto"/>
        <w:rPr>
          <w:rFonts w:ascii="Book Antiqua" w:hAnsi="Book Antiqua" w:cs="Times New Roman"/>
          <w:i/>
          <w:iCs/>
        </w:rPr>
      </w:pPr>
    </w:p>
    <w:tbl>
      <w:tblPr>
        <w:tblStyle w:val="TableGrid"/>
        <w:tblW w:w="93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6"/>
      </w:tblGrid>
      <w:tr w:rsidR="00CE4C92" w:rsidRPr="004D596A" w14:paraId="2D36A73B" w14:textId="77777777" w:rsidTr="00AF097F">
        <w:trPr>
          <w:trHeight w:val="2190"/>
        </w:trPr>
        <w:tc>
          <w:tcPr>
            <w:tcW w:w="9396" w:type="dxa"/>
          </w:tcPr>
          <w:p w14:paraId="325E1469" w14:textId="4A244631" w:rsidR="00EE5D86" w:rsidRPr="004D596A" w:rsidRDefault="001E704F" w:rsidP="00E16457">
            <w:pPr>
              <w:ind w:left="-142" w:right="459"/>
              <w:contextualSpacing/>
              <w:jc w:val="center"/>
              <w:rPr>
                <w:rFonts w:ascii="Book Antiqua" w:eastAsia="Calibri" w:hAnsi="Book Antiqua" w:cs="Times New Roman"/>
                <w:b/>
                <w:sz w:val="32"/>
                <w:szCs w:val="32"/>
              </w:rPr>
            </w:pPr>
            <w:r w:rsidRPr="004D596A">
              <w:rPr>
                <w:rFonts w:ascii="Book Antiqua" w:eastAsia="Calibri" w:hAnsi="Book Antiqua" w:cs="Times New Roman"/>
                <w:b/>
                <w:sz w:val="32"/>
                <w:szCs w:val="32"/>
              </w:rPr>
              <w:t xml:space="preserve">Indonesia Sustainable Funding: </w:t>
            </w:r>
            <w:r w:rsidR="00A872C7" w:rsidRPr="004D596A">
              <w:rPr>
                <w:rFonts w:ascii="Book Antiqua" w:eastAsia="Calibri" w:hAnsi="Book Antiqua" w:cs="Times New Roman"/>
                <w:b/>
                <w:sz w:val="32"/>
                <w:szCs w:val="32"/>
              </w:rPr>
              <w:t xml:space="preserve">Comparative of </w:t>
            </w:r>
            <w:proofErr w:type="spellStart"/>
            <w:r w:rsidR="00AE6E3B" w:rsidRPr="004D596A">
              <w:rPr>
                <w:rFonts w:ascii="Book Antiqua" w:eastAsia="Calibri" w:hAnsi="Book Antiqua" w:cs="Times New Roman"/>
                <w:b/>
                <w:sz w:val="32"/>
                <w:szCs w:val="32"/>
              </w:rPr>
              <w:t>Standar</w:t>
            </w:r>
            <w:proofErr w:type="spellEnd"/>
            <w:r w:rsidR="00A03E24" w:rsidRPr="004D596A">
              <w:rPr>
                <w:rFonts w:ascii="Book Antiqua" w:eastAsia="Calibri" w:hAnsi="Book Antiqua" w:cs="Times New Roman"/>
                <w:b/>
                <w:sz w:val="32"/>
                <w:szCs w:val="32"/>
                <w:lang w:val="id-ID"/>
              </w:rPr>
              <w:t>d</w:t>
            </w:r>
            <w:r w:rsidR="00AE6E3B" w:rsidRPr="004D596A">
              <w:rPr>
                <w:rFonts w:ascii="Book Antiqua" w:eastAsia="Calibri" w:hAnsi="Book Antiqua" w:cs="Times New Roman"/>
                <w:b/>
                <w:sz w:val="32"/>
                <w:szCs w:val="32"/>
              </w:rPr>
              <w:t xml:space="preserve"> Screening </w:t>
            </w:r>
            <w:r w:rsidRPr="004D596A">
              <w:rPr>
                <w:rFonts w:ascii="Book Antiqua" w:eastAsia="Calibri" w:hAnsi="Book Antiqua" w:cs="Times New Roman"/>
                <w:b/>
                <w:sz w:val="32"/>
                <w:szCs w:val="32"/>
              </w:rPr>
              <w:t xml:space="preserve">Securities Crowdfunding </w:t>
            </w:r>
            <w:r w:rsidR="002E0753" w:rsidRPr="004D596A">
              <w:rPr>
                <w:rFonts w:ascii="Book Antiqua" w:eastAsia="Calibri" w:hAnsi="Book Antiqua" w:cs="Times New Roman"/>
                <w:b/>
                <w:sz w:val="32"/>
                <w:szCs w:val="32"/>
              </w:rPr>
              <w:t>a</w:t>
            </w:r>
            <w:r w:rsidRPr="004D596A">
              <w:rPr>
                <w:rFonts w:ascii="Book Antiqua" w:eastAsia="Calibri" w:hAnsi="Book Antiqua" w:cs="Times New Roman"/>
                <w:b/>
                <w:sz w:val="32"/>
                <w:szCs w:val="32"/>
              </w:rPr>
              <w:t xml:space="preserve">nd Capital Markets </w:t>
            </w:r>
          </w:p>
          <w:p w14:paraId="72FC1224" w14:textId="77777777" w:rsidR="006D1557" w:rsidRPr="004D596A" w:rsidRDefault="006D1557" w:rsidP="00E16457">
            <w:pPr>
              <w:ind w:left="-142" w:right="459"/>
              <w:contextualSpacing/>
              <w:jc w:val="center"/>
              <w:rPr>
                <w:rFonts w:ascii="Book Antiqua" w:eastAsia="Calibri" w:hAnsi="Book Antiqua" w:cs="Times New Roman"/>
                <w:b/>
              </w:rPr>
            </w:pPr>
          </w:p>
          <w:p w14:paraId="7951E1D6" w14:textId="77777777" w:rsidR="006D1557" w:rsidRPr="004D596A" w:rsidRDefault="006D1557" w:rsidP="00E16457">
            <w:pPr>
              <w:ind w:left="-142" w:right="459"/>
              <w:contextualSpacing/>
              <w:jc w:val="center"/>
              <w:rPr>
                <w:rFonts w:ascii="Book Antiqua" w:hAnsi="Book Antiqua" w:cs="Times New Roman"/>
                <w:b/>
                <w:bCs/>
              </w:rPr>
            </w:pPr>
          </w:p>
          <w:p w14:paraId="61FA9F38" w14:textId="3B714861" w:rsidR="00F56663" w:rsidRPr="004D596A" w:rsidRDefault="00AE6E3B" w:rsidP="004D596A">
            <w:pPr>
              <w:jc w:val="center"/>
              <w:rPr>
                <w:rFonts w:ascii="Book Antiqua" w:eastAsiaTheme="minorEastAsia" w:hAnsi="Book Antiqua"/>
              </w:rPr>
            </w:pPr>
            <w:proofErr w:type="spellStart"/>
            <w:r w:rsidRPr="004D596A">
              <w:rPr>
                <w:rFonts w:ascii="Book Antiqua" w:eastAsiaTheme="minorEastAsia" w:hAnsi="Book Antiqua"/>
              </w:rPr>
              <w:t>Kefi</w:t>
            </w:r>
            <w:proofErr w:type="spellEnd"/>
            <w:r w:rsidRPr="004D596A">
              <w:rPr>
                <w:rFonts w:ascii="Book Antiqua" w:eastAsiaTheme="minorEastAsia" w:hAnsi="Book Antiqua"/>
              </w:rPr>
              <w:t xml:space="preserve"> </w:t>
            </w:r>
            <w:proofErr w:type="spellStart"/>
            <w:r w:rsidRPr="004D596A">
              <w:rPr>
                <w:rFonts w:ascii="Book Antiqua" w:eastAsiaTheme="minorEastAsia" w:hAnsi="Book Antiqua"/>
              </w:rPr>
              <w:t>Miftachul</w:t>
            </w:r>
            <w:proofErr w:type="spellEnd"/>
            <w:r w:rsidRPr="004D596A">
              <w:rPr>
                <w:rFonts w:ascii="Book Antiqua" w:eastAsiaTheme="minorEastAsia" w:hAnsi="Book Antiqua"/>
              </w:rPr>
              <w:t xml:space="preserve"> Ulum</w:t>
            </w:r>
            <w:r w:rsidRPr="004D596A">
              <w:rPr>
                <w:rFonts w:ascii="Book Antiqua" w:eastAsiaTheme="minorEastAsia" w:hAnsi="Book Antiqua"/>
                <w:vertAlign w:val="superscript"/>
              </w:rPr>
              <w:t>1</w:t>
            </w:r>
            <w:r w:rsidR="00F56663" w:rsidRPr="004D596A">
              <w:rPr>
                <w:rFonts w:ascii="Book Antiqua" w:eastAsiaTheme="minorEastAsia" w:hAnsi="Book Antiqua"/>
              </w:rPr>
              <w:t xml:space="preserve">; </w:t>
            </w:r>
            <w:proofErr w:type="spellStart"/>
            <w:r w:rsidRPr="004D596A">
              <w:rPr>
                <w:rFonts w:ascii="Book Antiqua" w:eastAsiaTheme="minorEastAsia" w:hAnsi="Book Antiqua"/>
              </w:rPr>
              <w:t>Maulida</w:t>
            </w:r>
            <w:proofErr w:type="spellEnd"/>
            <w:r w:rsidRPr="004D596A">
              <w:rPr>
                <w:rFonts w:ascii="Book Antiqua" w:eastAsiaTheme="minorEastAsia" w:hAnsi="Book Antiqua"/>
              </w:rPr>
              <w:t xml:space="preserve"> Kh</w:t>
            </w:r>
            <w:r w:rsidR="008B4328" w:rsidRPr="004D596A">
              <w:rPr>
                <w:rFonts w:ascii="Book Antiqua" w:eastAsiaTheme="minorEastAsia" w:hAnsi="Book Antiqua"/>
              </w:rPr>
              <w:t>a</w:t>
            </w:r>
            <w:r w:rsidRPr="004D596A">
              <w:rPr>
                <w:rFonts w:ascii="Book Antiqua" w:eastAsiaTheme="minorEastAsia" w:hAnsi="Book Antiqua"/>
              </w:rPr>
              <w:t>irunnisa</w:t>
            </w:r>
            <w:r w:rsidR="00F56663" w:rsidRPr="004D596A">
              <w:rPr>
                <w:rFonts w:ascii="Book Antiqua" w:eastAsiaTheme="minorEastAsia" w:hAnsi="Book Antiqua"/>
                <w:vertAlign w:val="superscript"/>
              </w:rPr>
              <w:t>2</w:t>
            </w:r>
            <w:r w:rsidR="00F56663" w:rsidRPr="004D596A">
              <w:rPr>
                <w:rFonts w:ascii="Book Antiqua" w:eastAsiaTheme="minorEastAsia" w:hAnsi="Book Antiqua"/>
              </w:rPr>
              <w:t xml:space="preserve">; </w:t>
            </w:r>
            <w:r w:rsidRPr="004D596A">
              <w:rPr>
                <w:rFonts w:ascii="Book Antiqua" w:eastAsiaTheme="minorEastAsia" w:hAnsi="Book Antiqua"/>
              </w:rPr>
              <w:t>Rangga Suganda</w:t>
            </w:r>
            <w:r w:rsidRPr="004D596A">
              <w:rPr>
                <w:rFonts w:ascii="Book Antiqua" w:eastAsiaTheme="minorEastAsia" w:hAnsi="Book Antiqua"/>
                <w:vertAlign w:val="superscript"/>
              </w:rPr>
              <w:t>3</w:t>
            </w:r>
            <w:r w:rsidR="0028689C">
              <w:rPr>
                <w:rFonts w:ascii="Book Antiqua" w:eastAsiaTheme="minorEastAsia" w:hAnsi="Book Antiqua"/>
              </w:rPr>
              <w:t>;</w:t>
            </w:r>
            <w:r w:rsidRPr="004D596A">
              <w:rPr>
                <w:rFonts w:ascii="Book Antiqua" w:eastAsiaTheme="minorEastAsia" w:hAnsi="Book Antiqua"/>
              </w:rPr>
              <w:t xml:space="preserve"> </w:t>
            </w:r>
            <w:proofErr w:type="spellStart"/>
            <w:r w:rsidRPr="004D596A">
              <w:rPr>
                <w:rFonts w:ascii="Book Antiqua" w:eastAsiaTheme="minorEastAsia" w:hAnsi="Book Antiqua"/>
              </w:rPr>
              <w:t>Rodhotun</w:t>
            </w:r>
            <w:proofErr w:type="spellEnd"/>
            <w:r w:rsidRPr="004D596A">
              <w:rPr>
                <w:rFonts w:ascii="Book Antiqua" w:eastAsiaTheme="minorEastAsia" w:hAnsi="Book Antiqua"/>
              </w:rPr>
              <w:t xml:space="preserve"> Nimah</w:t>
            </w:r>
            <w:r w:rsidRPr="004D596A">
              <w:rPr>
                <w:rFonts w:ascii="Book Antiqua" w:eastAsiaTheme="minorEastAsia" w:hAnsi="Book Antiqua"/>
                <w:vertAlign w:val="superscript"/>
              </w:rPr>
              <w:t>4</w:t>
            </w:r>
            <w:r w:rsidR="0028689C">
              <w:rPr>
                <w:rFonts w:ascii="Book Antiqua" w:eastAsiaTheme="minorEastAsia" w:hAnsi="Book Antiqua"/>
              </w:rPr>
              <w:t>;</w:t>
            </w:r>
            <w:r w:rsidRPr="004D596A">
              <w:rPr>
                <w:rFonts w:ascii="Book Antiqua" w:eastAsiaTheme="minorEastAsia" w:hAnsi="Book Antiqua"/>
              </w:rPr>
              <w:t xml:space="preserve"> Fahmi Makraja</w:t>
            </w:r>
            <w:r w:rsidRPr="004D596A">
              <w:rPr>
                <w:rFonts w:ascii="Book Antiqua" w:eastAsiaTheme="minorEastAsia" w:hAnsi="Book Antiqua"/>
                <w:vertAlign w:val="superscript"/>
              </w:rPr>
              <w:t>5</w:t>
            </w:r>
            <w:r w:rsidR="00F56663" w:rsidRPr="004D596A">
              <w:rPr>
                <w:rFonts w:ascii="Book Antiqua" w:eastAsiaTheme="minorEastAsia" w:hAnsi="Book Antiqua"/>
              </w:rPr>
              <w:t xml:space="preserve"> </w:t>
            </w:r>
          </w:p>
          <w:p w14:paraId="6778C4B5" w14:textId="24FE7063" w:rsidR="00EE5D86" w:rsidRPr="004D596A" w:rsidRDefault="00EE5D86" w:rsidP="00EE5D86">
            <w:pPr>
              <w:spacing w:after="0" w:line="240" w:lineRule="auto"/>
              <w:jc w:val="center"/>
              <w:rPr>
                <w:rFonts w:ascii="Book Antiqua" w:eastAsiaTheme="minorEastAsia" w:hAnsi="Book Antiqua"/>
              </w:rPr>
            </w:pPr>
            <w:r w:rsidRPr="004D596A">
              <w:rPr>
                <w:rFonts w:ascii="Book Antiqua" w:eastAsiaTheme="minorEastAsia" w:hAnsi="Book Antiqua"/>
                <w:vertAlign w:val="superscript"/>
              </w:rPr>
              <w:t>1</w:t>
            </w:r>
            <w:r w:rsidR="00AE6E3B" w:rsidRPr="004D596A">
              <w:rPr>
                <w:rFonts w:ascii="Book Antiqua" w:hAnsi="Book Antiqua" w:cs="Tahoma"/>
                <w:sz w:val="21"/>
                <w:szCs w:val="21"/>
                <w:shd w:val="clear" w:color="auto" w:fill="EDEEEE"/>
              </w:rPr>
              <w:t xml:space="preserve"> S</w:t>
            </w:r>
            <w:r w:rsidR="00AE6E3B" w:rsidRPr="004D596A">
              <w:rPr>
                <w:rFonts w:ascii="Book Antiqua" w:eastAsiaTheme="minorEastAsia" w:hAnsi="Book Antiqua"/>
              </w:rPr>
              <w:t xml:space="preserve">unan </w:t>
            </w:r>
            <w:proofErr w:type="spellStart"/>
            <w:r w:rsidR="00AE6E3B" w:rsidRPr="004D596A">
              <w:rPr>
                <w:rFonts w:ascii="Book Antiqua" w:eastAsiaTheme="minorEastAsia" w:hAnsi="Book Antiqua"/>
              </w:rPr>
              <w:t>Kalijaga</w:t>
            </w:r>
            <w:proofErr w:type="spellEnd"/>
            <w:r w:rsidR="00AE6E3B" w:rsidRPr="004D596A">
              <w:rPr>
                <w:rFonts w:ascii="Book Antiqua" w:eastAsiaTheme="minorEastAsia" w:hAnsi="Book Antiqua"/>
              </w:rPr>
              <w:t xml:space="preserve"> State Islamic University</w:t>
            </w:r>
            <w:r w:rsidR="00F56663" w:rsidRPr="004D596A">
              <w:rPr>
                <w:rFonts w:ascii="Book Antiqua" w:eastAsiaTheme="minorEastAsia" w:hAnsi="Book Antiqua"/>
              </w:rPr>
              <w:t xml:space="preserve">, email: </w:t>
            </w:r>
            <w:hyperlink r:id="rId8" w:history="1">
              <w:r w:rsidR="00654F1B" w:rsidRPr="004D596A">
                <w:rPr>
                  <w:rStyle w:val="Hyperlink"/>
                  <w:rFonts w:ascii="Book Antiqua" w:eastAsiaTheme="minorEastAsia" w:hAnsi="Book Antiqua"/>
                </w:rPr>
                <w:t>kefimiftachululum@gmail.com</w:t>
              </w:r>
            </w:hyperlink>
            <w:r w:rsidR="00F56663" w:rsidRPr="004D596A">
              <w:rPr>
                <w:rFonts w:ascii="Book Antiqua" w:eastAsiaTheme="minorEastAsia" w:hAnsi="Book Antiqua"/>
              </w:rPr>
              <w:t xml:space="preserve"> (corresponding)</w:t>
            </w:r>
          </w:p>
          <w:p w14:paraId="711117D7" w14:textId="00BA607D" w:rsidR="00E16457" w:rsidRPr="004D596A" w:rsidRDefault="00EC16F0" w:rsidP="00E16457">
            <w:pPr>
              <w:ind w:left="-142" w:right="459"/>
              <w:contextualSpacing/>
              <w:jc w:val="center"/>
              <w:rPr>
                <w:rFonts w:ascii="Book Antiqua" w:eastAsiaTheme="minorEastAsia" w:hAnsi="Book Antiqua"/>
              </w:rPr>
            </w:pPr>
            <w:r w:rsidRPr="004D596A">
              <w:rPr>
                <w:rFonts w:ascii="Book Antiqua" w:eastAsiaTheme="minorEastAsia" w:hAnsi="Book Antiqua"/>
                <w:vertAlign w:val="superscript"/>
              </w:rPr>
              <w:t>2</w:t>
            </w:r>
            <w:r w:rsidR="009F68D9" w:rsidRPr="004D596A">
              <w:rPr>
                <w:rFonts w:ascii="Book Antiqua" w:hAnsi="Book Antiqua" w:cs="Tahoma"/>
                <w:sz w:val="21"/>
                <w:szCs w:val="21"/>
                <w:shd w:val="clear" w:color="auto" w:fill="EDEEEE"/>
              </w:rPr>
              <w:t xml:space="preserve"> S</w:t>
            </w:r>
            <w:r w:rsidR="009F68D9" w:rsidRPr="004D596A">
              <w:rPr>
                <w:rFonts w:ascii="Book Antiqua" w:eastAsiaTheme="minorEastAsia" w:hAnsi="Book Antiqua"/>
              </w:rPr>
              <w:t xml:space="preserve">unan </w:t>
            </w:r>
            <w:proofErr w:type="spellStart"/>
            <w:r w:rsidR="009F68D9" w:rsidRPr="004D596A">
              <w:rPr>
                <w:rFonts w:ascii="Book Antiqua" w:eastAsiaTheme="minorEastAsia" w:hAnsi="Book Antiqua"/>
              </w:rPr>
              <w:t>Kalijaga</w:t>
            </w:r>
            <w:proofErr w:type="spellEnd"/>
            <w:r w:rsidR="009F68D9" w:rsidRPr="004D596A">
              <w:rPr>
                <w:rFonts w:ascii="Book Antiqua" w:eastAsiaTheme="minorEastAsia" w:hAnsi="Book Antiqua"/>
              </w:rPr>
              <w:t xml:space="preserve"> State Islamic University</w:t>
            </w:r>
            <w:r w:rsidRPr="004D596A">
              <w:rPr>
                <w:rFonts w:ascii="Book Antiqua" w:eastAsiaTheme="minorEastAsia" w:hAnsi="Book Antiqua"/>
              </w:rPr>
              <w:t xml:space="preserve">, email: </w:t>
            </w:r>
            <w:hyperlink r:id="rId9" w:history="1">
              <w:r w:rsidR="009F68D9" w:rsidRPr="004D596A">
                <w:rPr>
                  <w:rStyle w:val="Hyperlink"/>
                  <w:rFonts w:ascii="Book Antiqua" w:hAnsi="Book Antiqua"/>
                </w:rPr>
                <w:t>khairunnisamaulida21@gmail.com</w:t>
              </w:r>
            </w:hyperlink>
            <w:r w:rsidR="009F68D9" w:rsidRPr="004D596A">
              <w:rPr>
                <w:rFonts w:ascii="Book Antiqua" w:hAnsi="Book Antiqua"/>
              </w:rPr>
              <w:t xml:space="preserve"> </w:t>
            </w:r>
            <w:r w:rsidRPr="004D596A">
              <w:rPr>
                <w:rFonts w:ascii="Book Antiqua" w:eastAsiaTheme="minorEastAsia" w:hAnsi="Book Antiqua"/>
              </w:rPr>
              <w:t xml:space="preserve"> </w:t>
            </w:r>
          </w:p>
          <w:p w14:paraId="4DCD105F" w14:textId="0B74CEC1" w:rsidR="00EC16F0" w:rsidRPr="004D596A" w:rsidRDefault="00EC16F0" w:rsidP="00E16457">
            <w:pPr>
              <w:ind w:left="-142" w:right="459"/>
              <w:contextualSpacing/>
              <w:jc w:val="center"/>
              <w:rPr>
                <w:rFonts w:ascii="Book Antiqua" w:eastAsiaTheme="minorEastAsia" w:hAnsi="Book Antiqua"/>
              </w:rPr>
            </w:pPr>
            <w:r w:rsidRPr="004D596A">
              <w:rPr>
                <w:rFonts w:ascii="Book Antiqua" w:eastAsiaTheme="minorEastAsia" w:hAnsi="Book Antiqua"/>
                <w:vertAlign w:val="superscript"/>
              </w:rPr>
              <w:t>3</w:t>
            </w:r>
            <w:r w:rsidR="009F68D9" w:rsidRPr="004D596A">
              <w:rPr>
                <w:rFonts w:ascii="Book Antiqua" w:hAnsi="Book Antiqua" w:cs="Tahoma"/>
                <w:sz w:val="21"/>
                <w:szCs w:val="21"/>
                <w:shd w:val="clear" w:color="auto" w:fill="EDEEEE"/>
              </w:rPr>
              <w:t xml:space="preserve"> S</w:t>
            </w:r>
            <w:r w:rsidR="009F68D9" w:rsidRPr="004D596A">
              <w:rPr>
                <w:rFonts w:ascii="Book Antiqua" w:eastAsiaTheme="minorEastAsia" w:hAnsi="Book Antiqua"/>
              </w:rPr>
              <w:t xml:space="preserve">unan </w:t>
            </w:r>
            <w:proofErr w:type="spellStart"/>
            <w:r w:rsidR="009F68D9" w:rsidRPr="004D596A">
              <w:rPr>
                <w:rFonts w:ascii="Book Antiqua" w:eastAsiaTheme="minorEastAsia" w:hAnsi="Book Antiqua"/>
              </w:rPr>
              <w:t>Kalijaga</w:t>
            </w:r>
            <w:proofErr w:type="spellEnd"/>
            <w:r w:rsidR="009F68D9" w:rsidRPr="004D596A">
              <w:rPr>
                <w:rFonts w:ascii="Book Antiqua" w:eastAsiaTheme="minorEastAsia" w:hAnsi="Book Antiqua"/>
              </w:rPr>
              <w:t xml:space="preserve"> State Islamic University</w:t>
            </w:r>
            <w:r w:rsidRPr="004D596A">
              <w:rPr>
                <w:rFonts w:ascii="Book Antiqua" w:eastAsiaTheme="minorEastAsia" w:hAnsi="Book Antiqua"/>
              </w:rPr>
              <w:t xml:space="preserve">, email: </w:t>
            </w:r>
            <w:hyperlink r:id="rId10" w:history="1">
              <w:r w:rsidR="00340B7A" w:rsidRPr="004D596A">
                <w:rPr>
                  <w:rStyle w:val="Hyperlink"/>
                  <w:rFonts w:ascii="Book Antiqua" w:hAnsi="Book Antiqua"/>
                </w:rPr>
                <w:t>rnggsgnd@gmail.com</w:t>
              </w:r>
            </w:hyperlink>
            <w:r w:rsidR="00340B7A" w:rsidRPr="004D596A">
              <w:rPr>
                <w:rFonts w:ascii="Book Antiqua" w:hAnsi="Book Antiqua"/>
              </w:rPr>
              <w:t xml:space="preserve"> </w:t>
            </w:r>
            <w:r w:rsidRPr="004D596A">
              <w:rPr>
                <w:rFonts w:ascii="Book Antiqua" w:eastAsiaTheme="minorEastAsia" w:hAnsi="Book Antiqua"/>
              </w:rPr>
              <w:t xml:space="preserve"> </w:t>
            </w:r>
          </w:p>
          <w:p w14:paraId="7BD66A9F" w14:textId="02EB9A3C" w:rsidR="00AE6E3B" w:rsidRPr="004D596A" w:rsidRDefault="00AE6E3B" w:rsidP="00E16457">
            <w:pPr>
              <w:ind w:left="-142" w:right="459"/>
              <w:contextualSpacing/>
              <w:jc w:val="center"/>
              <w:rPr>
                <w:rFonts w:ascii="Book Antiqua" w:eastAsiaTheme="minorEastAsia" w:hAnsi="Book Antiqua"/>
                <w:vertAlign w:val="superscript"/>
              </w:rPr>
            </w:pPr>
            <w:r w:rsidRPr="004D596A">
              <w:rPr>
                <w:rFonts w:ascii="Book Antiqua" w:eastAsiaTheme="minorEastAsia" w:hAnsi="Book Antiqua"/>
                <w:vertAlign w:val="superscript"/>
              </w:rPr>
              <w:t>4</w:t>
            </w:r>
            <w:r w:rsidR="009F68D9" w:rsidRPr="004D596A">
              <w:rPr>
                <w:rFonts w:ascii="Book Antiqua" w:hAnsi="Book Antiqua" w:cs="Tahoma"/>
                <w:sz w:val="21"/>
                <w:szCs w:val="21"/>
                <w:shd w:val="clear" w:color="auto" w:fill="EDEEEE"/>
              </w:rPr>
              <w:t xml:space="preserve"> S</w:t>
            </w:r>
            <w:r w:rsidR="009F68D9" w:rsidRPr="004D596A">
              <w:rPr>
                <w:rFonts w:ascii="Book Antiqua" w:eastAsiaTheme="minorEastAsia" w:hAnsi="Book Antiqua"/>
              </w:rPr>
              <w:t xml:space="preserve">unan </w:t>
            </w:r>
            <w:proofErr w:type="spellStart"/>
            <w:r w:rsidR="009F68D9" w:rsidRPr="004D596A">
              <w:rPr>
                <w:rFonts w:ascii="Book Antiqua" w:eastAsiaTheme="minorEastAsia" w:hAnsi="Book Antiqua"/>
              </w:rPr>
              <w:t>Kalijaga</w:t>
            </w:r>
            <w:proofErr w:type="spellEnd"/>
            <w:r w:rsidR="009F68D9" w:rsidRPr="004D596A">
              <w:rPr>
                <w:rFonts w:ascii="Book Antiqua" w:eastAsiaTheme="minorEastAsia" w:hAnsi="Book Antiqua"/>
              </w:rPr>
              <w:t xml:space="preserve"> State Islamic University,</w:t>
            </w:r>
            <w:r w:rsidR="008B4328" w:rsidRPr="004D596A">
              <w:rPr>
                <w:rFonts w:ascii="Book Antiqua" w:eastAsiaTheme="minorEastAsia" w:hAnsi="Book Antiqua"/>
              </w:rPr>
              <w:t xml:space="preserve"> email:</w:t>
            </w:r>
            <w:r w:rsidR="00F165A2" w:rsidRPr="004D596A">
              <w:rPr>
                <w:rFonts w:ascii="Book Antiqua" w:eastAsiaTheme="minorEastAsia" w:hAnsi="Book Antiqua"/>
              </w:rPr>
              <w:t xml:space="preserve"> </w:t>
            </w:r>
            <w:hyperlink r:id="rId11" w:history="1">
              <w:r w:rsidR="00F165A2" w:rsidRPr="004D596A">
                <w:rPr>
                  <w:rStyle w:val="Hyperlink"/>
                  <w:rFonts w:ascii="Book Antiqua" w:eastAsiaTheme="minorEastAsia" w:hAnsi="Book Antiqua"/>
                </w:rPr>
                <w:t>rodhotunnikmah17@gmail.com</w:t>
              </w:r>
            </w:hyperlink>
            <w:r w:rsidR="00F165A2" w:rsidRPr="004D596A">
              <w:rPr>
                <w:rFonts w:ascii="Book Antiqua" w:eastAsiaTheme="minorEastAsia" w:hAnsi="Book Antiqua"/>
              </w:rPr>
              <w:t xml:space="preserve"> </w:t>
            </w:r>
          </w:p>
          <w:p w14:paraId="774F0318" w14:textId="659A4C0A" w:rsidR="00AE6E3B" w:rsidRPr="004D596A" w:rsidRDefault="00AE6E3B" w:rsidP="00E16457">
            <w:pPr>
              <w:ind w:left="-142" w:right="459"/>
              <w:contextualSpacing/>
              <w:jc w:val="center"/>
              <w:rPr>
                <w:rFonts w:ascii="Book Antiqua" w:hAnsi="Book Antiqua" w:cs="Times New Roman"/>
                <w:vertAlign w:val="superscript"/>
              </w:rPr>
            </w:pPr>
            <w:r w:rsidRPr="004D596A">
              <w:rPr>
                <w:rFonts w:ascii="Book Antiqua" w:eastAsiaTheme="minorEastAsia" w:hAnsi="Book Antiqua"/>
                <w:vertAlign w:val="superscript"/>
              </w:rPr>
              <w:t>5</w:t>
            </w:r>
            <w:r w:rsidR="009F68D9" w:rsidRPr="004D596A">
              <w:rPr>
                <w:rFonts w:ascii="Book Antiqua" w:hAnsi="Book Antiqua" w:cs="Tahoma"/>
                <w:sz w:val="21"/>
                <w:szCs w:val="21"/>
                <w:shd w:val="clear" w:color="auto" w:fill="EDEEEE"/>
              </w:rPr>
              <w:t xml:space="preserve"> S</w:t>
            </w:r>
            <w:r w:rsidR="009F68D9" w:rsidRPr="004D596A">
              <w:rPr>
                <w:rFonts w:ascii="Book Antiqua" w:eastAsiaTheme="minorEastAsia" w:hAnsi="Book Antiqua"/>
              </w:rPr>
              <w:t xml:space="preserve">unan </w:t>
            </w:r>
            <w:proofErr w:type="spellStart"/>
            <w:r w:rsidR="009F68D9" w:rsidRPr="004D596A">
              <w:rPr>
                <w:rFonts w:ascii="Book Antiqua" w:eastAsiaTheme="minorEastAsia" w:hAnsi="Book Antiqua"/>
              </w:rPr>
              <w:t>Kalijaga</w:t>
            </w:r>
            <w:proofErr w:type="spellEnd"/>
            <w:r w:rsidR="009F68D9" w:rsidRPr="004D596A">
              <w:rPr>
                <w:rFonts w:ascii="Book Antiqua" w:eastAsiaTheme="minorEastAsia" w:hAnsi="Book Antiqua"/>
              </w:rPr>
              <w:t xml:space="preserve"> State Islamic University,</w:t>
            </w:r>
            <w:r w:rsidR="008B4328" w:rsidRPr="004D596A">
              <w:rPr>
                <w:rFonts w:ascii="Book Antiqua" w:eastAsiaTheme="minorEastAsia" w:hAnsi="Book Antiqua"/>
              </w:rPr>
              <w:t xml:space="preserve"> email:</w:t>
            </w:r>
            <w:r w:rsidR="009F68D9" w:rsidRPr="004D596A">
              <w:rPr>
                <w:rFonts w:ascii="Book Antiqua" w:hAnsi="Book Antiqua"/>
              </w:rPr>
              <w:t xml:space="preserve"> </w:t>
            </w:r>
            <w:hyperlink r:id="rId12" w:history="1">
              <w:r w:rsidR="009F68D9" w:rsidRPr="004D596A">
                <w:rPr>
                  <w:rStyle w:val="Hyperlink"/>
                  <w:rFonts w:ascii="Book Antiqua" w:eastAsiaTheme="minorEastAsia" w:hAnsi="Book Antiqua"/>
                </w:rPr>
                <w:t>fahmimakraja@gmail.com</w:t>
              </w:r>
            </w:hyperlink>
          </w:p>
        </w:tc>
      </w:tr>
      <w:tr w:rsidR="00E16457" w:rsidRPr="004D596A" w14:paraId="4CFE12B1" w14:textId="77777777" w:rsidTr="00AF097F">
        <w:trPr>
          <w:trHeight w:val="338"/>
        </w:trPr>
        <w:tc>
          <w:tcPr>
            <w:tcW w:w="9396" w:type="dxa"/>
          </w:tcPr>
          <w:p w14:paraId="69646EDD" w14:textId="77777777" w:rsidR="00E16457" w:rsidRPr="004D596A" w:rsidRDefault="00E16457" w:rsidP="004F3FDB">
            <w:pPr>
              <w:spacing w:line="360" w:lineRule="auto"/>
              <w:ind w:left="-142" w:right="459"/>
              <w:contextualSpacing/>
              <w:rPr>
                <w:rFonts w:ascii="Book Antiqua" w:eastAsia="Calibri" w:hAnsi="Book Antiqua" w:cs="Times New Roman"/>
                <w:b/>
              </w:rPr>
            </w:pPr>
          </w:p>
        </w:tc>
      </w:tr>
      <w:tr w:rsidR="00CE4C92" w:rsidRPr="004D596A" w14:paraId="1CA3D4DE" w14:textId="77777777" w:rsidTr="00AF097F">
        <w:trPr>
          <w:trHeight w:val="4176"/>
        </w:trPr>
        <w:tc>
          <w:tcPr>
            <w:tcW w:w="9396" w:type="dxa"/>
          </w:tcPr>
          <w:p w14:paraId="19F90CB2" w14:textId="77777777" w:rsidR="00535686" w:rsidRPr="004D596A" w:rsidRDefault="00535686" w:rsidP="00535686">
            <w:pPr>
              <w:ind w:left="-142" w:right="-118"/>
              <w:contextualSpacing/>
              <w:rPr>
                <w:rFonts w:ascii="Book Antiqua" w:hAnsi="Book Antiqu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6"/>
              <w:gridCol w:w="2194"/>
            </w:tblGrid>
            <w:tr w:rsidR="00535686" w:rsidRPr="004D596A" w14:paraId="206D593B" w14:textId="77777777" w:rsidTr="00327654">
              <w:tc>
                <w:tcPr>
                  <w:tcW w:w="6976" w:type="dxa"/>
                </w:tcPr>
                <w:p w14:paraId="2DFF3B48" w14:textId="14E7BA67" w:rsidR="00327654" w:rsidRPr="004D596A" w:rsidRDefault="00327654" w:rsidP="00327654">
                  <w:pPr>
                    <w:ind w:left="-142" w:right="-118"/>
                    <w:contextualSpacing/>
                    <w:jc w:val="center"/>
                    <w:rPr>
                      <w:rFonts w:ascii="Book Antiqua" w:hAnsi="Book Antiqua" w:cs="Times New Roman"/>
                      <w:b/>
                      <w:bCs/>
                      <w:sz w:val="20"/>
                      <w:szCs w:val="20"/>
                    </w:rPr>
                  </w:pPr>
                  <w:r w:rsidRPr="004D596A">
                    <w:rPr>
                      <w:rFonts w:ascii="Book Antiqua" w:hAnsi="Book Antiqua" w:cs="Times New Roman"/>
                      <w:b/>
                      <w:bCs/>
                      <w:sz w:val="20"/>
                      <w:szCs w:val="20"/>
                    </w:rPr>
                    <w:t>Abstract</w:t>
                  </w:r>
                </w:p>
                <w:p w14:paraId="40BCF4DB" w14:textId="0B9332FA" w:rsidR="00CE3AC2" w:rsidRPr="004D596A" w:rsidRDefault="00535686" w:rsidP="00327654">
                  <w:pPr>
                    <w:spacing w:after="0" w:line="240" w:lineRule="auto"/>
                    <w:ind w:right="-115"/>
                    <w:contextualSpacing/>
                    <w:rPr>
                      <w:rFonts w:ascii="Book Antiqua" w:hAnsi="Book Antiqua" w:cs="Times New Roman"/>
                      <w:sz w:val="20"/>
                      <w:szCs w:val="20"/>
                    </w:rPr>
                  </w:pPr>
                  <w:r w:rsidRPr="004D596A">
                    <w:rPr>
                      <w:rFonts w:ascii="Book Antiqua" w:hAnsi="Book Antiqua" w:cs="Times New Roman"/>
                      <w:b/>
                      <w:bCs/>
                      <w:sz w:val="20"/>
                      <w:szCs w:val="20"/>
                    </w:rPr>
                    <w:t>Background</w:t>
                  </w:r>
                  <w:r w:rsidR="006C01A6" w:rsidRPr="004D596A">
                    <w:rPr>
                      <w:rFonts w:ascii="Book Antiqua" w:hAnsi="Book Antiqua" w:cs="Times New Roman"/>
                      <w:b/>
                      <w:bCs/>
                      <w:sz w:val="20"/>
                      <w:szCs w:val="20"/>
                    </w:rPr>
                    <w:t xml:space="preserve">: </w:t>
                  </w:r>
                  <w:r w:rsidR="009F68D9" w:rsidRPr="004D596A">
                    <w:rPr>
                      <w:rFonts w:ascii="Book Antiqua" w:eastAsia="Garamond" w:hAnsi="Book Antiqua" w:cs="Times New Roman"/>
                      <w:bCs/>
                      <w:color w:val="000000"/>
                      <w:sz w:val="20"/>
                      <w:szCs w:val="20"/>
                    </w:rPr>
                    <w:t xml:space="preserve">Since the occurrence of covid-19, there has been an acceleration in the transformation of the economic cycle with the digital era transforming conventional economic activities towards the digitization of the economy. </w:t>
                  </w:r>
                  <w:r w:rsidR="008B4328" w:rsidRPr="004D596A">
                    <w:rPr>
                      <w:rFonts w:ascii="Book Antiqua" w:hAnsi="Book Antiqua" w:cs="Times New Roman"/>
                      <w:sz w:val="20"/>
                      <w:szCs w:val="20"/>
                    </w:rPr>
                    <w:t>The impact of this research aims to establish or strengthen regulations on standard screening for funding MSMEs in the securities crowdfunding cycle.</w:t>
                  </w:r>
                </w:p>
                <w:p w14:paraId="2058C777" w14:textId="411D991D" w:rsidR="00CE3AC2" w:rsidRPr="004D596A" w:rsidRDefault="00535686" w:rsidP="00327654">
                  <w:pPr>
                    <w:spacing w:after="0" w:line="240" w:lineRule="auto"/>
                    <w:ind w:right="-115"/>
                    <w:contextualSpacing/>
                    <w:rPr>
                      <w:rFonts w:ascii="Book Antiqua" w:hAnsi="Book Antiqua" w:cs="Times New Roman"/>
                      <w:sz w:val="20"/>
                      <w:szCs w:val="20"/>
                    </w:rPr>
                  </w:pPr>
                  <w:r w:rsidRPr="004D596A">
                    <w:rPr>
                      <w:rFonts w:ascii="Book Antiqua" w:hAnsi="Book Antiqua" w:cs="Times New Roman"/>
                      <w:b/>
                      <w:bCs/>
                      <w:sz w:val="20"/>
                      <w:szCs w:val="20"/>
                    </w:rPr>
                    <w:t>Objectives:</w:t>
                  </w:r>
                  <w:r w:rsidRPr="004D596A">
                    <w:rPr>
                      <w:rFonts w:ascii="Book Antiqua" w:hAnsi="Book Antiqua" w:cs="Times New Roman"/>
                      <w:sz w:val="20"/>
                      <w:szCs w:val="20"/>
                    </w:rPr>
                    <w:t xml:space="preserve"> </w:t>
                  </w:r>
                  <w:r w:rsidR="009F68D9" w:rsidRPr="004D596A">
                    <w:rPr>
                      <w:rFonts w:ascii="Book Antiqua" w:hAnsi="Book Antiqua" w:cs="Times New Roman"/>
                      <w:sz w:val="20"/>
                      <w:szCs w:val="20"/>
                    </w:rPr>
                    <w:t>This research focuses on the standard screening and funding mechanisms of Securities crowdfunding</w:t>
                  </w:r>
                  <w:r w:rsidR="008B4328" w:rsidRPr="004D596A">
                    <w:rPr>
                      <w:rFonts w:ascii="Book Antiqua" w:hAnsi="Book Antiqua" w:cs="Times New Roman"/>
                      <w:sz w:val="20"/>
                      <w:szCs w:val="20"/>
                    </w:rPr>
                    <w:t xml:space="preserve"> and comparative with capital market</w:t>
                  </w:r>
                  <w:r w:rsidR="006C01A6" w:rsidRPr="004D596A">
                    <w:rPr>
                      <w:rFonts w:ascii="Book Antiqua" w:hAnsi="Book Antiqua" w:cs="Times New Roman"/>
                      <w:sz w:val="20"/>
                      <w:szCs w:val="20"/>
                    </w:rPr>
                    <w:t xml:space="preserve">. </w:t>
                  </w:r>
                </w:p>
                <w:p w14:paraId="6928203D" w14:textId="1DEC59E1" w:rsidR="00CE3AC2" w:rsidRPr="004D596A" w:rsidRDefault="00535686" w:rsidP="00327654">
                  <w:pPr>
                    <w:spacing w:after="0" w:line="240" w:lineRule="auto"/>
                    <w:ind w:right="-115"/>
                    <w:contextualSpacing/>
                    <w:rPr>
                      <w:rFonts w:ascii="Book Antiqua" w:hAnsi="Book Antiqua" w:cs="Times New Roman"/>
                      <w:sz w:val="20"/>
                      <w:szCs w:val="20"/>
                    </w:rPr>
                  </w:pPr>
                  <w:r w:rsidRPr="004D596A">
                    <w:rPr>
                      <w:rFonts w:ascii="Book Antiqua" w:hAnsi="Book Antiqua" w:cs="Times New Roman"/>
                      <w:b/>
                      <w:bCs/>
                      <w:sz w:val="20"/>
                      <w:szCs w:val="20"/>
                    </w:rPr>
                    <w:t>Novelty:</w:t>
                  </w:r>
                  <w:r w:rsidR="006C01A6" w:rsidRPr="004D596A">
                    <w:rPr>
                      <w:rFonts w:ascii="Book Antiqua" w:hAnsi="Book Antiqua" w:cs="Times New Roman"/>
                      <w:b/>
                      <w:bCs/>
                      <w:sz w:val="20"/>
                      <w:szCs w:val="20"/>
                    </w:rPr>
                    <w:t xml:space="preserve"> </w:t>
                  </w:r>
                  <w:r w:rsidR="008B4328" w:rsidRPr="004D596A">
                    <w:rPr>
                      <w:rFonts w:ascii="Book Antiqua" w:hAnsi="Book Antiqua" w:cs="Times New Roman"/>
                      <w:sz w:val="20"/>
                      <w:szCs w:val="20"/>
                    </w:rPr>
                    <w:t>In funding MSMEs and startup companies, there are no regulations regarding screening standards for sharia issuers/companies, so it needs to be compared with the screening standards used in the capital market.</w:t>
                  </w:r>
                </w:p>
                <w:p w14:paraId="4B0C5C0D" w14:textId="7FF64AFA" w:rsidR="00CE3AC2" w:rsidRPr="004D596A" w:rsidRDefault="00CE3AC2" w:rsidP="00327654">
                  <w:pPr>
                    <w:spacing w:after="0" w:line="240" w:lineRule="auto"/>
                    <w:ind w:right="-115"/>
                    <w:contextualSpacing/>
                    <w:rPr>
                      <w:rFonts w:ascii="Book Antiqua" w:hAnsi="Book Antiqua" w:cs="Times New Roman"/>
                      <w:sz w:val="20"/>
                      <w:szCs w:val="20"/>
                    </w:rPr>
                  </w:pPr>
                  <w:r w:rsidRPr="004D596A">
                    <w:rPr>
                      <w:rFonts w:ascii="Book Antiqua" w:hAnsi="Book Antiqua" w:cs="Times New Roman"/>
                      <w:b/>
                      <w:bCs/>
                      <w:sz w:val="20"/>
                      <w:szCs w:val="20"/>
                    </w:rPr>
                    <w:t xml:space="preserve">Research </w:t>
                  </w:r>
                  <w:r w:rsidR="00535686" w:rsidRPr="004D596A">
                    <w:rPr>
                      <w:rFonts w:ascii="Book Antiqua" w:hAnsi="Book Antiqua" w:cs="Times New Roman"/>
                      <w:b/>
                      <w:bCs/>
                      <w:sz w:val="20"/>
                      <w:szCs w:val="20"/>
                    </w:rPr>
                    <w:t>Methodology</w:t>
                  </w:r>
                  <w:r w:rsidRPr="004D596A">
                    <w:rPr>
                      <w:rFonts w:ascii="Book Antiqua" w:hAnsi="Book Antiqua" w:cs="Times New Roman"/>
                      <w:b/>
                      <w:bCs/>
                      <w:sz w:val="20"/>
                      <w:szCs w:val="20"/>
                    </w:rPr>
                    <w:t xml:space="preserve"> / Design</w:t>
                  </w:r>
                  <w:r w:rsidR="00535686" w:rsidRPr="004D596A">
                    <w:rPr>
                      <w:rFonts w:ascii="Book Antiqua" w:hAnsi="Book Antiqua" w:cs="Times New Roman"/>
                      <w:sz w:val="20"/>
                      <w:szCs w:val="20"/>
                    </w:rPr>
                    <w:t>:</w:t>
                  </w:r>
                  <w:r w:rsidR="006C01A6" w:rsidRPr="004D596A">
                    <w:rPr>
                      <w:rFonts w:ascii="Book Antiqua" w:hAnsi="Book Antiqua" w:cs="Times New Roman"/>
                      <w:sz w:val="20"/>
                      <w:szCs w:val="20"/>
                    </w:rPr>
                    <w:t xml:space="preserve"> </w:t>
                  </w:r>
                  <w:r w:rsidR="00D57049" w:rsidRPr="004D596A">
                    <w:rPr>
                      <w:rFonts w:ascii="Book Antiqua" w:hAnsi="Book Antiqua" w:cs="Times New Roman"/>
                      <w:sz w:val="20"/>
                      <w:szCs w:val="20"/>
                    </w:rPr>
                    <w:t>The legal problem of "</w:t>
                  </w:r>
                  <w:proofErr w:type="spellStart"/>
                  <w:r w:rsidR="00D57049" w:rsidRPr="004D596A">
                    <w:rPr>
                      <w:rFonts w:ascii="Book Antiqua" w:hAnsi="Book Antiqua" w:cs="Times New Roman"/>
                      <w:sz w:val="20"/>
                      <w:szCs w:val="20"/>
                    </w:rPr>
                    <w:t>Rechtsvacuum</w:t>
                  </w:r>
                  <w:proofErr w:type="spellEnd"/>
                  <w:r w:rsidR="00D57049" w:rsidRPr="004D596A">
                    <w:rPr>
                      <w:rFonts w:ascii="Book Antiqua" w:hAnsi="Book Antiqua" w:cs="Times New Roman"/>
                      <w:sz w:val="20"/>
                      <w:szCs w:val="20"/>
                    </w:rPr>
                    <w:t>" or void of norms is used as an issue in this research, using normative legal research methods that use a statutory approach and a conceptual approach for data in the form of OJK Regulation No. 57 2020, POJK No. 16 2021 and POJK No. 35 2017 and some data from BEI, KSEI and related sources. Descriptive and comparative analysis is used as an analysis method for these data</w:t>
                  </w:r>
                  <w:r w:rsidR="004A638F" w:rsidRPr="004D596A">
                    <w:rPr>
                      <w:rFonts w:ascii="Book Antiqua" w:hAnsi="Book Antiqua" w:cs="Times New Roman"/>
                      <w:sz w:val="20"/>
                      <w:szCs w:val="20"/>
                    </w:rPr>
                    <w:t>.</w:t>
                  </w:r>
                  <w:r w:rsidR="007A6359" w:rsidRPr="004D596A">
                    <w:rPr>
                      <w:rFonts w:ascii="Book Antiqua" w:hAnsi="Book Antiqua" w:cs="Times New Roman"/>
                      <w:sz w:val="20"/>
                      <w:szCs w:val="20"/>
                    </w:rPr>
                    <w:t xml:space="preserve"> </w:t>
                  </w:r>
                </w:p>
                <w:p w14:paraId="341D326B" w14:textId="29174B9B" w:rsidR="00535686" w:rsidRPr="004D596A" w:rsidRDefault="00535686" w:rsidP="00327654">
                  <w:pPr>
                    <w:spacing w:after="0" w:line="240" w:lineRule="auto"/>
                    <w:ind w:right="-115"/>
                    <w:contextualSpacing/>
                    <w:rPr>
                      <w:rFonts w:ascii="Book Antiqua" w:hAnsi="Book Antiqua" w:cs="Times New Roman"/>
                      <w:sz w:val="20"/>
                      <w:szCs w:val="20"/>
                    </w:rPr>
                  </w:pPr>
                  <w:r w:rsidRPr="004D596A">
                    <w:rPr>
                      <w:rFonts w:ascii="Book Antiqua" w:hAnsi="Book Antiqua" w:cs="Times New Roman"/>
                      <w:b/>
                      <w:bCs/>
                      <w:sz w:val="20"/>
                      <w:szCs w:val="20"/>
                    </w:rPr>
                    <w:t>Findings:</w:t>
                  </w:r>
                  <w:r w:rsidR="004A3788" w:rsidRPr="004D596A">
                    <w:rPr>
                      <w:rFonts w:ascii="Book Antiqua" w:hAnsi="Book Antiqua" w:cs="Times New Roman"/>
                      <w:b/>
                      <w:bCs/>
                      <w:sz w:val="20"/>
                      <w:szCs w:val="20"/>
                    </w:rPr>
                    <w:t xml:space="preserve"> </w:t>
                  </w:r>
                  <w:r w:rsidR="00D57049" w:rsidRPr="004D596A">
                    <w:rPr>
                      <w:rFonts w:ascii="Book Antiqua" w:hAnsi="Book Antiqua" w:cs="Times New Roman"/>
                      <w:sz w:val="20"/>
                      <w:szCs w:val="20"/>
                    </w:rPr>
                    <w:t>The findings from this research reveal that there are no regulations governing screening standards in core business screening and financial ratio screening, so the guidelines used are Financial Services Authority Regulation Number 35 of 2017 concerning Criteria and List of Sharia Securities Used on the Indonesian Stock Exchange, which applies to public companies and does not apply to private securities crowdfunding cycles.</w:t>
                  </w:r>
                </w:p>
                <w:p w14:paraId="573EFED4" w14:textId="37BDFE8C" w:rsidR="00B37556" w:rsidRPr="004D596A" w:rsidRDefault="00B37556" w:rsidP="00327654">
                  <w:pPr>
                    <w:spacing w:after="0" w:line="240" w:lineRule="auto"/>
                    <w:ind w:right="-115"/>
                    <w:contextualSpacing/>
                    <w:rPr>
                      <w:rFonts w:ascii="Book Antiqua" w:hAnsi="Book Antiqua" w:cs="Times New Roman"/>
                      <w:b/>
                      <w:bCs/>
                      <w:sz w:val="20"/>
                      <w:szCs w:val="20"/>
                    </w:rPr>
                  </w:pPr>
                  <w:r w:rsidRPr="004D596A">
                    <w:rPr>
                      <w:rFonts w:ascii="Book Antiqua" w:hAnsi="Book Antiqua" w:cs="Times New Roman"/>
                      <w:b/>
                      <w:bCs/>
                      <w:sz w:val="20"/>
                      <w:szCs w:val="20"/>
                    </w:rPr>
                    <w:t xml:space="preserve">Implication: </w:t>
                  </w:r>
                  <w:r w:rsidR="00035B42" w:rsidRPr="004D596A">
                    <w:rPr>
                      <w:rFonts w:ascii="Book Antiqua" w:hAnsi="Book Antiqua" w:cs="Times New Roman"/>
                      <w:sz w:val="20"/>
                      <w:szCs w:val="20"/>
                    </w:rPr>
                    <w:t>This could have implications for the preparation of screening standards for MSMEs, Startup Companies</w:t>
                  </w:r>
                  <w:r w:rsidR="009B082A">
                    <w:rPr>
                      <w:rFonts w:ascii="Book Antiqua" w:hAnsi="Book Antiqua" w:cs="Times New Roman"/>
                      <w:sz w:val="20"/>
                      <w:szCs w:val="20"/>
                    </w:rPr>
                    <w:t>,</w:t>
                  </w:r>
                  <w:r w:rsidR="00035B42" w:rsidRPr="004D596A">
                    <w:rPr>
                      <w:rFonts w:ascii="Book Antiqua" w:hAnsi="Book Antiqua" w:cs="Times New Roman"/>
                      <w:sz w:val="20"/>
                      <w:szCs w:val="20"/>
                    </w:rPr>
                    <w:t xml:space="preserve"> and companies that receive funding. OJK can update the standard screening regulations by adjusting the economic cycle of securities crowdfunding for medium-small capital</w:t>
                  </w:r>
                  <w:r w:rsidR="009B082A">
                    <w:rPr>
                      <w:rFonts w:ascii="Book Antiqua" w:hAnsi="Book Antiqua" w:cs="Times New Roman"/>
                      <w:sz w:val="20"/>
                      <w:szCs w:val="20"/>
                    </w:rPr>
                    <w:t>.</w:t>
                  </w:r>
                </w:p>
              </w:tc>
              <w:tc>
                <w:tcPr>
                  <w:tcW w:w="2194" w:type="dxa"/>
                </w:tcPr>
                <w:p w14:paraId="31574BAD" w14:textId="77777777" w:rsidR="006E01AE" w:rsidRPr="004D596A" w:rsidRDefault="006E01AE" w:rsidP="00535686">
                  <w:pPr>
                    <w:ind w:right="-118"/>
                    <w:contextualSpacing/>
                    <w:rPr>
                      <w:rFonts w:ascii="Book Antiqua" w:hAnsi="Book Antiqua" w:cs="Times New Roman"/>
                      <w:b/>
                      <w:bCs/>
                      <w:sz w:val="20"/>
                      <w:szCs w:val="20"/>
                    </w:rPr>
                  </w:pPr>
                </w:p>
                <w:p w14:paraId="421B6E1B" w14:textId="2D94679A" w:rsidR="00535686" w:rsidRPr="004D596A" w:rsidRDefault="00F56663" w:rsidP="00535686">
                  <w:pPr>
                    <w:ind w:right="-118"/>
                    <w:contextualSpacing/>
                    <w:rPr>
                      <w:rFonts w:ascii="Book Antiqua" w:hAnsi="Book Antiqua" w:cs="Times New Roman"/>
                      <w:b/>
                      <w:bCs/>
                      <w:sz w:val="20"/>
                      <w:szCs w:val="20"/>
                    </w:rPr>
                  </w:pPr>
                  <w:r w:rsidRPr="004D596A">
                    <w:rPr>
                      <w:rFonts w:ascii="Book Antiqua" w:hAnsi="Book Antiqua" w:cs="Times New Roman"/>
                      <w:b/>
                      <w:bCs/>
                      <w:sz w:val="20"/>
                      <w:szCs w:val="20"/>
                    </w:rPr>
                    <w:t>Keyword</w:t>
                  </w:r>
                  <w:r w:rsidR="00AB577B" w:rsidRPr="004D596A">
                    <w:rPr>
                      <w:rFonts w:ascii="Book Antiqua" w:hAnsi="Book Antiqua" w:cs="Times New Roman"/>
                      <w:b/>
                      <w:bCs/>
                      <w:sz w:val="20"/>
                      <w:szCs w:val="20"/>
                    </w:rPr>
                    <w:t>s</w:t>
                  </w:r>
                  <w:r w:rsidRPr="004D596A">
                    <w:rPr>
                      <w:rFonts w:ascii="Book Antiqua" w:hAnsi="Book Antiqua" w:cs="Times New Roman"/>
                      <w:b/>
                      <w:bCs/>
                      <w:sz w:val="20"/>
                      <w:szCs w:val="20"/>
                    </w:rPr>
                    <w:t>:</w:t>
                  </w:r>
                  <w:r w:rsidR="00EC16F0" w:rsidRPr="004D596A">
                    <w:rPr>
                      <w:rFonts w:ascii="Book Antiqua" w:hAnsi="Book Antiqua" w:cs="Times New Roman"/>
                      <w:b/>
                      <w:bCs/>
                      <w:sz w:val="20"/>
                      <w:szCs w:val="20"/>
                    </w:rPr>
                    <w:t xml:space="preserve"> </w:t>
                  </w:r>
                </w:p>
                <w:p w14:paraId="2BD2834E" w14:textId="5537F07C" w:rsidR="00F56663" w:rsidRPr="00325EAF" w:rsidRDefault="00035B42" w:rsidP="00535686">
                  <w:pPr>
                    <w:ind w:right="-118"/>
                    <w:contextualSpacing/>
                    <w:rPr>
                      <w:rFonts w:ascii="Book Antiqua" w:hAnsi="Book Antiqua" w:cs="Times New Roman"/>
                      <w:sz w:val="20"/>
                      <w:szCs w:val="20"/>
                    </w:rPr>
                  </w:pPr>
                  <w:r w:rsidRPr="00325EAF">
                    <w:rPr>
                      <w:rFonts w:ascii="Book Antiqua" w:hAnsi="Book Antiqua" w:cs="Times New Roman"/>
                      <w:sz w:val="20"/>
                      <w:szCs w:val="20"/>
                    </w:rPr>
                    <w:t>Securities Crowdfunding, Capital Market, Standar</w:t>
                  </w:r>
                  <w:r w:rsidR="001B1AFB">
                    <w:rPr>
                      <w:rFonts w:ascii="Book Antiqua" w:hAnsi="Book Antiqua" w:cs="Times New Roman"/>
                      <w:sz w:val="20"/>
                      <w:szCs w:val="20"/>
                    </w:rPr>
                    <w:t>d</w:t>
                  </w:r>
                  <w:r w:rsidRPr="00325EAF">
                    <w:rPr>
                      <w:rFonts w:ascii="Book Antiqua" w:hAnsi="Book Antiqua" w:cs="Times New Roman"/>
                      <w:sz w:val="20"/>
                      <w:szCs w:val="20"/>
                    </w:rPr>
                    <w:t xml:space="preserve"> Screeni</w:t>
                  </w:r>
                  <w:r w:rsidR="001B1AFB">
                    <w:rPr>
                      <w:rFonts w:ascii="Book Antiqua" w:hAnsi="Book Antiqua" w:cs="Times New Roman"/>
                      <w:sz w:val="20"/>
                      <w:szCs w:val="20"/>
                    </w:rPr>
                    <w:t>n</w:t>
                  </w:r>
                  <w:r w:rsidRPr="00325EAF">
                    <w:rPr>
                      <w:rFonts w:ascii="Book Antiqua" w:hAnsi="Book Antiqua" w:cs="Times New Roman"/>
                      <w:sz w:val="20"/>
                      <w:szCs w:val="20"/>
                    </w:rPr>
                    <w:t>g</w:t>
                  </w:r>
                </w:p>
                <w:p w14:paraId="3012756F" w14:textId="77777777" w:rsidR="00327654" w:rsidRPr="004D596A" w:rsidRDefault="00327654" w:rsidP="00535686">
                  <w:pPr>
                    <w:ind w:right="-118"/>
                    <w:contextualSpacing/>
                    <w:rPr>
                      <w:rFonts w:ascii="Book Antiqua" w:hAnsi="Book Antiqua" w:cs="Times New Roman"/>
                      <w:sz w:val="20"/>
                      <w:szCs w:val="20"/>
                    </w:rPr>
                  </w:pPr>
                </w:p>
                <w:p w14:paraId="7C69A472" w14:textId="77777777" w:rsidR="00327654" w:rsidRPr="004D596A" w:rsidRDefault="00327654" w:rsidP="00535686">
                  <w:pPr>
                    <w:ind w:right="-118"/>
                    <w:contextualSpacing/>
                    <w:rPr>
                      <w:rFonts w:ascii="Book Antiqua" w:hAnsi="Book Antiqua" w:cs="Times New Roman"/>
                      <w:sz w:val="20"/>
                      <w:szCs w:val="20"/>
                    </w:rPr>
                  </w:pPr>
                </w:p>
                <w:p w14:paraId="323E395F" w14:textId="031A15F1" w:rsidR="00F56663" w:rsidRPr="004D596A" w:rsidRDefault="00F56663" w:rsidP="00535686">
                  <w:pPr>
                    <w:ind w:right="-118"/>
                    <w:contextualSpacing/>
                    <w:rPr>
                      <w:rFonts w:ascii="Book Antiqua" w:hAnsi="Book Antiqua" w:cs="Times New Roman"/>
                      <w:b/>
                      <w:bCs/>
                      <w:sz w:val="20"/>
                      <w:szCs w:val="20"/>
                    </w:rPr>
                  </w:pPr>
                  <w:r w:rsidRPr="004D596A">
                    <w:rPr>
                      <w:rFonts w:ascii="Book Antiqua" w:hAnsi="Book Antiqua" w:cs="Times New Roman"/>
                      <w:b/>
                      <w:bCs/>
                      <w:sz w:val="20"/>
                      <w:szCs w:val="20"/>
                    </w:rPr>
                    <w:t>JEL Classification</w:t>
                  </w:r>
                  <w:r w:rsidR="000231DC" w:rsidRPr="004D596A">
                    <w:rPr>
                      <w:rFonts w:ascii="Book Antiqua" w:hAnsi="Book Antiqua" w:cs="Times New Roman"/>
                      <w:b/>
                      <w:bCs/>
                      <w:sz w:val="20"/>
                      <w:szCs w:val="20"/>
                    </w:rPr>
                    <w:t>s</w:t>
                  </w:r>
                  <w:r w:rsidRPr="004D596A">
                    <w:rPr>
                      <w:rFonts w:ascii="Book Antiqua" w:hAnsi="Book Antiqua" w:cs="Times New Roman"/>
                      <w:b/>
                      <w:bCs/>
                      <w:sz w:val="20"/>
                      <w:szCs w:val="20"/>
                    </w:rPr>
                    <w:t xml:space="preserve">: </w:t>
                  </w:r>
                </w:p>
                <w:p w14:paraId="26C2F63D" w14:textId="3E0E012D" w:rsidR="00F56663" w:rsidRPr="004D596A" w:rsidRDefault="00DC7763" w:rsidP="000231DC">
                  <w:pPr>
                    <w:ind w:right="-118"/>
                    <w:contextualSpacing/>
                    <w:jc w:val="left"/>
                    <w:rPr>
                      <w:rFonts w:ascii="Book Antiqua" w:hAnsi="Book Antiqua" w:cs="Times New Roman"/>
                      <w:sz w:val="20"/>
                      <w:szCs w:val="20"/>
                    </w:rPr>
                  </w:pPr>
                  <w:r w:rsidRPr="004D596A">
                    <w:rPr>
                      <w:rFonts w:ascii="Book Antiqua" w:hAnsi="Book Antiqua" w:cs="Times New Roman"/>
                      <w:sz w:val="20"/>
                      <w:szCs w:val="20"/>
                    </w:rPr>
                    <w:t xml:space="preserve">A1, </w:t>
                  </w:r>
                  <w:r w:rsidR="00340B7A" w:rsidRPr="004D596A">
                    <w:rPr>
                      <w:rFonts w:ascii="Book Antiqua" w:hAnsi="Book Antiqua" w:cs="Times New Roman"/>
                      <w:sz w:val="20"/>
                      <w:szCs w:val="20"/>
                    </w:rPr>
                    <w:t>D00, G00, K</w:t>
                  </w:r>
                  <w:r w:rsidRPr="004D596A">
                    <w:rPr>
                      <w:rFonts w:ascii="Book Antiqua" w:hAnsi="Book Antiqua" w:cs="Times New Roman"/>
                      <w:sz w:val="20"/>
                      <w:szCs w:val="20"/>
                    </w:rPr>
                    <w:t>22, O12</w:t>
                  </w:r>
                </w:p>
              </w:tc>
            </w:tr>
          </w:tbl>
          <w:p w14:paraId="09B583D8" w14:textId="77777777" w:rsidR="00535686" w:rsidRPr="004D596A" w:rsidRDefault="00535686" w:rsidP="00535686">
            <w:pPr>
              <w:ind w:right="-118"/>
              <w:contextualSpacing/>
              <w:rPr>
                <w:rFonts w:ascii="Book Antiqua" w:hAnsi="Book Antiqua" w:cs="Times New Roman"/>
              </w:rPr>
            </w:pPr>
          </w:p>
          <w:p w14:paraId="4F159427" w14:textId="77777777" w:rsidR="00535686" w:rsidRPr="004D596A" w:rsidRDefault="00535686" w:rsidP="00535686">
            <w:pPr>
              <w:ind w:right="-118"/>
              <w:contextualSpacing/>
              <w:rPr>
                <w:rFonts w:ascii="Book Antiqua" w:hAnsi="Book Antiqua" w:cs="Times New Roman"/>
              </w:rPr>
            </w:pPr>
          </w:p>
          <w:p w14:paraId="1B01FBEE" w14:textId="4418694D" w:rsidR="007A6359" w:rsidRPr="004D596A" w:rsidRDefault="007A6359" w:rsidP="00535686">
            <w:pPr>
              <w:ind w:right="-118"/>
              <w:contextualSpacing/>
              <w:rPr>
                <w:rFonts w:ascii="Book Antiqua" w:hAnsi="Book Antiqua" w:cs="Times New Roman"/>
              </w:rPr>
            </w:pPr>
            <w:r w:rsidRPr="004D596A">
              <w:rPr>
                <w:rFonts w:ascii="Book Antiqua" w:hAnsi="Book Antiqua" w:cs="Times New Roman"/>
              </w:rPr>
              <w:t>Received:</w:t>
            </w:r>
            <w:r w:rsidR="00CD4757" w:rsidRPr="004D596A">
              <w:rPr>
                <w:rFonts w:ascii="Book Antiqua" w:hAnsi="Book Antiqua" w:cs="Times New Roman"/>
              </w:rPr>
              <w:t xml:space="preserve"> </w:t>
            </w:r>
            <w:r w:rsidR="002F11EC">
              <w:rPr>
                <w:rFonts w:ascii="Book Antiqua" w:hAnsi="Book Antiqua" w:cs="Times New Roman"/>
              </w:rPr>
              <w:t xml:space="preserve">June </w:t>
            </w:r>
            <w:r w:rsidR="004D596A">
              <w:rPr>
                <w:rFonts w:ascii="Book Antiqua" w:hAnsi="Book Antiqua" w:cs="Times New Roman"/>
              </w:rPr>
              <w:t>2</w:t>
            </w:r>
            <w:r w:rsidR="002F11EC">
              <w:rPr>
                <w:rFonts w:ascii="Book Antiqua" w:hAnsi="Book Antiqua" w:cs="Times New Roman"/>
              </w:rPr>
              <w:t>9</w:t>
            </w:r>
            <w:r w:rsidR="004D596A">
              <w:rPr>
                <w:rFonts w:ascii="Book Antiqua" w:hAnsi="Book Antiqua" w:cs="Times New Roman"/>
              </w:rPr>
              <w:t>, 2024</w:t>
            </w:r>
            <w:r w:rsidRPr="004D596A">
              <w:rPr>
                <w:rFonts w:ascii="Book Antiqua" w:hAnsi="Book Antiqua" w:cs="Times New Roman"/>
              </w:rPr>
              <w:t xml:space="preserve">; Revised: </w:t>
            </w:r>
            <w:r w:rsidR="002F11EC">
              <w:rPr>
                <w:rFonts w:ascii="Book Antiqua" w:hAnsi="Book Antiqua" w:cs="Times New Roman"/>
              </w:rPr>
              <w:t>August 2, 2024</w:t>
            </w:r>
            <w:r w:rsidRPr="004D596A">
              <w:rPr>
                <w:rFonts w:ascii="Book Antiqua" w:hAnsi="Book Antiqua" w:cs="Times New Roman"/>
              </w:rPr>
              <w:t xml:space="preserve">; Accepted: </w:t>
            </w:r>
            <w:r w:rsidR="00770112">
              <w:rPr>
                <w:rFonts w:ascii="Book Antiqua" w:hAnsi="Book Antiqua" w:cs="Times New Roman"/>
              </w:rPr>
              <w:t>August 23, 2024</w:t>
            </w:r>
            <w:r w:rsidRPr="004D596A">
              <w:rPr>
                <w:rFonts w:ascii="Book Antiqua" w:hAnsi="Book Antiqua" w:cs="Times New Roman"/>
              </w:rPr>
              <w:t xml:space="preserve">; Available online: </w:t>
            </w:r>
            <w:r w:rsidR="00770112">
              <w:rPr>
                <w:rFonts w:ascii="Book Antiqua" w:hAnsi="Book Antiqua" w:cs="Times New Roman"/>
              </w:rPr>
              <w:t>August 30, 2024</w:t>
            </w:r>
          </w:p>
          <w:p w14:paraId="480C5849" w14:textId="76350642" w:rsidR="007A6359" w:rsidRPr="004D596A" w:rsidRDefault="007A6359" w:rsidP="004D596A">
            <w:pPr>
              <w:shd w:val="clear" w:color="auto" w:fill="FFFFFF"/>
              <w:spacing w:after="0" w:line="240" w:lineRule="auto"/>
              <w:ind w:right="-118"/>
              <w:rPr>
                <w:rFonts w:ascii="Book Antiqua" w:hAnsi="Book Antiqua" w:cs="Times New Roman"/>
              </w:rPr>
            </w:pPr>
          </w:p>
        </w:tc>
      </w:tr>
    </w:tbl>
    <w:p w14:paraId="482D180A" w14:textId="67066832" w:rsidR="007A6359" w:rsidRPr="004D596A" w:rsidRDefault="00712043" w:rsidP="00781141">
      <w:pPr>
        <w:pStyle w:val="Heading1"/>
        <w:numPr>
          <w:ilvl w:val="0"/>
          <w:numId w:val="11"/>
        </w:numPr>
        <w:spacing w:before="120" w:after="120"/>
        <w:ind w:left="360"/>
        <w:rPr>
          <w:rFonts w:ascii="Book Antiqua" w:hAnsi="Book Antiqua"/>
          <w:sz w:val="24"/>
          <w:szCs w:val="24"/>
        </w:rPr>
      </w:pPr>
      <w:bookmarkStart w:id="0" w:name="_Hlk106996412"/>
      <w:r w:rsidRPr="004D596A">
        <w:rPr>
          <w:rFonts w:ascii="Book Antiqua" w:hAnsi="Book Antiqua"/>
          <w:caps w:val="0"/>
          <w:sz w:val="24"/>
          <w:szCs w:val="24"/>
        </w:rPr>
        <w:lastRenderedPageBreak/>
        <w:t>Introduction</w:t>
      </w:r>
      <w:r w:rsidR="00314453" w:rsidRPr="004D596A">
        <w:rPr>
          <w:rFonts w:ascii="Book Antiqua" w:hAnsi="Book Antiqua"/>
          <w:caps w:val="0"/>
          <w:sz w:val="24"/>
          <w:szCs w:val="24"/>
        </w:rPr>
        <w:t xml:space="preserve"> </w:t>
      </w:r>
    </w:p>
    <w:p w14:paraId="7E72CAED" w14:textId="687E944D" w:rsidR="007B4170" w:rsidRPr="004D596A" w:rsidRDefault="00DE699D" w:rsidP="00DE699D">
      <w:pPr>
        <w:spacing w:before="120" w:after="120" w:line="240" w:lineRule="auto"/>
        <w:ind w:right="-330"/>
        <w:rPr>
          <w:rFonts w:ascii="Book Antiqua" w:hAnsi="Book Antiqua" w:cs="Times New Roman"/>
          <w:sz w:val="24"/>
          <w:szCs w:val="24"/>
        </w:rPr>
      </w:pPr>
      <w:r w:rsidRPr="004D596A">
        <w:rPr>
          <w:rFonts w:ascii="Book Antiqua" w:hAnsi="Book Antiqua" w:cs="Times New Roman"/>
          <w:sz w:val="24"/>
          <w:szCs w:val="24"/>
          <w:lang w:val="en-GB"/>
        </w:rPr>
        <w:t>Countries that have strong economies the central institution is the capital market. This is because the capital market plays a vital role in the country's economic growth</w:t>
      </w:r>
      <w:r w:rsidR="00340B7A" w:rsidRPr="004D596A">
        <w:rPr>
          <w:rFonts w:ascii="Book Antiqua" w:hAnsi="Book Antiqua" w:cs="Times New Roman"/>
          <w:sz w:val="24"/>
          <w:szCs w:val="24"/>
          <w:lang w:val="en-GB"/>
        </w:rPr>
        <w:t xml:space="preserve"> </w:t>
      </w:r>
      <w:r w:rsidR="000771E1" w:rsidRPr="004D596A">
        <w:rPr>
          <w:rStyle w:val="FootnoteReference"/>
          <w:rFonts w:ascii="Book Antiqua" w:hAnsi="Book Antiqua" w:cs="Times New Roman"/>
          <w:sz w:val="24"/>
          <w:szCs w:val="24"/>
          <w:lang w:val="en-GB"/>
        </w:rPr>
        <w:fldChar w:fldCharType="begin" w:fldLock="1"/>
      </w:r>
      <w:r w:rsidR="00C03D96" w:rsidRPr="004D596A">
        <w:rPr>
          <w:rFonts w:ascii="Book Antiqua" w:hAnsi="Book Antiqua" w:cs="Times New Roman"/>
          <w:sz w:val="24"/>
          <w:szCs w:val="24"/>
          <w:lang w:val="en-GB"/>
        </w:rPr>
        <w:instrText>ADDIN CSL_CITATION {"citationItems":[{"id":"ITEM-1","itemData":{"author":[{"dropping-particle":"","family":"Sitompul","given":"Asri","non-dropping-particle":"","parse-names":false,"suffix":""}],"id":"ITEM-1","issued":{"date-parts":[["1995"]]},"publisher":"Citra Adya Bakti","publisher-place":"Bandung","title":"Pasar Modal, Penawaran Umum dan Permasalahannya","type":"book"},"uris":["http://www.mendeley.com/documents/?uuid=1fccd830-f46a-4333-9be5-d67e41f55eaa"]}],"mendeley":{"formattedCitation":"(A. Sitompul, 1995)","plainTextFormattedCitation":"(A. Sitompul, 1995)","previouslyFormattedCitation":"(A. Sitompul, 1995)"},"properties":{"noteIndex":0},"schema":"https://github.com/citation-style-language/schema/raw/master/csl-citation.json"}</w:instrText>
      </w:r>
      <w:r w:rsidR="000771E1" w:rsidRPr="004D596A">
        <w:rPr>
          <w:rStyle w:val="FootnoteReference"/>
          <w:rFonts w:ascii="Book Antiqua" w:hAnsi="Book Antiqua" w:cs="Times New Roman"/>
          <w:sz w:val="24"/>
          <w:szCs w:val="24"/>
          <w:lang w:val="en-GB"/>
        </w:rPr>
        <w:fldChar w:fldCharType="separate"/>
      </w:r>
      <w:r w:rsidR="00C03D96" w:rsidRPr="004D596A">
        <w:rPr>
          <w:rFonts w:ascii="Book Antiqua" w:hAnsi="Book Antiqua" w:cs="Times New Roman"/>
          <w:noProof/>
          <w:sz w:val="24"/>
          <w:szCs w:val="24"/>
          <w:lang w:val="en-GB"/>
        </w:rPr>
        <w:t>(A. Sitompul, 1995)</w:t>
      </w:r>
      <w:r w:rsidR="000771E1" w:rsidRPr="004D596A">
        <w:rPr>
          <w:rStyle w:val="FootnoteReference"/>
          <w:rFonts w:ascii="Book Antiqua" w:hAnsi="Book Antiqua" w:cs="Times New Roman"/>
          <w:sz w:val="24"/>
          <w:szCs w:val="24"/>
          <w:lang w:val="en-GB"/>
        </w:rPr>
        <w:fldChar w:fldCharType="end"/>
      </w:r>
      <w:r w:rsidRPr="004D596A">
        <w:rPr>
          <w:rFonts w:ascii="Book Antiqua" w:hAnsi="Book Antiqua" w:cs="Times New Roman"/>
          <w:sz w:val="24"/>
          <w:szCs w:val="24"/>
        </w:rPr>
        <w:t>, </w:t>
      </w:r>
      <w:r w:rsidRPr="004D596A">
        <w:rPr>
          <w:rFonts w:ascii="Book Antiqua" w:hAnsi="Book Antiqua" w:cs="Times New Roman"/>
          <w:sz w:val="24"/>
          <w:szCs w:val="24"/>
          <w:lang w:val="id-ID"/>
        </w:rPr>
        <w:t>j</w:t>
      </w:r>
      <w:proofErr w:type="spellStart"/>
      <w:r w:rsidRPr="004D596A">
        <w:rPr>
          <w:rFonts w:ascii="Book Antiqua" w:hAnsi="Book Antiqua" w:cs="Times New Roman"/>
          <w:sz w:val="24"/>
          <w:szCs w:val="24"/>
        </w:rPr>
        <w:t>ust</w:t>
      </w:r>
      <w:proofErr w:type="spellEnd"/>
      <w:r w:rsidRPr="004D596A">
        <w:rPr>
          <w:rFonts w:ascii="Book Antiqua" w:hAnsi="Book Antiqua" w:cs="Times New Roman"/>
          <w:sz w:val="24"/>
          <w:szCs w:val="24"/>
        </w:rPr>
        <w:t xml:space="preserve"> as the capital market accommodates legal entities or businesses in Indonesia, including small and medium-sized enterprises (SMEs), the stock exchange offers securities through fund-raising services. SMEs (Micro, Small, and Medium Enterprises) are productive enterprises operated by individuals or entities that are not subsidiaries or branches of other companies</w:t>
      </w:r>
      <w:r w:rsidR="000771E1" w:rsidRPr="004D596A">
        <w:rPr>
          <w:rFonts w:ascii="Book Antiqua" w:hAnsi="Book Antiqua" w:cs="Times New Roman"/>
          <w:sz w:val="24"/>
          <w:szCs w:val="24"/>
        </w:rPr>
        <w:t xml:space="preserve"> (Chapter 1, Verse 2-3, UU 20/2008)</w:t>
      </w:r>
      <w:r w:rsidRPr="004D596A">
        <w:rPr>
          <w:rFonts w:ascii="Book Antiqua" w:hAnsi="Book Antiqua" w:cs="Times New Roman"/>
          <w:sz w:val="24"/>
          <w:szCs w:val="24"/>
        </w:rPr>
        <w:t xml:space="preserve">. </w:t>
      </w:r>
      <w:r w:rsidRPr="004D596A">
        <w:rPr>
          <w:rFonts w:ascii="Book Antiqua" w:hAnsi="Book Antiqua" w:cs="Times New Roman"/>
          <w:sz w:val="24"/>
          <w:szCs w:val="24"/>
          <w:lang w:val="en-GB"/>
        </w:rPr>
        <w:t>This is based on the classification of issuers as business entities with a net worth of no more than Rp10,000,000,000.00 (ten billion Indonesian Rupiah)</w:t>
      </w:r>
      <w:r w:rsidR="000771E1" w:rsidRPr="004D596A">
        <w:rPr>
          <w:rFonts w:ascii="Book Antiqua" w:hAnsi="Book Antiqua" w:cs="Times New Roman"/>
          <w:sz w:val="24"/>
          <w:szCs w:val="24"/>
          <w:lang w:val="en-GB"/>
        </w:rPr>
        <w:t xml:space="preserve"> (</w:t>
      </w:r>
      <w:r w:rsidR="000771E1" w:rsidRPr="004D596A">
        <w:rPr>
          <w:rFonts w:ascii="Book Antiqua" w:hAnsi="Book Antiqua" w:cs="Times New Roman"/>
          <w:sz w:val="24"/>
          <w:szCs w:val="24"/>
        </w:rPr>
        <w:t>Chapter 46, Verse 1c, POJK 57/2020)</w:t>
      </w:r>
      <w:r w:rsidRPr="004D596A">
        <w:rPr>
          <w:rFonts w:ascii="Book Antiqua" w:hAnsi="Book Antiqua" w:cs="Times New Roman"/>
          <w:sz w:val="24"/>
          <w:szCs w:val="24"/>
        </w:rPr>
        <w:t xml:space="preserve"> </w:t>
      </w:r>
      <w:r w:rsidRPr="004D596A">
        <w:rPr>
          <w:rFonts w:ascii="Book Antiqua" w:hAnsi="Book Antiqua" w:cs="Times New Roman"/>
          <w:sz w:val="24"/>
          <w:szCs w:val="24"/>
          <w:lang w:val="id-ID"/>
        </w:rPr>
        <w:t>a</w:t>
      </w:r>
      <w:proofErr w:type="spellStart"/>
      <w:r w:rsidRPr="004D596A">
        <w:rPr>
          <w:rFonts w:ascii="Book Antiqua" w:hAnsi="Book Antiqua" w:cs="Times New Roman"/>
          <w:sz w:val="24"/>
          <w:szCs w:val="24"/>
          <w:lang w:val="en-GB"/>
        </w:rPr>
        <w:t>nd</w:t>
      </w:r>
      <w:proofErr w:type="spellEnd"/>
      <w:r w:rsidR="001B1AFB">
        <w:rPr>
          <w:rFonts w:ascii="Book Antiqua" w:hAnsi="Book Antiqua" w:cs="Times New Roman"/>
          <w:sz w:val="24"/>
          <w:szCs w:val="24"/>
          <w:lang w:val="en-GB"/>
        </w:rPr>
        <w:t xml:space="preserve"> </w:t>
      </w:r>
      <w:r w:rsidRPr="004D596A">
        <w:rPr>
          <w:rFonts w:ascii="Book Antiqua" w:hAnsi="Book Antiqua" w:cs="Times New Roman"/>
          <w:sz w:val="24"/>
          <w:szCs w:val="24"/>
          <w:lang w:val="en-GB"/>
        </w:rPr>
        <w:t>SMEs have net worth standards: micro units have a net worth of Rp50,000,000.00, small units have a net worth ranging from Rp50,000,000.00 to Rp500,000,000.00, and medium units have a net worth exceeding Rp500,000,000.00 up to Rp10,000,000,000.00 (ten billion Indonesian Rupiah). In these three classifications, the calculation of net worth does not include land and buildings used for business purposes</w:t>
      </w:r>
      <w:r w:rsidR="000771E1" w:rsidRPr="004D596A">
        <w:rPr>
          <w:rFonts w:ascii="Book Antiqua" w:hAnsi="Book Antiqua" w:cs="Times New Roman"/>
          <w:sz w:val="24"/>
          <w:szCs w:val="24"/>
        </w:rPr>
        <w:t xml:space="preserve"> (Chapter 1-3, UU 20/2008)</w:t>
      </w:r>
      <w:r w:rsidR="00314453" w:rsidRPr="004D596A">
        <w:rPr>
          <w:rFonts w:ascii="Book Antiqua" w:hAnsi="Book Antiqua" w:cs="Times New Roman"/>
          <w:sz w:val="24"/>
          <w:szCs w:val="24"/>
        </w:rPr>
        <w:t>.</w:t>
      </w:r>
    </w:p>
    <w:p w14:paraId="2A308416" w14:textId="4FE13ED6" w:rsidR="004D596A" w:rsidRDefault="00DE699D" w:rsidP="002100C8">
      <w:pPr>
        <w:spacing w:before="120" w:after="120" w:line="240" w:lineRule="auto"/>
        <w:ind w:right="-330" w:firstLine="720"/>
        <w:rPr>
          <w:rFonts w:ascii="Book Antiqua" w:hAnsi="Book Antiqua" w:cs="Times New Roman"/>
          <w:sz w:val="24"/>
          <w:szCs w:val="24"/>
        </w:rPr>
      </w:pPr>
      <w:r w:rsidRPr="004D596A">
        <w:rPr>
          <w:rFonts w:ascii="Book Antiqua" w:hAnsi="Book Antiqua" w:cs="Times New Roman"/>
          <w:sz w:val="24"/>
          <w:szCs w:val="24"/>
          <w:lang w:val="en-GB"/>
        </w:rPr>
        <w:t>The internet as a foundation for meeting working capital is used through open joint venture activities used in securities crowdfunding</w:t>
      </w:r>
      <w:r w:rsidR="000771E1" w:rsidRPr="004D596A">
        <w:rPr>
          <w:rFonts w:ascii="Book Antiqua" w:hAnsi="Book Antiqua" w:cs="Times New Roman"/>
          <w:sz w:val="24"/>
          <w:szCs w:val="24"/>
          <w:lang w:val="en-GB"/>
        </w:rPr>
        <w:t xml:space="preserve"> </w:t>
      </w:r>
      <w:r w:rsidR="000771E1" w:rsidRPr="004D596A">
        <w:rPr>
          <w:rFonts w:ascii="Book Antiqua" w:hAnsi="Book Antiqua" w:cs="Times New Roman"/>
          <w:sz w:val="24"/>
          <w:szCs w:val="24"/>
          <w:lang w:val="en-GB"/>
        </w:rPr>
        <w:fldChar w:fldCharType="begin" w:fldLock="1"/>
      </w:r>
      <w:r w:rsidR="000771E1" w:rsidRPr="004D596A">
        <w:rPr>
          <w:rFonts w:ascii="Book Antiqua" w:hAnsi="Book Antiqua" w:cs="Times New Roman"/>
          <w:sz w:val="24"/>
          <w:szCs w:val="24"/>
          <w:lang w:val="en-GB"/>
        </w:rPr>
        <w:instrText>ADDIN CSL_CITATION {"citationItems":[{"id":"ITEM-1","itemData":{"DOI":"10.2139/ssrn.1578175","ISSN":"1556-5068","author":[{"dropping-particle":"","family":"Belleflamme","given":"Paul","non-dropping-particle":"","parse-names":false,"suffix":""},{"dropping-particle":"","family":"Lambert","given":"Thomas","non-dropping-particle":"","parse-names":false,"suffix":""},{"dropping-particle":"","family":"Schwienbacher","given":"Armin","non-dropping-particle":"","parse-names":false,"suffix":""}],"container-title":"SSRN Electronic Journal","id":"ITEM-1","issued":{"date-parts":[["2012"]]},"title":"Crowdfunding: Tapping the Right Crowd","type":"article-journal"},"uris":["http://www.mendeley.com/documents/?uuid=f663e9e1-519a-404c-98e8-61d2575a4885"]}],"mendeley":{"formattedCitation":"(Belleflamme et al., 2012)","plainTextFormattedCitation":"(Belleflamme et al., 2012)","previouslyFormattedCitation":"(Belleflamme et al., 2012)"},"properties":{"noteIndex":0},"schema":"https://github.com/citation-style-language/schema/raw/master/csl-citation.json"}</w:instrText>
      </w:r>
      <w:r w:rsidR="000771E1" w:rsidRPr="004D596A">
        <w:rPr>
          <w:rFonts w:ascii="Book Antiqua" w:hAnsi="Book Antiqua" w:cs="Times New Roman"/>
          <w:sz w:val="24"/>
          <w:szCs w:val="24"/>
          <w:lang w:val="en-GB"/>
        </w:rPr>
        <w:fldChar w:fldCharType="separate"/>
      </w:r>
      <w:r w:rsidR="000771E1" w:rsidRPr="004D596A">
        <w:rPr>
          <w:rFonts w:ascii="Book Antiqua" w:hAnsi="Book Antiqua" w:cs="Times New Roman"/>
          <w:noProof/>
          <w:sz w:val="24"/>
          <w:szCs w:val="24"/>
          <w:lang w:val="en-GB"/>
        </w:rPr>
        <w:t>(Belleflamme et al., 2012)</w:t>
      </w:r>
      <w:r w:rsidR="000771E1" w:rsidRPr="004D596A">
        <w:rPr>
          <w:rFonts w:ascii="Book Antiqua" w:hAnsi="Book Antiqua" w:cs="Times New Roman"/>
          <w:sz w:val="24"/>
          <w:szCs w:val="24"/>
          <w:lang w:val="en-GB"/>
        </w:rPr>
        <w:fldChar w:fldCharType="end"/>
      </w:r>
      <w:r w:rsidRPr="004D596A">
        <w:rPr>
          <w:rFonts w:ascii="Book Antiqua" w:hAnsi="Book Antiqua" w:cs="Times New Roman"/>
          <w:sz w:val="24"/>
          <w:szCs w:val="24"/>
        </w:rPr>
        <w:t xml:space="preserve"> </w:t>
      </w:r>
      <w:r w:rsidRPr="004D596A">
        <w:rPr>
          <w:rFonts w:ascii="Book Antiqua" w:hAnsi="Book Antiqua" w:cs="Times New Roman"/>
          <w:sz w:val="24"/>
          <w:szCs w:val="24"/>
          <w:lang w:val="en-GB"/>
        </w:rPr>
        <w:t>with binding financial contracts regarding profit sharing, revenue sharing, and similar gains. Indonesia positions securities crowdfunding as a tool to help MSMEs and startup companies obtain capital using internet-based mutual cooperation schemes through fintech platforms by prioritising efficiency and effectiveness. In implementing securities crowdfunding, capital participation can also be carried out by investors in the form of bonds or sukuk from MSMEs and start-up company investors</w:t>
      </w:r>
      <w:r w:rsidR="000771E1" w:rsidRPr="004D596A">
        <w:rPr>
          <w:rFonts w:ascii="Book Antiqua" w:hAnsi="Book Antiqua" w:cs="Times New Roman"/>
          <w:sz w:val="24"/>
          <w:szCs w:val="24"/>
          <w:lang w:val="en-GB"/>
        </w:rPr>
        <w:t xml:space="preserve"> </w:t>
      </w:r>
      <w:r w:rsidR="000771E1" w:rsidRPr="004D596A">
        <w:rPr>
          <w:rFonts w:ascii="Book Antiqua" w:hAnsi="Book Antiqua" w:cs="Times New Roman"/>
          <w:sz w:val="24"/>
          <w:szCs w:val="24"/>
          <w:lang w:val="en-GB"/>
        </w:rPr>
        <w:fldChar w:fldCharType="begin" w:fldLock="1"/>
      </w:r>
      <w:r w:rsidR="000771E1" w:rsidRPr="004D596A">
        <w:rPr>
          <w:rFonts w:ascii="Book Antiqua" w:hAnsi="Book Antiqua" w:cs="Times New Roman"/>
          <w:sz w:val="24"/>
          <w:szCs w:val="24"/>
          <w:lang w:val="en-GB"/>
        </w:rPr>
        <w:instrText>ADDIN CSL_CITATION {"citationItems":[{"id":"ITEM-1","itemData":{"DOI":"https://doi.org/10.30872/jkin.v18i2.9651","abstract":"Artikel ini membahas mengenai strategi komunikasi pemasaran dalam salah satu perusahaan rintisan teknologi berbasis securities crowdfunding. Securities crowdfunding atau SCF merupakan sebuah skema investasi baru yang berfokus untuk mendanai sector usaha kecil dan menengah (UKM), pada dasarnya skema investasi yang ada di SCF sama seperti investasi yang ada di bursa efek Indonesia (BEI) perbedaanya hanya terdapat di dalam jenis emitennya saja jika di dalam BEI emiten yang terdaftar adalah emiten yang memiliki kapitalisasi pasar yang besar lain halnya dalam SCF, emiten yanb terdaftar di SCF adalah emiten yang memiliki kapitasasi pasar yang relative kecil. Peneliti dalam melakukan penelitian ini menggunakan teori integrated marketing communication (IMC) dari Kotler and Armstrong, dalam teori tersebut terdapat 7 elemen penting dalam aktivitas pemasaran yaitu Iklan, Promosi Penjualan, Publisitas, Penjualan Personal, Pemasaran Langsung, dan Media Interaktif, dan Event and Experience. Ketujuh elemen ini jika dikombinasikan dengan baik akan menciptakan suatu aktivitas pemasaran yang efektif dan efisien, sehingga pesan yang disampaikan dapat diterima dengan baik oleh publik.","author":[{"dropping-particle":"","family":"Gigih Prahastoro, Firdaus Yuni Dharta","given":"Rastri Kusumaningrum","non-dropping-particle":"","parse-names":false,"suffix":""}],"container-title":"Kinerja Jurnal Ekonomi dan Manajemen","id":"ITEM-1","issue":"2","issued":{"date-parts":[["2021"]]},"title":"Strategi komunikasi pemasaran layanan securities crowdfunding dalam menarik minat masyarakat untuk berinvestasi di sektor ukm","type":"article-journal","volume":"18"},"uris":["http://www.mendeley.com/documents/?uuid=70e8b105-a47f-4bda-8a81-661f2fff2892"]}],"mendeley":{"formattedCitation":"(Gigih Prahastoro, Firdaus Yuni Dharta, 2021)","plainTextFormattedCitation":"(Gigih Prahastoro, Firdaus Yuni Dharta, 2021)","previouslyFormattedCitation":"(Gigih Prahastoro, Firdaus Yuni Dharta, 2021)"},"properties":{"noteIndex":0},"schema":"https://github.com/citation-style-language/schema/raw/master/csl-citation.json"}</w:instrText>
      </w:r>
      <w:r w:rsidR="000771E1" w:rsidRPr="004D596A">
        <w:rPr>
          <w:rFonts w:ascii="Book Antiqua" w:hAnsi="Book Antiqua" w:cs="Times New Roman"/>
          <w:sz w:val="24"/>
          <w:szCs w:val="24"/>
          <w:lang w:val="en-GB"/>
        </w:rPr>
        <w:fldChar w:fldCharType="separate"/>
      </w:r>
      <w:r w:rsidR="000771E1" w:rsidRPr="004D596A">
        <w:rPr>
          <w:rFonts w:ascii="Book Antiqua" w:hAnsi="Book Antiqua" w:cs="Times New Roman"/>
          <w:noProof/>
          <w:sz w:val="24"/>
          <w:szCs w:val="24"/>
          <w:lang w:val="en-GB"/>
        </w:rPr>
        <w:t>(Gigih Prahastoro, Firdaus Yuni Dharta, 2021)</w:t>
      </w:r>
      <w:r w:rsidR="000771E1" w:rsidRPr="004D596A">
        <w:rPr>
          <w:rFonts w:ascii="Book Antiqua" w:hAnsi="Book Antiqua" w:cs="Times New Roman"/>
          <w:sz w:val="24"/>
          <w:szCs w:val="24"/>
          <w:lang w:val="en-GB"/>
        </w:rPr>
        <w:fldChar w:fldCharType="end"/>
      </w:r>
      <w:r w:rsidRPr="004D596A">
        <w:rPr>
          <w:rFonts w:ascii="Book Antiqua" w:hAnsi="Book Antiqua" w:cs="Times New Roman"/>
          <w:sz w:val="24"/>
          <w:szCs w:val="24"/>
        </w:rPr>
        <w:t>.</w:t>
      </w:r>
    </w:p>
    <w:p w14:paraId="1224F041" w14:textId="20AD4058" w:rsidR="004D596A" w:rsidRDefault="00DE699D" w:rsidP="004D596A">
      <w:pPr>
        <w:spacing w:before="120" w:after="240" w:line="240" w:lineRule="auto"/>
        <w:ind w:right="-329" w:firstLine="720"/>
        <w:rPr>
          <w:rFonts w:ascii="Book Antiqua" w:hAnsi="Book Antiqua" w:cs="Times New Roman"/>
          <w:sz w:val="24"/>
          <w:szCs w:val="24"/>
        </w:rPr>
      </w:pPr>
      <w:r w:rsidRPr="004D596A">
        <w:rPr>
          <w:rFonts w:ascii="Book Antiqua" w:hAnsi="Book Antiqua" w:cs="Times New Roman"/>
          <w:sz w:val="24"/>
          <w:szCs w:val="24"/>
        </w:rPr>
        <w:t>The Investment Alert Task Force (SWI) has released records of public losses amounting to Rp 117.4 trillion (one hundred seventeen trillion four hundred billion Indonesian Rupiah) over the period from 2011 to 2021. The public was influenced by investments offering convenience through applications, websites, and digital branding on social media involving religious figures and celebrities. Investors were facilitated by being connected to companies or SMEs by fictitious organi</w:t>
      </w:r>
      <w:r w:rsidR="001B1AFB">
        <w:rPr>
          <w:rFonts w:ascii="Book Antiqua" w:hAnsi="Book Antiqua" w:cs="Times New Roman"/>
          <w:sz w:val="24"/>
          <w:szCs w:val="24"/>
        </w:rPr>
        <w:t>z</w:t>
      </w:r>
      <w:r w:rsidRPr="004D596A">
        <w:rPr>
          <w:rFonts w:ascii="Book Antiqua" w:hAnsi="Book Antiqua" w:cs="Times New Roman"/>
          <w:sz w:val="24"/>
          <w:szCs w:val="24"/>
        </w:rPr>
        <w:t>ers with criminal motives. However, what occurred was fraud; even when investor funds had been deposited into the perpetrator's (who claimed to be the organi</w:t>
      </w:r>
      <w:r w:rsidR="001B1AFB">
        <w:rPr>
          <w:rFonts w:ascii="Book Antiqua" w:hAnsi="Book Antiqua" w:cs="Times New Roman"/>
          <w:sz w:val="24"/>
          <w:szCs w:val="24"/>
        </w:rPr>
        <w:t>z</w:t>
      </w:r>
      <w:r w:rsidRPr="004D596A">
        <w:rPr>
          <w:rFonts w:ascii="Book Antiqua" w:hAnsi="Book Antiqua" w:cs="Times New Roman"/>
          <w:sz w:val="24"/>
          <w:szCs w:val="24"/>
        </w:rPr>
        <w:t>er) account, the funds were not transferred to the issuing company</w:t>
      </w:r>
      <w:r w:rsidR="000771E1" w:rsidRPr="004D596A">
        <w:rPr>
          <w:rFonts w:ascii="Book Antiqua" w:hAnsi="Book Antiqua" w:cs="Times New Roman"/>
          <w:sz w:val="24"/>
          <w:szCs w:val="24"/>
        </w:rPr>
        <w:t xml:space="preserve"> (SWI OJK, 2021)</w:t>
      </w:r>
      <w:r w:rsidRPr="004D596A">
        <w:rPr>
          <w:rFonts w:ascii="Book Antiqua" w:hAnsi="Book Antiqua" w:cs="Times New Roman"/>
          <w:sz w:val="24"/>
          <w:szCs w:val="24"/>
        </w:rPr>
        <w:t>.</w:t>
      </w:r>
    </w:p>
    <w:p w14:paraId="6C129A7C" w14:textId="77777777" w:rsidR="002100C8" w:rsidRDefault="002100C8">
      <w:pPr>
        <w:spacing w:after="160" w:line="259" w:lineRule="auto"/>
        <w:jc w:val="left"/>
        <w:rPr>
          <w:rFonts w:ascii="Book Antiqua" w:hAnsi="Book Antiqua" w:cs="Times New Roman"/>
          <w:b/>
          <w:bCs/>
        </w:rPr>
      </w:pPr>
      <w:r>
        <w:rPr>
          <w:rFonts w:ascii="Book Antiqua" w:hAnsi="Book Antiqua" w:cs="Times New Roman"/>
          <w:b/>
          <w:bCs/>
        </w:rPr>
        <w:br w:type="page"/>
      </w:r>
    </w:p>
    <w:p w14:paraId="298CC035" w14:textId="0F347FAC" w:rsidR="00DE699D" w:rsidRPr="009A5150" w:rsidRDefault="00DE699D" w:rsidP="004D596A">
      <w:pPr>
        <w:spacing w:before="120" w:after="120" w:line="240" w:lineRule="auto"/>
        <w:ind w:right="-330"/>
        <w:jc w:val="center"/>
        <w:rPr>
          <w:rFonts w:ascii="Book Antiqua" w:hAnsi="Book Antiqua" w:cs="Times New Roman"/>
          <w:sz w:val="24"/>
          <w:szCs w:val="24"/>
        </w:rPr>
      </w:pPr>
      <w:r w:rsidRPr="009A5150">
        <w:rPr>
          <w:rFonts w:ascii="Book Antiqua" w:hAnsi="Book Antiqua" w:cs="Times New Roman"/>
          <w:b/>
          <w:bCs/>
        </w:rPr>
        <w:lastRenderedPageBreak/>
        <w:t>Tabel 1</w:t>
      </w:r>
      <w:r w:rsidR="009A5150" w:rsidRPr="009A5150">
        <w:rPr>
          <w:rFonts w:ascii="Book Antiqua" w:hAnsi="Book Antiqua" w:cs="Times New Roman"/>
          <w:lang w:val="id-ID"/>
        </w:rPr>
        <w:t>.</w:t>
      </w:r>
      <w:r w:rsidRPr="009A5150">
        <w:rPr>
          <w:rFonts w:ascii="Book Antiqua" w:hAnsi="Book Antiqua" w:cs="Times New Roman"/>
          <w:lang w:val="id-ID"/>
        </w:rPr>
        <w:t xml:space="preserve"> </w:t>
      </w:r>
      <w:r w:rsidRPr="009A5150">
        <w:rPr>
          <w:rFonts w:ascii="Book Antiqua" w:hAnsi="Book Antiqua" w:cs="Times New Roman"/>
          <w:b/>
          <w:bCs/>
          <w:lang w:val="id-ID"/>
        </w:rPr>
        <w:t>The Crimes Mode</w:t>
      </w:r>
    </w:p>
    <w:tbl>
      <w:tblPr>
        <w:tblW w:w="88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984"/>
        <w:gridCol w:w="6343"/>
      </w:tblGrid>
      <w:tr w:rsidR="00DE699D" w:rsidRPr="004D596A" w14:paraId="37A0A46F" w14:textId="77777777" w:rsidTr="004D596A">
        <w:trPr>
          <w:trHeight w:val="209"/>
          <w:jc w:val="right"/>
        </w:trPr>
        <w:tc>
          <w:tcPr>
            <w:tcW w:w="567" w:type="dxa"/>
            <w:shd w:val="clear" w:color="auto" w:fill="D9D9D9"/>
            <w:vAlign w:val="center"/>
          </w:tcPr>
          <w:p w14:paraId="17B679DD" w14:textId="77777777" w:rsidR="00DE699D" w:rsidRPr="004D596A" w:rsidRDefault="00DE699D" w:rsidP="00262774">
            <w:pPr>
              <w:spacing w:after="0" w:line="240" w:lineRule="auto"/>
              <w:ind w:right="-332" w:hanging="397"/>
              <w:jc w:val="center"/>
              <w:rPr>
                <w:rFonts w:ascii="Book Antiqua" w:hAnsi="Book Antiqua" w:cs="Times New Roman"/>
                <w:b/>
                <w:bCs/>
                <w:lang w:val="id-ID"/>
              </w:rPr>
            </w:pPr>
            <w:r w:rsidRPr="004D596A">
              <w:rPr>
                <w:rFonts w:ascii="Book Antiqua" w:hAnsi="Book Antiqua" w:cs="Times New Roman"/>
                <w:b/>
                <w:bCs/>
                <w:lang w:val="id-ID"/>
              </w:rPr>
              <w:t>No</w:t>
            </w:r>
          </w:p>
        </w:tc>
        <w:tc>
          <w:tcPr>
            <w:tcW w:w="1984" w:type="dxa"/>
            <w:shd w:val="clear" w:color="auto" w:fill="D9D9D9"/>
            <w:vAlign w:val="center"/>
          </w:tcPr>
          <w:p w14:paraId="4E6DC723" w14:textId="77777777" w:rsidR="00DE699D" w:rsidRPr="004D596A" w:rsidRDefault="00DE699D" w:rsidP="00262774">
            <w:pPr>
              <w:spacing w:after="0" w:line="240" w:lineRule="auto"/>
              <w:ind w:right="-330" w:hanging="387"/>
              <w:jc w:val="center"/>
              <w:rPr>
                <w:rFonts w:ascii="Book Antiqua" w:hAnsi="Book Antiqua" w:cs="Times New Roman"/>
                <w:b/>
                <w:bCs/>
                <w:lang w:val="id-ID"/>
              </w:rPr>
            </w:pPr>
            <w:r w:rsidRPr="004D596A">
              <w:rPr>
                <w:rFonts w:ascii="Book Antiqua" w:hAnsi="Book Antiqua" w:cs="Times New Roman"/>
                <w:b/>
                <w:bCs/>
              </w:rPr>
              <w:t>Mod</w:t>
            </w:r>
            <w:r w:rsidRPr="004D596A">
              <w:rPr>
                <w:rFonts w:ascii="Book Antiqua" w:hAnsi="Book Antiqua" w:cs="Times New Roman"/>
                <w:b/>
                <w:bCs/>
                <w:lang w:val="id-ID"/>
              </w:rPr>
              <w:t>e</w:t>
            </w:r>
          </w:p>
        </w:tc>
        <w:tc>
          <w:tcPr>
            <w:tcW w:w="6343" w:type="dxa"/>
            <w:shd w:val="clear" w:color="auto" w:fill="D9D9D9"/>
            <w:vAlign w:val="center"/>
          </w:tcPr>
          <w:p w14:paraId="647D57DD" w14:textId="77777777" w:rsidR="00DE699D" w:rsidRPr="004D596A" w:rsidRDefault="00DE699D" w:rsidP="00262774">
            <w:pPr>
              <w:spacing w:after="0" w:line="240" w:lineRule="auto"/>
              <w:ind w:right="-330" w:hanging="107"/>
              <w:jc w:val="center"/>
              <w:rPr>
                <w:rFonts w:ascii="Book Antiqua" w:hAnsi="Book Antiqua" w:cs="Times New Roman"/>
                <w:b/>
                <w:bCs/>
                <w:lang w:val="id-ID"/>
              </w:rPr>
            </w:pPr>
            <w:r w:rsidRPr="004D596A">
              <w:rPr>
                <w:rFonts w:ascii="Book Antiqua" w:hAnsi="Book Antiqua" w:cs="Times New Roman"/>
                <w:b/>
                <w:bCs/>
                <w:lang w:val="id-ID"/>
              </w:rPr>
              <w:t>Description</w:t>
            </w:r>
          </w:p>
        </w:tc>
      </w:tr>
      <w:tr w:rsidR="00DE699D" w:rsidRPr="004D596A" w14:paraId="14C0A224" w14:textId="77777777" w:rsidTr="004D596A">
        <w:trPr>
          <w:jc w:val="right"/>
        </w:trPr>
        <w:tc>
          <w:tcPr>
            <w:tcW w:w="567" w:type="dxa"/>
            <w:shd w:val="clear" w:color="auto" w:fill="auto"/>
            <w:vAlign w:val="center"/>
          </w:tcPr>
          <w:p w14:paraId="28D1066D" w14:textId="77777777" w:rsidR="00DE699D" w:rsidRPr="004D596A" w:rsidRDefault="00DE699D" w:rsidP="00262774">
            <w:pPr>
              <w:spacing w:after="0" w:line="240" w:lineRule="auto"/>
              <w:ind w:right="-332" w:hanging="397"/>
              <w:jc w:val="center"/>
              <w:rPr>
                <w:rFonts w:ascii="Book Antiqua" w:hAnsi="Book Antiqua" w:cs="Times New Roman"/>
                <w:lang w:val="id-ID"/>
              </w:rPr>
            </w:pPr>
            <w:r w:rsidRPr="004D596A">
              <w:rPr>
                <w:rFonts w:ascii="Book Antiqua" w:hAnsi="Book Antiqua" w:cs="Times New Roman"/>
                <w:lang w:val="id-ID"/>
              </w:rPr>
              <w:t>1</w:t>
            </w:r>
          </w:p>
        </w:tc>
        <w:tc>
          <w:tcPr>
            <w:tcW w:w="1984" w:type="dxa"/>
            <w:shd w:val="clear" w:color="auto" w:fill="auto"/>
            <w:vAlign w:val="center"/>
          </w:tcPr>
          <w:p w14:paraId="75F03DBD" w14:textId="77777777" w:rsidR="00DE699D" w:rsidRPr="004D596A" w:rsidRDefault="00DE699D" w:rsidP="00262774">
            <w:pPr>
              <w:spacing w:after="0" w:line="240" w:lineRule="auto"/>
              <w:ind w:right="52"/>
              <w:jc w:val="left"/>
              <w:rPr>
                <w:rFonts w:ascii="Book Antiqua" w:hAnsi="Book Antiqua" w:cs="Times New Roman"/>
              </w:rPr>
            </w:pPr>
            <w:r w:rsidRPr="004D596A">
              <w:rPr>
                <w:rFonts w:ascii="Book Antiqua" w:hAnsi="Book Antiqua" w:cs="Times New Roman"/>
              </w:rPr>
              <w:t>Unlicensed fundraising service providers</w:t>
            </w:r>
          </w:p>
        </w:tc>
        <w:tc>
          <w:tcPr>
            <w:tcW w:w="6343" w:type="dxa"/>
            <w:shd w:val="clear" w:color="auto" w:fill="auto"/>
            <w:vAlign w:val="center"/>
          </w:tcPr>
          <w:p w14:paraId="1C7D7A11" w14:textId="77777777" w:rsidR="00DE699D" w:rsidRPr="004D596A" w:rsidRDefault="00DE699D" w:rsidP="00262774">
            <w:pPr>
              <w:spacing w:after="0" w:line="240" w:lineRule="auto"/>
              <w:ind w:right="19"/>
              <w:rPr>
                <w:rFonts w:ascii="Book Antiqua" w:hAnsi="Book Antiqua" w:cs="Times New Roman"/>
                <w:lang w:val="id-ID"/>
              </w:rPr>
            </w:pPr>
            <w:r w:rsidRPr="004D596A">
              <w:rPr>
                <w:rFonts w:ascii="Book Antiqua" w:hAnsi="Book Antiqua" w:cs="Times New Roman"/>
              </w:rPr>
              <w:t>Investors are connected to securities issuing companies, which in fact is a scam, and the acquired capital is transferred to the personal account of the perpetrator</w:t>
            </w:r>
          </w:p>
        </w:tc>
      </w:tr>
      <w:tr w:rsidR="00DE699D" w:rsidRPr="004D596A" w14:paraId="6EBE7E37" w14:textId="77777777" w:rsidTr="004D596A">
        <w:trPr>
          <w:jc w:val="right"/>
        </w:trPr>
        <w:tc>
          <w:tcPr>
            <w:tcW w:w="567" w:type="dxa"/>
            <w:shd w:val="clear" w:color="auto" w:fill="auto"/>
            <w:vAlign w:val="center"/>
          </w:tcPr>
          <w:p w14:paraId="3D18E8E3" w14:textId="77777777" w:rsidR="00DE699D" w:rsidRPr="004D596A" w:rsidRDefault="00DE699D" w:rsidP="00262774">
            <w:pPr>
              <w:spacing w:after="0" w:line="240" w:lineRule="auto"/>
              <w:ind w:right="-332" w:hanging="397"/>
              <w:jc w:val="center"/>
              <w:rPr>
                <w:rFonts w:ascii="Book Antiqua" w:hAnsi="Book Antiqua" w:cs="Times New Roman"/>
              </w:rPr>
            </w:pPr>
            <w:r w:rsidRPr="004D596A">
              <w:rPr>
                <w:rFonts w:ascii="Book Antiqua" w:hAnsi="Book Antiqua" w:cs="Times New Roman"/>
              </w:rPr>
              <w:t>2</w:t>
            </w:r>
          </w:p>
        </w:tc>
        <w:tc>
          <w:tcPr>
            <w:tcW w:w="1984" w:type="dxa"/>
            <w:shd w:val="clear" w:color="auto" w:fill="auto"/>
            <w:vAlign w:val="center"/>
          </w:tcPr>
          <w:p w14:paraId="7FAB33F0" w14:textId="77777777" w:rsidR="00DE699D" w:rsidRPr="004D596A" w:rsidRDefault="00DE699D" w:rsidP="00262774">
            <w:pPr>
              <w:spacing w:after="0" w:line="240" w:lineRule="auto"/>
              <w:ind w:right="52"/>
              <w:jc w:val="left"/>
              <w:rPr>
                <w:rFonts w:ascii="Book Antiqua" w:hAnsi="Book Antiqua" w:cs="Times New Roman"/>
              </w:rPr>
            </w:pPr>
            <w:r w:rsidRPr="004D596A">
              <w:rPr>
                <w:rFonts w:ascii="Book Antiqua" w:hAnsi="Book Antiqua" w:cs="Times New Roman"/>
              </w:rPr>
              <w:t>The concept of a money game is used to promote stocks</w:t>
            </w:r>
          </w:p>
        </w:tc>
        <w:tc>
          <w:tcPr>
            <w:tcW w:w="6343" w:type="dxa"/>
            <w:shd w:val="clear" w:color="auto" w:fill="auto"/>
            <w:vAlign w:val="center"/>
          </w:tcPr>
          <w:p w14:paraId="65F47878" w14:textId="77777777" w:rsidR="00DE699D" w:rsidRPr="004D596A" w:rsidRDefault="00DE699D" w:rsidP="00262774">
            <w:pPr>
              <w:spacing w:after="0" w:line="240" w:lineRule="auto"/>
              <w:ind w:right="19"/>
              <w:rPr>
                <w:rFonts w:ascii="Book Antiqua" w:hAnsi="Book Antiqua" w:cs="Times New Roman"/>
              </w:rPr>
            </w:pPr>
            <w:r w:rsidRPr="004D596A">
              <w:rPr>
                <w:rFonts w:ascii="Book Antiqua" w:hAnsi="Book Antiqua" w:cs="Times New Roman"/>
              </w:rPr>
              <w:t>Criminal clues involve promoting investment bundling with fixed profit-sharing agreements, no time constraints, and using a member get member scheme by offering bonuses for each referral</w:t>
            </w:r>
          </w:p>
        </w:tc>
      </w:tr>
      <w:tr w:rsidR="00DE699D" w:rsidRPr="004D596A" w14:paraId="1E7C95C2" w14:textId="77777777" w:rsidTr="004D596A">
        <w:trPr>
          <w:jc w:val="right"/>
        </w:trPr>
        <w:tc>
          <w:tcPr>
            <w:tcW w:w="567" w:type="dxa"/>
            <w:shd w:val="clear" w:color="auto" w:fill="auto"/>
            <w:vAlign w:val="center"/>
          </w:tcPr>
          <w:p w14:paraId="1CFCF008" w14:textId="77777777" w:rsidR="00DE699D" w:rsidRPr="004D596A" w:rsidRDefault="00DE699D" w:rsidP="00262774">
            <w:pPr>
              <w:spacing w:after="0" w:line="240" w:lineRule="auto"/>
              <w:ind w:right="-332" w:hanging="397"/>
              <w:jc w:val="center"/>
              <w:rPr>
                <w:rFonts w:ascii="Book Antiqua" w:hAnsi="Book Antiqua" w:cs="Times New Roman"/>
              </w:rPr>
            </w:pPr>
            <w:r w:rsidRPr="004D596A">
              <w:rPr>
                <w:rFonts w:ascii="Book Antiqua" w:hAnsi="Book Antiqua" w:cs="Times New Roman"/>
              </w:rPr>
              <w:t>3</w:t>
            </w:r>
          </w:p>
        </w:tc>
        <w:tc>
          <w:tcPr>
            <w:tcW w:w="1984" w:type="dxa"/>
            <w:shd w:val="clear" w:color="auto" w:fill="auto"/>
            <w:vAlign w:val="center"/>
          </w:tcPr>
          <w:p w14:paraId="2E9113B0" w14:textId="77777777" w:rsidR="00DE699D" w:rsidRPr="004D596A" w:rsidRDefault="00DE699D" w:rsidP="00262774">
            <w:pPr>
              <w:spacing w:after="0" w:line="240" w:lineRule="auto"/>
              <w:ind w:right="52"/>
              <w:jc w:val="left"/>
              <w:rPr>
                <w:rFonts w:ascii="Book Antiqua" w:hAnsi="Book Antiqua" w:cs="Times New Roman"/>
                <w:lang w:val="id-ID"/>
              </w:rPr>
            </w:pPr>
            <w:r w:rsidRPr="004D596A">
              <w:rPr>
                <w:rFonts w:ascii="Book Antiqua" w:hAnsi="Book Antiqua" w:cs="Times New Roman"/>
              </w:rPr>
              <w:t>Legal companies are duplicated on websites or in name</w:t>
            </w:r>
          </w:p>
        </w:tc>
        <w:tc>
          <w:tcPr>
            <w:tcW w:w="6343" w:type="dxa"/>
            <w:shd w:val="clear" w:color="auto" w:fill="auto"/>
            <w:vAlign w:val="center"/>
          </w:tcPr>
          <w:p w14:paraId="0EAD03EF" w14:textId="77777777" w:rsidR="00DE699D" w:rsidRPr="004D596A" w:rsidRDefault="00DE699D" w:rsidP="00262774">
            <w:pPr>
              <w:spacing w:after="0" w:line="240" w:lineRule="auto"/>
              <w:ind w:right="19"/>
              <w:rPr>
                <w:rFonts w:ascii="Book Antiqua" w:hAnsi="Book Antiqua" w:cs="Times New Roman"/>
                <w:lang w:val="id-ID"/>
              </w:rPr>
            </w:pPr>
            <w:r w:rsidRPr="004D596A">
              <w:rPr>
                <w:rFonts w:ascii="Book Antiqua" w:hAnsi="Book Antiqua" w:cs="Times New Roman"/>
              </w:rPr>
              <w:t>Crimes are committed by offering investments using the name of a legal company, the use of symbols of authorized institutions, and promotion through websites and chat applications</w:t>
            </w:r>
          </w:p>
        </w:tc>
      </w:tr>
      <w:tr w:rsidR="00DE699D" w:rsidRPr="004D596A" w14:paraId="042CD242" w14:textId="77777777" w:rsidTr="004D596A">
        <w:trPr>
          <w:jc w:val="right"/>
        </w:trPr>
        <w:tc>
          <w:tcPr>
            <w:tcW w:w="567" w:type="dxa"/>
            <w:shd w:val="clear" w:color="auto" w:fill="auto"/>
            <w:vAlign w:val="center"/>
          </w:tcPr>
          <w:p w14:paraId="2C89F437" w14:textId="77777777" w:rsidR="00DE699D" w:rsidRPr="004D596A" w:rsidRDefault="00DE699D" w:rsidP="00262774">
            <w:pPr>
              <w:spacing w:after="0" w:line="240" w:lineRule="auto"/>
              <w:ind w:right="-332" w:hanging="397"/>
              <w:jc w:val="center"/>
              <w:rPr>
                <w:rFonts w:ascii="Book Antiqua" w:hAnsi="Book Antiqua" w:cs="Times New Roman"/>
              </w:rPr>
            </w:pPr>
            <w:r w:rsidRPr="004D596A">
              <w:rPr>
                <w:rFonts w:ascii="Book Antiqua" w:hAnsi="Book Antiqua" w:cs="Times New Roman"/>
              </w:rPr>
              <w:t>4</w:t>
            </w:r>
          </w:p>
        </w:tc>
        <w:tc>
          <w:tcPr>
            <w:tcW w:w="1984" w:type="dxa"/>
            <w:shd w:val="clear" w:color="auto" w:fill="auto"/>
            <w:vAlign w:val="center"/>
          </w:tcPr>
          <w:p w14:paraId="436AB96C" w14:textId="77777777" w:rsidR="00DE699D" w:rsidRPr="004D596A" w:rsidRDefault="00DE699D" w:rsidP="00262774">
            <w:pPr>
              <w:spacing w:after="0" w:line="240" w:lineRule="auto"/>
              <w:ind w:right="52"/>
              <w:jc w:val="left"/>
              <w:rPr>
                <w:rFonts w:ascii="Book Antiqua" w:hAnsi="Book Antiqua" w:cs="Times New Roman"/>
                <w:lang w:val="id-ID"/>
              </w:rPr>
            </w:pPr>
            <w:r w:rsidRPr="004D596A">
              <w:rPr>
                <w:rFonts w:ascii="Book Antiqua" w:hAnsi="Book Antiqua" w:cs="Times New Roman"/>
              </w:rPr>
              <w:t>Providing investment advice by illegal investment advisors</w:t>
            </w:r>
          </w:p>
        </w:tc>
        <w:tc>
          <w:tcPr>
            <w:tcW w:w="6343" w:type="dxa"/>
            <w:shd w:val="clear" w:color="auto" w:fill="auto"/>
            <w:vAlign w:val="center"/>
          </w:tcPr>
          <w:p w14:paraId="70583D19" w14:textId="77777777" w:rsidR="00DE699D" w:rsidRPr="004D596A" w:rsidRDefault="00DE699D" w:rsidP="00262774">
            <w:pPr>
              <w:spacing w:after="0" w:line="240" w:lineRule="auto"/>
              <w:ind w:right="19"/>
              <w:rPr>
                <w:rFonts w:ascii="Book Antiqua" w:hAnsi="Book Antiqua" w:cs="Times New Roman"/>
                <w:lang w:val="id-ID"/>
              </w:rPr>
            </w:pPr>
            <w:r w:rsidRPr="004D596A">
              <w:rPr>
                <w:rFonts w:ascii="Book Antiqua" w:hAnsi="Book Antiqua" w:cs="Times New Roman"/>
              </w:rPr>
              <w:t>These crimes are committed by individuals or institutions through self-branding to increase popularity, portraying themselves as Financial Planners with the fact that the permits and certifications they hold are in other service fields</w:t>
            </w:r>
          </w:p>
        </w:tc>
      </w:tr>
    </w:tbl>
    <w:p w14:paraId="5E510023" w14:textId="20BD7F4F" w:rsidR="004D596A" w:rsidRPr="00EE4555" w:rsidRDefault="00DE699D" w:rsidP="00EE4555">
      <w:pPr>
        <w:spacing w:after="240" w:line="240" w:lineRule="auto"/>
        <w:ind w:right="-329" w:firstLine="142"/>
        <w:rPr>
          <w:rFonts w:ascii="Book Antiqua" w:hAnsi="Book Antiqua" w:cs="Times New Roman"/>
          <w:bCs/>
          <w:i/>
          <w:sz w:val="20"/>
          <w:szCs w:val="20"/>
        </w:rPr>
      </w:pPr>
      <w:r w:rsidRPr="00EE4555">
        <w:rPr>
          <w:rFonts w:ascii="Book Antiqua" w:hAnsi="Book Antiqua" w:cs="Times New Roman"/>
          <w:bCs/>
          <w:i/>
          <w:sz w:val="20"/>
          <w:szCs w:val="20"/>
        </w:rPr>
        <w:t xml:space="preserve">Source: </w:t>
      </w:r>
      <w:r w:rsidRPr="00EE4555">
        <w:rPr>
          <w:rFonts w:ascii="Book Antiqua" w:hAnsi="Book Antiqua" w:cs="Times New Roman"/>
          <w:bCs/>
          <w:i/>
          <w:sz w:val="20"/>
          <w:szCs w:val="20"/>
          <w:lang w:val="id-ID"/>
        </w:rPr>
        <w:t>Satgas Waspada Investasi Otoritas Jasa Keuangan</w:t>
      </w:r>
    </w:p>
    <w:p w14:paraId="5E5FD0E8" w14:textId="77777777" w:rsidR="00262774" w:rsidRDefault="00DE699D" w:rsidP="00262774">
      <w:pPr>
        <w:spacing w:before="120" w:after="120" w:line="240" w:lineRule="auto"/>
        <w:ind w:right="-330" w:firstLine="720"/>
        <w:rPr>
          <w:rFonts w:ascii="Book Antiqua" w:hAnsi="Book Antiqua" w:cs="Times New Roman"/>
          <w:sz w:val="24"/>
          <w:szCs w:val="24"/>
        </w:rPr>
      </w:pPr>
      <w:r w:rsidRPr="004D596A">
        <w:rPr>
          <w:rFonts w:ascii="Book Antiqua" w:hAnsi="Book Antiqua" w:cs="Times New Roman"/>
          <w:sz w:val="24"/>
          <w:szCs w:val="24"/>
        </w:rPr>
        <w:t xml:space="preserve">The losses suffered by the Indonesian community can accelerate the development of South Sumatra Province by 10 years (with a regional budget of 10.7 trillion Rupiah). In 2011, the total losses amounted to 68.62 trillion Rupiah, carried out by Virgin Gold Mining Corporation with around 40 victims, Golden Trader Indonesia Syariah with approximately 1,500 victims, and PT. TVI Express Indonesia with around 1 million victims. In 2012, the total losses reached 7.9215 trillion Rupiah, conducted by PT. </w:t>
      </w:r>
      <w:proofErr w:type="spellStart"/>
      <w:r w:rsidRPr="004D596A">
        <w:rPr>
          <w:rFonts w:ascii="Book Antiqua" w:hAnsi="Book Antiqua" w:cs="Times New Roman"/>
          <w:sz w:val="24"/>
          <w:szCs w:val="24"/>
        </w:rPr>
        <w:t>Transindo</w:t>
      </w:r>
      <w:proofErr w:type="spellEnd"/>
      <w:r w:rsidRPr="004D596A">
        <w:rPr>
          <w:rFonts w:ascii="Book Antiqua" w:hAnsi="Book Antiqua" w:cs="Times New Roman"/>
          <w:sz w:val="24"/>
          <w:szCs w:val="24"/>
        </w:rPr>
        <w:t xml:space="preserve"> Jaya Komara (Langit Biru Cooperative), affecting 115,000 victims, and PT. </w:t>
      </w:r>
      <w:proofErr w:type="spellStart"/>
      <w:r w:rsidRPr="004D596A">
        <w:rPr>
          <w:rFonts w:ascii="Book Antiqua" w:hAnsi="Book Antiqua" w:cs="Times New Roman"/>
          <w:sz w:val="24"/>
          <w:szCs w:val="24"/>
        </w:rPr>
        <w:t>Gradasi</w:t>
      </w:r>
      <w:proofErr w:type="spellEnd"/>
      <w:r w:rsidRPr="004D596A">
        <w:rPr>
          <w:rFonts w:ascii="Book Antiqua" w:hAnsi="Book Antiqua" w:cs="Times New Roman"/>
          <w:sz w:val="24"/>
          <w:szCs w:val="24"/>
        </w:rPr>
        <w:t xml:space="preserve"> Anak Negeri, with 21,000 victims. In 2014, the losses amounted to 0.235 trillion Rupiah, perpetrated by PT. Dua Belas Suku, with 19,000 victims. The losses in 2015 reached 0.289 trillion Rupiah, carried out by </w:t>
      </w:r>
      <w:proofErr w:type="spellStart"/>
      <w:r w:rsidRPr="004D596A">
        <w:rPr>
          <w:rFonts w:ascii="Book Antiqua" w:hAnsi="Book Antiqua" w:cs="Times New Roman"/>
          <w:sz w:val="24"/>
          <w:szCs w:val="24"/>
        </w:rPr>
        <w:t>Gunami</w:t>
      </w:r>
      <w:proofErr w:type="spellEnd"/>
      <w:r w:rsidRPr="004D596A">
        <w:rPr>
          <w:rFonts w:ascii="Book Antiqua" w:hAnsi="Book Antiqua" w:cs="Times New Roman"/>
          <w:sz w:val="24"/>
          <w:szCs w:val="24"/>
        </w:rPr>
        <w:t xml:space="preserve"> Gunawan with 7,000 victims. The total losses in 2016 reached 5.4 trillion Rupiah, conducted by </w:t>
      </w:r>
      <w:proofErr w:type="spellStart"/>
      <w:r w:rsidRPr="004D596A">
        <w:rPr>
          <w:rFonts w:ascii="Book Antiqua" w:hAnsi="Book Antiqua" w:cs="Times New Roman"/>
          <w:sz w:val="24"/>
          <w:szCs w:val="24"/>
        </w:rPr>
        <w:t>Pandawa</w:t>
      </w:r>
      <w:proofErr w:type="spellEnd"/>
      <w:r w:rsidRPr="004D596A">
        <w:rPr>
          <w:rFonts w:ascii="Book Antiqua" w:hAnsi="Book Antiqua" w:cs="Times New Roman"/>
          <w:sz w:val="24"/>
          <w:szCs w:val="24"/>
        </w:rPr>
        <w:t xml:space="preserve"> Group with a total of 540,000 victims and PT. Cakra Buana Indonesia with 7,000 victims. Subsequently, the losses in 2017 amounted to 4.4 trillion Rupiah, conducted by Dream for Freedom, affecting 700,000 victims, and in 2018, the losses reached 1.4 trillion Rupiah, perpetrated by ABU Tours, with 86,720 victims. In 2019, the total losses suffered by the community amounted to 4 trillion Rupiah, carried out by Guardian Capital Group Asia Indonesia, affecting 4,000 victims. In 2020, the total losses reached 5.9 trillion Rupiah, conducted by several perpetrators such as PT. Kam and Kam with 264,000 victims, CV Tri </w:t>
      </w:r>
      <w:proofErr w:type="spellStart"/>
      <w:r w:rsidRPr="004D596A">
        <w:rPr>
          <w:rFonts w:ascii="Book Antiqua" w:hAnsi="Book Antiqua" w:cs="Times New Roman"/>
          <w:sz w:val="24"/>
          <w:szCs w:val="24"/>
        </w:rPr>
        <w:t>Manunggal</w:t>
      </w:r>
      <w:proofErr w:type="spellEnd"/>
      <w:r w:rsidRPr="004D596A">
        <w:rPr>
          <w:rFonts w:ascii="Book Antiqua" w:hAnsi="Book Antiqua" w:cs="Times New Roman"/>
          <w:sz w:val="24"/>
          <w:szCs w:val="24"/>
        </w:rPr>
        <w:t xml:space="preserve"> Jaya with 2,000 victims, PT. </w:t>
      </w:r>
      <w:proofErr w:type="spellStart"/>
      <w:r w:rsidRPr="004D596A">
        <w:rPr>
          <w:rFonts w:ascii="Book Antiqua" w:hAnsi="Book Antiqua" w:cs="Times New Roman"/>
          <w:sz w:val="24"/>
          <w:szCs w:val="24"/>
        </w:rPr>
        <w:t>Indosterling</w:t>
      </w:r>
      <w:proofErr w:type="spellEnd"/>
      <w:r w:rsidRPr="004D596A">
        <w:rPr>
          <w:rFonts w:ascii="Book Antiqua" w:hAnsi="Book Antiqua" w:cs="Times New Roman"/>
          <w:sz w:val="24"/>
          <w:szCs w:val="24"/>
        </w:rPr>
        <w:t xml:space="preserve"> Optima </w:t>
      </w:r>
      <w:proofErr w:type="spellStart"/>
      <w:r w:rsidRPr="004D596A">
        <w:rPr>
          <w:rFonts w:ascii="Book Antiqua" w:hAnsi="Book Antiqua" w:cs="Times New Roman"/>
          <w:sz w:val="24"/>
          <w:szCs w:val="24"/>
        </w:rPr>
        <w:t>Investa</w:t>
      </w:r>
      <w:proofErr w:type="spellEnd"/>
      <w:r w:rsidRPr="004D596A">
        <w:rPr>
          <w:rFonts w:ascii="Book Antiqua" w:hAnsi="Book Antiqua" w:cs="Times New Roman"/>
          <w:sz w:val="24"/>
          <w:szCs w:val="24"/>
        </w:rPr>
        <w:t xml:space="preserve"> with 1,800 victims, </w:t>
      </w:r>
      <w:proofErr w:type="spellStart"/>
      <w:r w:rsidRPr="004D596A">
        <w:rPr>
          <w:rFonts w:ascii="Book Antiqua" w:hAnsi="Book Antiqua" w:cs="Times New Roman"/>
          <w:sz w:val="24"/>
          <w:szCs w:val="24"/>
        </w:rPr>
        <w:t>Kampoeng</w:t>
      </w:r>
      <w:proofErr w:type="spellEnd"/>
      <w:r w:rsidRPr="004D596A">
        <w:rPr>
          <w:rFonts w:ascii="Book Antiqua" w:hAnsi="Book Antiqua" w:cs="Times New Roman"/>
          <w:sz w:val="24"/>
          <w:szCs w:val="24"/>
        </w:rPr>
        <w:t xml:space="preserve"> Kurma Group with 2,000 victims, and PT. Hanson International </w:t>
      </w:r>
      <w:proofErr w:type="spellStart"/>
      <w:r w:rsidRPr="004D596A">
        <w:rPr>
          <w:rFonts w:ascii="Book Antiqua" w:hAnsi="Book Antiqua" w:cs="Times New Roman"/>
          <w:sz w:val="24"/>
          <w:szCs w:val="24"/>
        </w:rPr>
        <w:t>Tbk</w:t>
      </w:r>
      <w:proofErr w:type="spellEnd"/>
      <w:r w:rsidRPr="004D596A">
        <w:rPr>
          <w:rFonts w:ascii="Book Antiqua" w:hAnsi="Book Antiqua" w:cs="Times New Roman"/>
          <w:sz w:val="24"/>
          <w:szCs w:val="24"/>
        </w:rPr>
        <w:t>. with 30 victims. The total losses in 2021 amounted to 2.5 trillion Rupiah, conducted by EDC Cash, affecting 57,000 victims, Share Results with 5,000 victims, Lucky Star with 112 victims, and Asia Dynasty with 1,000 victims</w:t>
      </w:r>
      <w:r w:rsidR="000771E1" w:rsidRPr="004D596A">
        <w:rPr>
          <w:rFonts w:ascii="Book Antiqua" w:hAnsi="Book Antiqua" w:cs="Times New Roman"/>
          <w:sz w:val="24"/>
          <w:szCs w:val="24"/>
        </w:rPr>
        <w:t xml:space="preserve"> (SWI OJK, 2021)</w:t>
      </w:r>
      <w:r w:rsidRPr="004D596A">
        <w:rPr>
          <w:rFonts w:ascii="Book Antiqua" w:hAnsi="Book Antiqua" w:cs="Times New Roman"/>
          <w:sz w:val="24"/>
          <w:szCs w:val="24"/>
        </w:rPr>
        <w:t>.</w:t>
      </w:r>
    </w:p>
    <w:p w14:paraId="1E03F81A" w14:textId="77777777" w:rsidR="002100C8" w:rsidRDefault="002100C8">
      <w:pPr>
        <w:spacing w:after="160" w:line="259" w:lineRule="auto"/>
        <w:jc w:val="left"/>
        <w:rPr>
          <w:rFonts w:ascii="Book Antiqua" w:hAnsi="Book Antiqua" w:cs="Times New Roman"/>
          <w:sz w:val="24"/>
          <w:szCs w:val="24"/>
        </w:rPr>
      </w:pPr>
      <w:r>
        <w:rPr>
          <w:rFonts w:ascii="Book Antiqua" w:hAnsi="Book Antiqua" w:cs="Times New Roman"/>
          <w:sz w:val="24"/>
          <w:szCs w:val="24"/>
        </w:rPr>
        <w:br w:type="page"/>
      </w:r>
    </w:p>
    <w:p w14:paraId="3BAE8223" w14:textId="6E0DAF1E" w:rsidR="00262774" w:rsidRDefault="00DE699D" w:rsidP="00262774">
      <w:pPr>
        <w:spacing w:before="120" w:after="120" w:line="240" w:lineRule="auto"/>
        <w:ind w:right="-330" w:firstLine="720"/>
        <w:rPr>
          <w:rFonts w:ascii="Book Antiqua" w:hAnsi="Book Antiqua" w:cs="Times New Roman"/>
          <w:sz w:val="24"/>
          <w:szCs w:val="24"/>
        </w:rPr>
      </w:pPr>
      <w:r w:rsidRPr="004D596A">
        <w:rPr>
          <w:rFonts w:ascii="Book Antiqua" w:hAnsi="Book Antiqua" w:cs="Times New Roman"/>
          <w:sz w:val="24"/>
          <w:szCs w:val="24"/>
        </w:rPr>
        <w:lastRenderedPageBreak/>
        <w:t xml:space="preserve">On the other hand, losses experienced by Muslim investors are in non-optimal aspects of the cycle of Shariah capital participation, which does not provide protection in the form of ensuring the fulfilment of Shariah principles in the provision of Shariah-based crowdfunding services. The phenomenon of </w:t>
      </w:r>
      <w:proofErr w:type="spellStart"/>
      <w:r w:rsidRPr="004D596A">
        <w:rPr>
          <w:rFonts w:ascii="Book Antiqua" w:hAnsi="Book Antiqua" w:cs="Times New Roman"/>
          <w:sz w:val="24"/>
          <w:szCs w:val="24"/>
        </w:rPr>
        <w:t>rechtsvacuum</w:t>
      </w:r>
      <w:proofErr w:type="spellEnd"/>
      <w:r w:rsidRPr="004D596A">
        <w:rPr>
          <w:rFonts w:ascii="Book Antiqua" w:hAnsi="Book Antiqua" w:cs="Times New Roman"/>
          <w:sz w:val="24"/>
          <w:szCs w:val="24"/>
        </w:rPr>
        <w:t xml:space="preserve"> weakens the guarantee of the fulfilment of Shariah principles in the Shariah capital participation cycle. Referring to Financial Services Authority Regulation Number 35 of 2017 concerning Shariah Securities Criteria and Listing, it has been comprehensively regulated regarding the financial ratio screening method used in the initial public offering process or the mechanism of going public. However, the standards in these regulations cannot be used to offer securities through crowdfunding services. This is because the regulation regarding the criteria for listing Shariah securities is a regulation within the mechanism of the initial public offering on the Indonesia Stock Exchange, not within the scope of crowdfunding services. Another fundamental aspect is that the offering of securities under Law Number 8 of 1995 concerning the capital market is not the same as the offering of securities through crowdfunding</w:t>
      </w:r>
      <w:r w:rsidR="00C03D96" w:rsidRPr="004D596A">
        <w:rPr>
          <w:rFonts w:ascii="Book Antiqua" w:hAnsi="Book Antiqua" w:cs="Times New Roman"/>
          <w:sz w:val="24"/>
          <w:szCs w:val="24"/>
        </w:rPr>
        <w:t xml:space="preserve"> (Chapter 3, Verse 1, POJK 57/2020)</w:t>
      </w:r>
      <w:r w:rsidRPr="004D596A">
        <w:rPr>
          <w:rFonts w:ascii="Book Antiqua" w:hAnsi="Book Antiqua" w:cs="Times New Roman"/>
          <w:iCs/>
          <w:sz w:val="24"/>
          <w:szCs w:val="24"/>
        </w:rPr>
        <w:t>.</w:t>
      </w:r>
    </w:p>
    <w:p w14:paraId="610F5C7C" w14:textId="72586D3A" w:rsidR="00262774" w:rsidRDefault="00DE699D" w:rsidP="002100C8">
      <w:pPr>
        <w:spacing w:before="120" w:after="120" w:line="240" w:lineRule="auto"/>
        <w:ind w:right="-330" w:firstLine="720"/>
        <w:rPr>
          <w:rFonts w:ascii="Book Antiqua" w:hAnsi="Book Antiqua" w:cs="Times New Roman"/>
          <w:sz w:val="24"/>
          <w:szCs w:val="24"/>
        </w:rPr>
      </w:pPr>
      <w:r w:rsidRPr="004D596A">
        <w:rPr>
          <w:rFonts w:ascii="Book Antiqua" w:hAnsi="Book Antiqua" w:cs="Times New Roman"/>
          <w:sz w:val="24"/>
          <w:szCs w:val="24"/>
          <w:lang w:val="en-GB"/>
        </w:rPr>
        <w:t xml:space="preserve">There are other research studies that serve as literature reviews and have correlations, including one conducted by </w:t>
      </w:r>
      <w:proofErr w:type="spellStart"/>
      <w:r w:rsidRPr="004D596A">
        <w:rPr>
          <w:rFonts w:ascii="Book Antiqua" w:hAnsi="Book Antiqua" w:cs="Times New Roman"/>
          <w:sz w:val="24"/>
          <w:szCs w:val="24"/>
          <w:lang w:val="en-GB"/>
        </w:rPr>
        <w:t>Suriyadi</w:t>
      </w:r>
      <w:proofErr w:type="spellEnd"/>
      <w:r w:rsidRPr="004D596A">
        <w:rPr>
          <w:rFonts w:ascii="Book Antiqua" w:hAnsi="Book Antiqua" w:cs="Times New Roman"/>
          <w:sz w:val="24"/>
          <w:szCs w:val="24"/>
          <w:lang w:val="en-GB"/>
        </w:rPr>
        <w:t xml:space="preserve"> with the title “</w:t>
      </w:r>
      <w:proofErr w:type="spellStart"/>
      <w:r w:rsidRPr="004D596A">
        <w:rPr>
          <w:rFonts w:ascii="Book Antiqua" w:hAnsi="Book Antiqua" w:cs="Times New Roman"/>
          <w:sz w:val="24"/>
          <w:szCs w:val="24"/>
          <w:lang w:val="en-GB"/>
        </w:rPr>
        <w:t>Perlindungan</w:t>
      </w:r>
      <w:proofErr w:type="spellEnd"/>
      <w:r w:rsidRPr="004D596A">
        <w:rPr>
          <w:rFonts w:ascii="Book Antiqua" w:hAnsi="Book Antiqua" w:cs="Times New Roman"/>
          <w:sz w:val="24"/>
          <w:szCs w:val="24"/>
          <w:lang w:val="en-GB"/>
        </w:rPr>
        <w:t xml:space="preserve"> Hukum </w:t>
      </w:r>
      <w:proofErr w:type="spellStart"/>
      <w:r w:rsidRPr="004D596A">
        <w:rPr>
          <w:rFonts w:ascii="Book Antiqua" w:hAnsi="Book Antiqua" w:cs="Times New Roman"/>
          <w:sz w:val="24"/>
          <w:szCs w:val="24"/>
          <w:lang w:val="en-GB"/>
        </w:rPr>
        <w:t>Pengguna</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Layanan</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Urunan</w:t>
      </w:r>
      <w:proofErr w:type="spellEnd"/>
      <w:r w:rsidRPr="004D596A">
        <w:rPr>
          <w:rFonts w:ascii="Book Antiqua" w:hAnsi="Book Antiqua" w:cs="Times New Roman"/>
          <w:sz w:val="24"/>
          <w:szCs w:val="24"/>
          <w:lang w:val="en-GB"/>
        </w:rPr>
        <w:t xml:space="preserve"> Dana </w:t>
      </w:r>
      <w:proofErr w:type="spellStart"/>
      <w:r w:rsidRPr="004D596A">
        <w:rPr>
          <w:rFonts w:ascii="Book Antiqua" w:hAnsi="Book Antiqua" w:cs="Times New Roman"/>
          <w:sz w:val="24"/>
          <w:szCs w:val="24"/>
          <w:lang w:val="en-GB"/>
        </w:rPr>
        <w:t>Melalui</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Penawaran</w:t>
      </w:r>
      <w:proofErr w:type="spellEnd"/>
      <w:r w:rsidRPr="004D596A">
        <w:rPr>
          <w:rFonts w:ascii="Book Antiqua" w:hAnsi="Book Antiqua" w:cs="Times New Roman"/>
          <w:sz w:val="24"/>
          <w:szCs w:val="24"/>
          <w:lang w:val="en-GB"/>
        </w:rPr>
        <w:t xml:space="preserve"> Saham </w:t>
      </w:r>
      <w:proofErr w:type="spellStart"/>
      <w:r w:rsidRPr="004D596A">
        <w:rPr>
          <w:rFonts w:ascii="Book Antiqua" w:hAnsi="Book Antiqua" w:cs="Times New Roman"/>
          <w:sz w:val="24"/>
          <w:szCs w:val="24"/>
          <w:lang w:val="en-GB"/>
        </w:rPr>
        <w:t>Berbasis</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Teknologi</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Informasi</w:t>
      </w:r>
      <w:proofErr w:type="spellEnd"/>
      <w:r w:rsidRPr="004D596A">
        <w:rPr>
          <w:rFonts w:ascii="Book Antiqua" w:hAnsi="Book Antiqua" w:cs="Times New Roman"/>
          <w:sz w:val="24"/>
          <w:szCs w:val="24"/>
          <w:lang w:val="en-GB"/>
        </w:rPr>
        <w:t>." In this study, emphasis is placed on the responsibility of the organiser if losses occur due to the organiser, as stipulated in Article 60 of POJK 37/2018</w:t>
      </w:r>
      <w:r w:rsidR="00C03D96" w:rsidRPr="004D596A">
        <w:rPr>
          <w:rFonts w:ascii="Book Antiqua" w:hAnsi="Book Antiqua" w:cs="Times New Roman"/>
          <w:sz w:val="24"/>
          <w:szCs w:val="24"/>
          <w:lang w:val="en-GB"/>
        </w:rPr>
        <w:t xml:space="preserve"> </w:t>
      </w:r>
      <w:r w:rsidR="00C03D96" w:rsidRPr="004D596A">
        <w:rPr>
          <w:rFonts w:ascii="Book Antiqua" w:hAnsi="Book Antiqua" w:cs="Times New Roman"/>
          <w:sz w:val="24"/>
          <w:szCs w:val="24"/>
          <w:lang w:val="en-GB"/>
        </w:rPr>
        <w:fldChar w:fldCharType="begin" w:fldLock="1"/>
      </w:r>
      <w:r w:rsidR="00C03D96" w:rsidRPr="004D596A">
        <w:rPr>
          <w:rFonts w:ascii="Book Antiqua" w:hAnsi="Book Antiqua" w:cs="Times New Roman"/>
          <w:sz w:val="24"/>
          <w:szCs w:val="24"/>
          <w:lang w:val="en-GB"/>
        </w:rPr>
        <w:instrText>ADDIN CSL_CITATION {"citationItems":[{"id":"ITEM-1","itemData":{"DOI":"10.21067/jph.v5i2.4693","ISSN":"2527-6654","abstract":"Abstrak Layanan urun dana melalui penawaran saham berbasis teknologi informasi (equity crowdfunding) merupakan salah satu instrumen investasi bagi masyarakat di era revolusi industri 4.0 dimana pihak perusahaan yang membutuhkan modal dapat mendapatkan dana disamping itu masyarakat yang mempunyai kelebihan dana dapat memanfaatkannya dengan menempatkan dana tersebut di sektor yang produktif dengan menggunakan perantara yang dinamakan penyelenggara layanan urun dana. Permasalahan mengenai perlindungan dana pemodal sering menjadi faktor penting yang menunjang keberlangsungan suatu bisnis karena faktor kepercayaan sehingga OJK mengatur di dalam suatu peraturan mengenai perlindungan terhadap konsumen sektor jasa keuangan. Untuk menjaga kepercayaan masyarakat diaturlah mengenai perlindungan terhadap dana pemodal terhadap tindakan pelaku usaha. Penyelenggara yang menjadi pengelola dana pemodal dan menyalurkan kepada penerbit mempunyai peran penting dalam equity crowdfunding sehingga tanggung jawab yang ada padanya juga berat, hal ini diatur dalam peraturan OJK. Metode penelitian yang digunakan adalah normatif dengan pendekatan perundang-undangan (statute approach) dengan mengkaji asas-asas dalam hukum investasi dengan peraturan perundang-undangan yang berlaku. Mengenai perlindungan terhadap dana pemodal pada dasarnya hal ini diatur dalam Peraturan OJK Nomor 1/POJK.07/2013 yang mengatur perlindungan konsumen sektor jasa keuangan terhadap perilaku pelaku usaha dan hal ini dikuatkan dengan Pasal 60 POJK Nomor 37 tahun 2018 yang membebankan tanggung jawab kerugian kepada penyelenggara atas kesalahan atau kelalaian direksi, pegawai atau pihak yang bekerja dengan penyelenggara. Kata Kunci : Equity crowdfunding, Investasi, Perlindungan Hukum","author":[{"dropping-particle":"","family":"Mamma","given":"Suriyadi","non-dropping-particle":"","parse-names":false,"suffix":""}],"container-title":"Jurnal Panorama Hukum","id":"ITEM-1","issue":"2","issued":{"date-parts":[["2020","12","29"]]},"page":"159-168","title":"Perlindungan Hukum Pengguna Layanan Urunan Dana Melalui Penawaran Saham Berbasis Teknologi Informasi","type":"article-journal","volume":"5"},"uris":["http://www.mendeley.com/documents/?uuid=c5689f37-4d26-44a9-b681-d30c860ca0e6"]}],"mendeley":{"formattedCitation":"(Mamma, 2020)","plainTextFormattedCitation":"(Mamma, 2020)","previouslyFormattedCitation":"(Mamma, 2020)"},"properties":{"noteIndex":0},"schema":"https://github.com/citation-style-language/schema/raw/master/csl-citation.json"}</w:instrText>
      </w:r>
      <w:r w:rsidR="00C03D96" w:rsidRPr="004D596A">
        <w:rPr>
          <w:rFonts w:ascii="Book Antiqua" w:hAnsi="Book Antiqua" w:cs="Times New Roman"/>
          <w:sz w:val="24"/>
          <w:szCs w:val="24"/>
          <w:lang w:val="en-GB"/>
        </w:rPr>
        <w:fldChar w:fldCharType="separate"/>
      </w:r>
      <w:r w:rsidR="00C03D96" w:rsidRPr="004D596A">
        <w:rPr>
          <w:rFonts w:ascii="Book Antiqua" w:hAnsi="Book Antiqua" w:cs="Times New Roman"/>
          <w:noProof/>
          <w:sz w:val="24"/>
          <w:szCs w:val="24"/>
          <w:lang w:val="en-GB"/>
        </w:rPr>
        <w:t>(Mamma, 2020)</w:t>
      </w:r>
      <w:r w:rsidR="00C03D96" w:rsidRPr="004D596A">
        <w:rPr>
          <w:rFonts w:ascii="Book Antiqua" w:hAnsi="Book Antiqua" w:cs="Times New Roman"/>
          <w:sz w:val="24"/>
          <w:szCs w:val="24"/>
          <w:lang w:val="en-GB"/>
        </w:rPr>
        <w:fldChar w:fldCharType="end"/>
      </w:r>
      <w:r w:rsidRPr="004D596A">
        <w:rPr>
          <w:rFonts w:ascii="Book Antiqua" w:hAnsi="Book Antiqua" w:cs="Times New Roman"/>
          <w:sz w:val="24"/>
          <w:szCs w:val="24"/>
          <w:lang w:val="id-ID"/>
        </w:rPr>
        <w:t xml:space="preserve">. </w:t>
      </w:r>
      <w:r w:rsidRPr="004D596A">
        <w:rPr>
          <w:rFonts w:ascii="Book Antiqua" w:hAnsi="Book Antiqua" w:cs="Times New Roman"/>
          <w:sz w:val="24"/>
          <w:szCs w:val="24"/>
          <w:lang w:val="en-GB"/>
        </w:rPr>
        <w:t xml:space="preserve">The research conducted by </w:t>
      </w:r>
      <w:proofErr w:type="spellStart"/>
      <w:r w:rsidRPr="004D596A">
        <w:rPr>
          <w:rFonts w:ascii="Book Antiqua" w:hAnsi="Book Antiqua" w:cs="Times New Roman"/>
          <w:sz w:val="24"/>
          <w:szCs w:val="24"/>
          <w:lang w:val="en-GB"/>
        </w:rPr>
        <w:t>Viodi</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Childnadi</w:t>
      </w:r>
      <w:proofErr w:type="spellEnd"/>
      <w:r w:rsidRPr="004D596A">
        <w:rPr>
          <w:rFonts w:ascii="Book Antiqua" w:hAnsi="Book Antiqua" w:cs="Times New Roman"/>
          <w:sz w:val="24"/>
          <w:szCs w:val="24"/>
          <w:lang w:val="en-GB"/>
        </w:rPr>
        <w:t xml:space="preserve"> Widodo and Dona Budi Kharisma with discussions “</w:t>
      </w:r>
      <w:proofErr w:type="spellStart"/>
      <w:r w:rsidRPr="004D596A">
        <w:rPr>
          <w:rFonts w:ascii="Book Antiqua" w:hAnsi="Book Antiqua" w:cs="Times New Roman"/>
          <w:sz w:val="24"/>
          <w:szCs w:val="24"/>
          <w:lang w:val="en-GB"/>
        </w:rPr>
        <w:t>Problematika</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Perlindungan</w:t>
      </w:r>
      <w:proofErr w:type="spellEnd"/>
      <w:r w:rsidRPr="004D596A">
        <w:rPr>
          <w:rFonts w:ascii="Book Antiqua" w:hAnsi="Book Antiqua" w:cs="Times New Roman"/>
          <w:sz w:val="24"/>
          <w:szCs w:val="24"/>
          <w:lang w:val="en-GB"/>
        </w:rPr>
        <w:t xml:space="preserve"> Hukum </w:t>
      </w:r>
      <w:proofErr w:type="spellStart"/>
      <w:r w:rsidRPr="004D596A">
        <w:rPr>
          <w:rFonts w:ascii="Book Antiqua" w:hAnsi="Book Antiqua" w:cs="Times New Roman"/>
          <w:sz w:val="24"/>
          <w:szCs w:val="24"/>
          <w:lang w:val="en-GB"/>
        </w:rPr>
        <w:t>Terhadap</w:t>
      </w:r>
      <w:proofErr w:type="spellEnd"/>
      <w:r w:rsidRPr="004D596A">
        <w:rPr>
          <w:rFonts w:ascii="Book Antiqua" w:hAnsi="Book Antiqua" w:cs="Times New Roman"/>
          <w:sz w:val="24"/>
          <w:szCs w:val="24"/>
          <w:lang w:val="en-GB"/>
        </w:rPr>
        <w:t xml:space="preserve"> Para </w:t>
      </w:r>
      <w:proofErr w:type="spellStart"/>
      <w:r w:rsidRPr="004D596A">
        <w:rPr>
          <w:rFonts w:ascii="Book Antiqua" w:hAnsi="Book Antiqua" w:cs="Times New Roman"/>
          <w:sz w:val="24"/>
          <w:szCs w:val="24"/>
          <w:lang w:val="en-GB"/>
        </w:rPr>
        <w:t>Pihak</w:t>
      </w:r>
      <w:proofErr w:type="spellEnd"/>
      <w:r w:rsidRPr="004D596A">
        <w:rPr>
          <w:rFonts w:ascii="Book Antiqua" w:hAnsi="Book Antiqua" w:cs="Times New Roman"/>
          <w:sz w:val="24"/>
          <w:szCs w:val="24"/>
          <w:lang w:val="en-GB"/>
        </w:rPr>
        <w:t xml:space="preserve"> Dalam </w:t>
      </w:r>
      <w:proofErr w:type="spellStart"/>
      <w:r w:rsidRPr="004D596A">
        <w:rPr>
          <w:rFonts w:ascii="Book Antiqua" w:hAnsi="Book Antiqua" w:cs="Times New Roman"/>
          <w:sz w:val="24"/>
          <w:szCs w:val="24"/>
          <w:lang w:val="en-GB"/>
        </w:rPr>
        <w:t>Transaksi</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Layanan</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Urunan</w:t>
      </w:r>
      <w:proofErr w:type="spellEnd"/>
      <w:r w:rsidRPr="004D596A">
        <w:rPr>
          <w:rFonts w:ascii="Book Antiqua" w:hAnsi="Book Antiqua" w:cs="Times New Roman"/>
          <w:sz w:val="24"/>
          <w:szCs w:val="24"/>
          <w:lang w:val="en-GB"/>
        </w:rPr>
        <w:t xml:space="preserve"> Dana </w:t>
      </w:r>
      <w:proofErr w:type="spellStart"/>
      <w:r w:rsidRPr="004D596A">
        <w:rPr>
          <w:rFonts w:ascii="Book Antiqua" w:hAnsi="Book Antiqua" w:cs="Times New Roman"/>
          <w:sz w:val="24"/>
          <w:szCs w:val="24"/>
          <w:lang w:val="en-GB"/>
        </w:rPr>
        <w:t>Melalui</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Penawaran</w:t>
      </w:r>
      <w:proofErr w:type="spellEnd"/>
      <w:r w:rsidRPr="004D596A">
        <w:rPr>
          <w:rFonts w:ascii="Book Antiqua" w:hAnsi="Book Antiqua" w:cs="Times New Roman"/>
          <w:sz w:val="24"/>
          <w:szCs w:val="24"/>
          <w:lang w:val="en-GB"/>
        </w:rPr>
        <w:t xml:space="preserve"> Saham </w:t>
      </w:r>
      <w:proofErr w:type="spellStart"/>
      <w:r w:rsidRPr="004D596A">
        <w:rPr>
          <w:rFonts w:ascii="Book Antiqua" w:hAnsi="Book Antiqua" w:cs="Times New Roman"/>
          <w:sz w:val="24"/>
          <w:szCs w:val="24"/>
          <w:lang w:val="en-GB"/>
        </w:rPr>
        <w:t>Berbasis</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Teknologi</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Informasi</w:t>
      </w:r>
      <w:proofErr w:type="spellEnd"/>
      <w:r w:rsidRPr="004D596A">
        <w:rPr>
          <w:rFonts w:ascii="Book Antiqua" w:hAnsi="Book Antiqua" w:cs="Times New Roman"/>
          <w:sz w:val="24"/>
          <w:szCs w:val="24"/>
          <w:lang w:val="en-GB"/>
        </w:rPr>
        <w:t xml:space="preserve"> (</w:t>
      </w:r>
      <w:r w:rsidRPr="004D596A">
        <w:rPr>
          <w:rFonts w:ascii="Book Antiqua" w:hAnsi="Book Antiqua" w:cs="Times New Roman"/>
          <w:i/>
          <w:iCs/>
          <w:sz w:val="24"/>
          <w:szCs w:val="24"/>
          <w:lang w:val="en-GB"/>
        </w:rPr>
        <w:t>Equity-Based Crowdfunding</w:t>
      </w:r>
      <w:r w:rsidRPr="004D596A">
        <w:rPr>
          <w:rFonts w:ascii="Book Antiqua" w:hAnsi="Book Antiqua" w:cs="Times New Roman"/>
          <w:sz w:val="24"/>
          <w:szCs w:val="24"/>
          <w:lang w:val="en-GB"/>
        </w:rPr>
        <w:t>)” criticises the offering of securities in POJK 37/2018 and risk mitigation</w:t>
      </w:r>
      <w:r w:rsidR="00C03D96" w:rsidRPr="004D596A">
        <w:rPr>
          <w:rFonts w:ascii="Book Antiqua" w:hAnsi="Book Antiqua" w:cs="Times New Roman"/>
          <w:sz w:val="24"/>
          <w:szCs w:val="24"/>
          <w:lang w:val="en-GB"/>
        </w:rPr>
        <w:t xml:space="preserve"> </w:t>
      </w:r>
      <w:r w:rsidR="00C03D96" w:rsidRPr="004D596A">
        <w:rPr>
          <w:rFonts w:ascii="Book Antiqua" w:hAnsi="Book Antiqua" w:cs="Times New Roman"/>
          <w:sz w:val="24"/>
          <w:szCs w:val="24"/>
          <w:lang w:val="en-GB"/>
        </w:rPr>
        <w:fldChar w:fldCharType="begin" w:fldLock="1"/>
      </w:r>
      <w:r w:rsidR="00C03D96" w:rsidRPr="004D596A">
        <w:rPr>
          <w:rFonts w:ascii="Book Antiqua" w:hAnsi="Book Antiqua" w:cs="Times New Roman"/>
          <w:sz w:val="24"/>
          <w:szCs w:val="24"/>
          <w:lang w:val="en-GB"/>
        </w:rPr>
        <w:instrText>ADDIN CSL_CITATION {"citationItems":[{"id":"ITEM-1","itemData":{"DOI":"10.20961/privat.v8i2.48414","ISSN":"2337-4640","abstract":"Abstract The purpose aims to find out the form of legal protection to the parties and the problematic that facing by Financial Services Authority to provide effort of legal protection for the parties in the service of equity crowdfunding. This legal research is a descriptive empirical law research. The research location is Financial Services Authority Surakarta. The research types and source of data include primary and secondary data with using by a qualitative analysis technique. The results of this research explain the problematic that facing by Financial Services Authority to provide effort of legal protection in the service of equity crowdfunding which is divided into three factors that is : (a) legal substance, (b) legal structure, and (c) legal culture. Keywords: Legal Protection; Problematic; Equity Crowdfunding Abstrak Penulisan ini bertujuan untuk mengetahui bentuk perlindungan hukum kepada para pihak serta problematika yang dihadapi oleh Otoritas Jasa Keuangan dalam memberikan upaya perlindungan hukum kepada para pihak dalam layanan equity crowdfunding. Penelitian ini merupakan penelitian hukum empiris yang bersifat deskriptif kualitatif. Lokasi penelitian dilakukan di Otoritas Jasa Keuangan Surakarta. Jenis dan sumber data penelitian ini meliputi data primer dan data sekunder dengan menggunakan teknik analisis kualitatif. Hasil penelitian ini menjelaskan problematika dalam memberikan upaya perlindungan hukum pada para pihak yang dihadapi oleh Otoritas Jasa Keuangan dalam layanan equity crowdfunding yang terbagi menjadi tiga faktor yaitu: (a) substansi hukum, (b) struktur hukum, dan (c) budaya hukum. Kata Kunci: Perlindungan Hukum; Problematika; Equity Crowdfunding","author":[{"dropping-particle":"","family":"Childnadi Widodo","given":"Viodi","non-dropping-particle":"","parse-names":false,"suffix":""},{"dropping-particle":"","family":"Budi Kharisma","given":"Dona","non-dropping-particle":"","parse-names":false,"suffix":""}],"container-title":"Jurnal Privat Law","id":"ITEM-1","issue":"2","issued":{"date-parts":[["2020"]]},"page":"230-236","title":"Problematika Perlindungan Hukum Terhadap Para Pihak Dalam Transaksi Layanan Urunan Dana Melalui Penawaran Saham Berbasis Teknologi Informasi (Equity-Based Crowdfunding)","type":"article-journal","volume":"8"},"uris":["http://www.mendeley.com/documents/?uuid=cd3902fb-c8cb-4e73-8f66-8ce0548fd1ba"]}],"mendeley":{"formattedCitation":"(Childnadi Widodo &amp; Budi Kharisma, 2020)","plainTextFormattedCitation":"(Childnadi Widodo &amp; Budi Kharisma, 2020)","previouslyFormattedCitation":"(Childnadi Widodo &amp; Budi Kharisma, 2020)"},"properties":{"noteIndex":0},"schema":"https://github.com/citation-style-language/schema/raw/master/csl-citation.json"}</w:instrText>
      </w:r>
      <w:r w:rsidR="00C03D96" w:rsidRPr="004D596A">
        <w:rPr>
          <w:rFonts w:ascii="Book Antiqua" w:hAnsi="Book Antiqua" w:cs="Times New Roman"/>
          <w:sz w:val="24"/>
          <w:szCs w:val="24"/>
          <w:lang w:val="en-GB"/>
        </w:rPr>
        <w:fldChar w:fldCharType="separate"/>
      </w:r>
      <w:r w:rsidR="00C03D96" w:rsidRPr="004D596A">
        <w:rPr>
          <w:rFonts w:ascii="Book Antiqua" w:hAnsi="Book Antiqua" w:cs="Times New Roman"/>
          <w:noProof/>
          <w:sz w:val="24"/>
          <w:szCs w:val="24"/>
          <w:lang w:val="en-GB"/>
        </w:rPr>
        <w:t>(Childnadi Widodo &amp; Budi Kharisma, 2020)</w:t>
      </w:r>
      <w:r w:rsidR="00C03D96" w:rsidRPr="004D596A">
        <w:rPr>
          <w:rFonts w:ascii="Book Antiqua" w:hAnsi="Book Antiqua" w:cs="Times New Roman"/>
          <w:sz w:val="24"/>
          <w:szCs w:val="24"/>
          <w:lang w:val="en-GB"/>
        </w:rPr>
        <w:fldChar w:fldCharType="end"/>
      </w:r>
      <w:r w:rsidRPr="004D596A">
        <w:rPr>
          <w:rFonts w:ascii="Book Antiqua" w:hAnsi="Book Antiqua" w:cs="Times New Roman"/>
          <w:sz w:val="24"/>
          <w:szCs w:val="24"/>
          <w:lang w:val="en-GB"/>
        </w:rPr>
        <w:t xml:space="preserve">. Inda </w:t>
      </w:r>
      <w:proofErr w:type="spellStart"/>
      <w:r w:rsidRPr="004D596A">
        <w:rPr>
          <w:rFonts w:ascii="Book Antiqua" w:hAnsi="Book Antiqua" w:cs="Times New Roman"/>
          <w:sz w:val="24"/>
          <w:szCs w:val="24"/>
          <w:lang w:val="en-GB"/>
        </w:rPr>
        <w:t>Rahadiyan</w:t>
      </w:r>
      <w:proofErr w:type="spellEnd"/>
      <w:r w:rsidRPr="004D596A">
        <w:rPr>
          <w:rFonts w:ascii="Book Antiqua" w:hAnsi="Book Antiqua" w:cs="Times New Roman"/>
          <w:sz w:val="24"/>
          <w:szCs w:val="24"/>
          <w:lang w:val="en-GB"/>
        </w:rPr>
        <w:t xml:space="preserve"> and </w:t>
      </w:r>
      <w:proofErr w:type="spellStart"/>
      <w:r w:rsidRPr="004D596A">
        <w:rPr>
          <w:rFonts w:ascii="Book Antiqua" w:hAnsi="Book Antiqua" w:cs="Times New Roman"/>
          <w:sz w:val="24"/>
          <w:szCs w:val="24"/>
          <w:lang w:val="en-GB"/>
        </w:rPr>
        <w:t>Paripurna</w:t>
      </w:r>
      <w:proofErr w:type="spellEnd"/>
      <w:r w:rsidRPr="004D596A">
        <w:rPr>
          <w:rFonts w:ascii="Book Antiqua" w:hAnsi="Book Antiqua" w:cs="Times New Roman"/>
          <w:sz w:val="24"/>
          <w:szCs w:val="24"/>
          <w:lang w:val="en-GB"/>
        </w:rPr>
        <w:t xml:space="preserve"> P. </w:t>
      </w:r>
      <w:proofErr w:type="spellStart"/>
      <w:r w:rsidRPr="004D596A">
        <w:rPr>
          <w:rFonts w:ascii="Book Antiqua" w:hAnsi="Book Antiqua" w:cs="Times New Roman"/>
          <w:sz w:val="24"/>
          <w:szCs w:val="24"/>
          <w:lang w:val="en-GB"/>
        </w:rPr>
        <w:t>Sugarda</w:t>
      </w:r>
      <w:proofErr w:type="spellEnd"/>
      <w:r w:rsidRPr="004D596A">
        <w:rPr>
          <w:rFonts w:ascii="Book Antiqua" w:hAnsi="Book Antiqua" w:cs="Times New Roman"/>
          <w:sz w:val="24"/>
          <w:szCs w:val="24"/>
          <w:lang w:val="en-GB"/>
        </w:rPr>
        <w:t xml:space="preserve"> conducted research on the scope of the open disclosure principle contained in the Capital Market Law, which is studied in “</w:t>
      </w:r>
      <w:proofErr w:type="spellStart"/>
      <w:r w:rsidRPr="004D596A">
        <w:rPr>
          <w:rFonts w:ascii="Book Antiqua" w:hAnsi="Book Antiqua" w:cs="Times New Roman"/>
          <w:sz w:val="24"/>
          <w:szCs w:val="24"/>
          <w:lang w:val="en-GB"/>
        </w:rPr>
        <w:t>Urgensi</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Pengaturan</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Prinsip</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Keterbukaan</w:t>
      </w:r>
      <w:proofErr w:type="spellEnd"/>
      <w:r w:rsidRPr="004D596A">
        <w:rPr>
          <w:rFonts w:ascii="Book Antiqua" w:hAnsi="Book Antiqua" w:cs="Times New Roman"/>
          <w:sz w:val="24"/>
          <w:szCs w:val="24"/>
          <w:lang w:val="en-GB"/>
        </w:rPr>
        <w:t xml:space="preserve"> Dalam </w:t>
      </w:r>
      <w:r w:rsidRPr="004D596A">
        <w:rPr>
          <w:rFonts w:ascii="Book Antiqua" w:hAnsi="Book Antiqua" w:cs="Times New Roman"/>
          <w:i/>
          <w:iCs/>
          <w:sz w:val="24"/>
          <w:szCs w:val="24"/>
          <w:lang w:val="en-GB"/>
        </w:rPr>
        <w:t xml:space="preserve">Equity Crowdfunding </w:t>
      </w:r>
      <w:r w:rsidRPr="004D596A">
        <w:rPr>
          <w:rFonts w:ascii="Book Antiqua" w:hAnsi="Book Antiqua" w:cs="Times New Roman"/>
          <w:sz w:val="24"/>
          <w:szCs w:val="24"/>
          <w:lang w:val="en-GB"/>
        </w:rPr>
        <w:t xml:space="preserve">Dan </w:t>
      </w:r>
      <w:proofErr w:type="spellStart"/>
      <w:r w:rsidRPr="004D596A">
        <w:rPr>
          <w:rFonts w:ascii="Book Antiqua" w:hAnsi="Book Antiqua" w:cs="Times New Roman"/>
          <w:sz w:val="24"/>
          <w:szCs w:val="24"/>
          <w:lang w:val="en-GB"/>
        </w:rPr>
        <w:t>Implikasinya</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Terhadap</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Perlindungan</w:t>
      </w:r>
      <w:proofErr w:type="spellEnd"/>
      <w:r w:rsidRPr="004D596A">
        <w:rPr>
          <w:rFonts w:ascii="Book Antiqua" w:hAnsi="Book Antiqua" w:cs="Times New Roman"/>
          <w:sz w:val="24"/>
          <w:szCs w:val="24"/>
          <w:lang w:val="en-GB"/>
        </w:rPr>
        <w:t xml:space="preserve"> Investor</w:t>
      </w:r>
      <w:r w:rsidRPr="004D596A">
        <w:rPr>
          <w:rFonts w:ascii="Book Antiqua" w:hAnsi="Book Antiqua" w:cs="Times New Roman"/>
          <w:sz w:val="24"/>
          <w:szCs w:val="24"/>
        </w:rPr>
        <w:t>”</w:t>
      </w:r>
      <w:r w:rsidR="00C03D96" w:rsidRPr="004D596A">
        <w:rPr>
          <w:rFonts w:ascii="Book Antiqua" w:hAnsi="Book Antiqua" w:cs="Times New Roman"/>
          <w:sz w:val="24"/>
          <w:szCs w:val="24"/>
        </w:rPr>
        <w:t xml:space="preserve"> </w:t>
      </w:r>
      <w:r w:rsidR="00C03D96" w:rsidRPr="004D596A">
        <w:rPr>
          <w:rFonts w:ascii="Book Antiqua" w:hAnsi="Book Antiqua" w:cs="Times New Roman"/>
          <w:sz w:val="24"/>
          <w:szCs w:val="24"/>
        </w:rPr>
        <w:fldChar w:fldCharType="begin" w:fldLock="1"/>
      </w:r>
      <w:r w:rsidR="00C03D96" w:rsidRPr="004D596A">
        <w:rPr>
          <w:rFonts w:ascii="Book Antiqua" w:hAnsi="Book Antiqua" w:cs="Times New Roman"/>
          <w:sz w:val="24"/>
          <w:szCs w:val="24"/>
        </w:rPr>
        <w:instrText>ADDIN CSL_CITATION {"citationItems":[{"id":"ITEM-1","itemData":{"DOI":"10.20885/iustum.vol29.iss2.art2","ISSN":"08548498","abstract":"The implementation of equity crowdfunding (ECF) is part of capital market activities. Capital market activities prioritize the principle of transparency in order to safeguard the trust of the investors. However, Financial Services Authority (OJK) regulations regarding ECF do not provide clear and adequate arrangements for the obligations of the principle of transparency. The problems studied in this research include: First, what is the urgency of regulating the principle of transparency in ECF? Second, what are the implications of the void in the regulation of the ECF principle of transparency to investor protection? The type of research used is normative legal research. This study uses statutory and conceptual approaches with a qualitative descriptive analysis method. The results of the study conclude: First, considering the crucial role of the principle of transparency as the main principle of the capital market, the existence of regulations regarding the principle of transparency is also needed in the implementation of ECF as part of capital market activities. Second, the absence of regulation regarding transparency in the administration of ECF results in non-optimal legal protection for investors. This is understandable because the substance of the ECF can actually be compared to a public offering in the capital market. In addition, the current OJK regulations related to investor protection have not specifically accommodated the interests of ECF investors. This is due to the nature of the regulation which is still scattered in several regulations and the nature of the regulation which is still repressive.","author":[{"dropping-particle":"","family":"Rahadiyan","given":"Inda","non-dropping-particle":"","parse-names":false,"suffix":""},{"dropping-particle":"","family":"Sugarda","given":"Paripurna P.","non-dropping-particle":"","parse-names":false,"suffix":""}],"container-title":"Jurnal Hukum Ius Quia Iustum","id":"ITEM-1","issue":"2","issued":{"date-parts":[["2022","5","1"]]},"page":"261-282","title":"Urgensi Pengaturan Prinsip Keterbukaan Dalam Equity Crowdfunding Dan Implikasinya Terhadap Perlindungan Investor","type":"article-journal","volume":"29"},"uris":["http://www.mendeley.com/documents/?uuid=1c2866fa-9dbc-4d70-8002-7d7be72291e2"]}],"mendeley":{"formattedCitation":"(Rahadiyan &amp; Sugarda, 2022)","plainTextFormattedCitation":"(Rahadiyan &amp; Sugarda, 2022)","previouslyFormattedCitation":"(Rahadiyan &amp; Sugarda, 2022)"},"properties":{"noteIndex":0},"schema":"https://github.com/citation-style-language/schema/raw/master/csl-citation.json"}</w:instrText>
      </w:r>
      <w:r w:rsidR="00C03D96" w:rsidRPr="004D596A">
        <w:rPr>
          <w:rFonts w:ascii="Book Antiqua" w:hAnsi="Book Antiqua" w:cs="Times New Roman"/>
          <w:sz w:val="24"/>
          <w:szCs w:val="24"/>
        </w:rPr>
        <w:fldChar w:fldCharType="separate"/>
      </w:r>
      <w:r w:rsidR="00C03D96" w:rsidRPr="004D596A">
        <w:rPr>
          <w:rFonts w:ascii="Book Antiqua" w:hAnsi="Book Antiqua" w:cs="Times New Roman"/>
          <w:noProof/>
          <w:sz w:val="24"/>
          <w:szCs w:val="24"/>
        </w:rPr>
        <w:t>(Rahadiyan &amp; Sugarda, 2022)</w:t>
      </w:r>
      <w:r w:rsidR="00C03D96" w:rsidRPr="004D596A">
        <w:rPr>
          <w:rFonts w:ascii="Book Antiqua" w:hAnsi="Book Antiqua" w:cs="Times New Roman"/>
          <w:sz w:val="24"/>
          <w:szCs w:val="24"/>
        </w:rPr>
        <w:fldChar w:fldCharType="end"/>
      </w:r>
      <w:r w:rsidR="00C03D96" w:rsidRPr="004D596A">
        <w:rPr>
          <w:rFonts w:ascii="Book Antiqua" w:hAnsi="Book Antiqua" w:cs="Times New Roman"/>
          <w:sz w:val="24"/>
          <w:szCs w:val="24"/>
        </w:rPr>
        <w:t>.</w:t>
      </w:r>
    </w:p>
    <w:p w14:paraId="0DC33DAC" w14:textId="77777777" w:rsidR="00262774" w:rsidRDefault="00DE699D" w:rsidP="00262774">
      <w:pPr>
        <w:spacing w:before="120" w:after="120" w:line="240" w:lineRule="auto"/>
        <w:ind w:right="-330" w:firstLine="720"/>
        <w:rPr>
          <w:rFonts w:ascii="Book Antiqua" w:hAnsi="Book Antiqua" w:cs="Times New Roman"/>
          <w:sz w:val="24"/>
          <w:szCs w:val="24"/>
        </w:rPr>
      </w:pPr>
      <w:r w:rsidRPr="004D596A">
        <w:rPr>
          <w:rFonts w:ascii="Book Antiqua" w:hAnsi="Book Antiqua" w:cs="Times New Roman"/>
          <w:sz w:val="24"/>
          <w:szCs w:val="24"/>
          <w:lang w:val="en-GB"/>
        </w:rPr>
        <w:t xml:space="preserve">Research on standard screening is conducted by </w:t>
      </w:r>
      <w:proofErr w:type="spellStart"/>
      <w:r w:rsidRPr="004D596A">
        <w:rPr>
          <w:rFonts w:ascii="Book Antiqua" w:hAnsi="Book Antiqua" w:cs="Times New Roman"/>
          <w:sz w:val="24"/>
          <w:szCs w:val="24"/>
          <w:lang w:val="en-GB"/>
        </w:rPr>
        <w:t>Kefi</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Miftachul</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Ulum</w:t>
      </w:r>
      <w:proofErr w:type="spellEnd"/>
      <w:r w:rsidRPr="004D596A">
        <w:rPr>
          <w:rFonts w:ascii="Book Antiqua" w:hAnsi="Book Antiqua" w:cs="Times New Roman"/>
          <w:sz w:val="24"/>
          <w:szCs w:val="24"/>
          <w:lang w:val="en-GB"/>
        </w:rPr>
        <w:t xml:space="preserve"> and Muhammad </w:t>
      </w:r>
      <w:proofErr w:type="spellStart"/>
      <w:r w:rsidRPr="004D596A">
        <w:rPr>
          <w:rFonts w:ascii="Book Antiqua" w:hAnsi="Book Antiqua" w:cs="Times New Roman"/>
          <w:sz w:val="24"/>
          <w:szCs w:val="24"/>
          <w:lang w:val="en-GB"/>
        </w:rPr>
        <w:t>Khoirul</w:t>
      </w:r>
      <w:proofErr w:type="spellEnd"/>
      <w:r w:rsidRPr="004D596A">
        <w:rPr>
          <w:rFonts w:ascii="Book Antiqua" w:hAnsi="Book Antiqua" w:cs="Times New Roman"/>
          <w:sz w:val="24"/>
          <w:szCs w:val="24"/>
          <w:lang w:val="en-GB"/>
        </w:rPr>
        <w:t xml:space="preserve"> </w:t>
      </w:r>
      <w:proofErr w:type="spellStart"/>
      <w:r w:rsidRPr="004D596A">
        <w:rPr>
          <w:rFonts w:ascii="Book Antiqua" w:hAnsi="Book Antiqua" w:cs="Times New Roman"/>
          <w:sz w:val="24"/>
          <w:szCs w:val="24"/>
          <w:lang w:val="en-GB"/>
        </w:rPr>
        <w:t>Ulum</w:t>
      </w:r>
      <w:proofErr w:type="spellEnd"/>
      <w:r w:rsidRPr="004D596A">
        <w:rPr>
          <w:rFonts w:ascii="Book Antiqua" w:hAnsi="Book Antiqua" w:cs="Times New Roman"/>
          <w:sz w:val="24"/>
          <w:szCs w:val="24"/>
          <w:lang w:val="en-GB"/>
        </w:rPr>
        <w:t>. In their research, two methods are employed in selecting Shariah-compliant securities of an issuer to be offered in the initial public offering, namely core business screening and financial ratio screening. These methods serve as the standard for listing Shariah-compliant securities in the offering mechanism on the Indonesia Stock Exchange. However, in the implementation of the core business screening method, there are still issuers who pass the screening despite violations of Environmental Impact Analysis (AMDAL). The research is titled “</w:t>
      </w:r>
      <w:r w:rsidRPr="004D596A">
        <w:rPr>
          <w:rFonts w:ascii="Book Antiqua" w:hAnsi="Book Antiqua" w:cs="Times New Roman"/>
          <w:i/>
          <w:iCs/>
          <w:sz w:val="24"/>
          <w:szCs w:val="24"/>
          <w:lang w:val="en-GB"/>
        </w:rPr>
        <w:t>Screening Standards in Sharia Capital Market Investor Legal Protection</w:t>
      </w:r>
      <w:r w:rsidRPr="004D596A">
        <w:rPr>
          <w:rFonts w:ascii="Book Antiqua" w:hAnsi="Book Antiqua" w:cs="Times New Roman"/>
          <w:sz w:val="24"/>
          <w:szCs w:val="24"/>
        </w:rPr>
        <w:t>”</w:t>
      </w:r>
      <w:r w:rsidR="00C03D96" w:rsidRPr="004D596A">
        <w:rPr>
          <w:rFonts w:ascii="Book Antiqua" w:hAnsi="Book Antiqua" w:cs="Times New Roman"/>
          <w:sz w:val="24"/>
          <w:szCs w:val="24"/>
        </w:rPr>
        <w:t xml:space="preserve"> </w:t>
      </w:r>
      <w:r w:rsidR="00C03D96" w:rsidRPr="004D596A">
        <w:rPr>
          <w:rFonts w:ascii="Book Antiqua" w:hAnsi="Book Antiqua" w:cs="Times New Roman"/>
          <w:sz w:val="24"/>
          <w:szCs w:val="24"/>
        </w:rPr>
        <w:fldChar w:fldCharType="begin" w:fldLock="1"/>
      </w:r>
      <w:r w:rsidR="00C03D96" w:rsidRPr="004D596A">
        <w:rPr>
          <w:rFonts w:ascii="Book Antiqua" w:hAnsi="Book Antiqua" w:cs="Times New Roman"/>
          <w:sz w:val="24"/>
          <w:szCs w:val="24"/>
        </w:rPr>
        <w:instrText>ADDIN CSL_CITATION {"citationItems":[{"id":"ITEM-1","itemData":{"DOI":"10.23971/el-mashlahah.v13i1.5791","ISSN":"2622-8645","abstract":"The growth of single investor identification on September 29 2022 reached 9.76 million, dominated by millennials with a percentage of 59.43%, and when compared to the total population of Indonesia, the share of investor growth is around 3.6%. Calculation of growth recapitulation is based on account opening through Perantara Pedagang Efek (PPE) both conventionally and sharia. Investors who enter the stock exchange consist of various types who have their own goals, so they have the potential risk of codifying securities on ISSI and JII of the formation of maisir, garar, darar and causing mafsadat. This study aims to analyze the screening standards in the legal protection of Islamic capital market investors. This research is normative legal research with a breakdown of 536 sharia issuers and analyzed through industry sectoral typologies and regulations 15/POJK.04/2015 and 35/POJK.04/2017. The results of this study found 7 issuers in the technology and film sectors that passed the DES, so deficiencies in the standard screening procession need to be improved by sectoral-based screening methods in the Sharia issuer index procession to increase the application of Sharia principles.","author":[{"dropping-particle":"","family":"Ulum","given":"Kefi Miftachul","non-dropping-particle":"","parse-names":false,"suffix":""},{"dropping-particle":"","family":"Ulum","given":"Mohammad Khoirul","non-dropping-particle":"","parse-names":false,"suffix":""}],"container-title":"El-Mashlahah","id":"ITEM-1","issue":"1","issued":{"date-parts":[["2023","6","30"]]},"page":"77-91","title":"Screening Standards in Sharia Capital Market Investor Legal Protection","type":"article-journal","volume":"13"},"uris":["http://www.mendeley.com/documents/?uuid=9a63ce26-38b7-45d3-905c-de4fa7d96dd1"]}],"mendeley":{"formattedCitation":"(Ulum &amp; Ulum, 2023)","plainTextFormattedCitation":"(Ulum &amp; Ulum, 2023)","previouslyFormattedCitation":"(Ulum &amp; Ulum, 2023)"},"properties":{"noteIndex":0},"schema":"https://github.com/citation-style-language/schema/raw/master/csl-citation.json"}</w:instrText>
      </w:r>
      <w:r w:rsidR="00C03D96" w:rsidRPr="004D596A">
        <w:rPr>
          <w:rFonts w:ascii="Book Antiqua" w:hAnsi="Book Antiqua" w:cs="Times New Roman"/>
          <w:sz w:val="24"/>
          <w:szCs w:val="24"/>
        </w:rPr>
        <w:fldChar w:fldCharType="separate"/>
      </w:r>
      <w:r w:rsidR="00C03D96" w:rsidRPr="004D596A">
        <w:rPr>
          <w:rFonts w:ascii="Book Antiqua" w:hAnsi="Book Antiqua" w:cs="Times New Roman"/>
          <w:noProof/>
          <w:sz w:val="24"/>
          <w:szCs w:val="24"/>
        </w:rPr>
        <w:t>(Ulum &amp; Ulum, 2023)</w:t>
      </w:r>
      <w:r w:rsidR="00C03D96" w:rsidRPr="004D596A">
        <w:rPr>
          <w:rFonts w:ascii="Book Antiqua" w:hAnsi="Book Antiqua" w:cs="Times New Roman"/>
          <w:sz w:val="24"/>
          <w:szCs w:val="24"/>
        </w:rPr>
        <w:fldChar w:fldCharType="end"/>
      </w:r>
      <w:r w:rsidR="00C03D96" w:rsidRPr="004D596A">
        <w:rPr>
          <w:rFonts w:ascii="Book Antiqua" w:hAnsi="Book Antiqua" w:cs="Times New Roman"/>
          <w:sz w:val="24"/>
          <w:szCs w:val="24"/>
        </w:rPr>
        <w:t>.</w:t>
      </w:r>
      <w:r w:rsidRPr="004D596A">
        <w:rPr>
          <w:rFonts w:ascii="Book Antiqua" w:hAnsi="Book Antiqua" w:cs="Times New Roman"/>
          <w:sz w:val="24"/>
          <w:szCs w:val="24"/>
          <w:lang w:val="id-ID"/>
        </w:rPr>
        <w:t xml:space="preserve"> </w:t>
      </w:r>
      <w:r w:rsidRPr="004D596A">
        <w:rPr>
          <w:rFonts w:ascii="Book Antiqua" w:hAnsi="Book Antiqua" w:cs="Times New Roman"/>
          <w:sz w:val="24"/>
          <w:szCs w:val="24"/>
          <w:lang w:val="en-GB"/>
        </w:rPr>
        <w:t xml:space="preserve">The research was conducted by Lars </w:t>
      </w:r>
      <w:proofErr w:type="spellStart"/>
      <w:r w:rsidRPr="004D596A">
        <w:rPr>
          <w:rFonts w:ascii="Book Antiqua" w:hAnsi="Book Antiqua" w:cs="Times New Roman"/>
          <w:sz w:val="24"/>
          <w:szCs w:val="24"/>
          <w:lang w:val="en-GB"/>
        </w:rPr>
        <w:t>Hornuf</w:t>
      </w:r>
      <w:proofErr w:type="spellEnd"/>
      <w:r w:rsidRPr="004D596A">
        <w:rPr>
          <w:rFonts w:ascii="Book Antiqua" w:hAnsi="Book Antiqua" w:cs="Times New Roman"/>
          <w:sz w:val="24"/>
          <w:szCs w:val="24"/>
          <w:lang w:val="en-GB"/>
        </w:rPr>
        <w:t xml:space="preserve"> and Armin </w:t>
      </w:r>
      <w:proofErr w:type="spellStart"/>
      <w:r w:rsidRPr="004D596A">
        <w:rPr>
          <w:rFonts w:ascii="Book Antiqua" w:hAnsi="Book Antiqua" w:cs="Times New Roman"/>
          <w:sz w:val="24"/>
          <w:szCs w:val="24"/>
          <w:lang w:val="en-GB"/>
        </w:rPr>
        <w:t>Schwienbacher</w:t>
      </w:r>
      <w:proofErr w:type="spellEnd"/>
      <w:r w:rsidRPr="004D596A">
        <w:rPr>
          <w:rFonts w:ascii="Book Antiqua" w:hAnsi="Book Antiqua" w:cs="Times New Roman"/>
          <w:sz w:val="24"/>
          <w:szCs w:val="24"/>
          <w:lang w:val="en-GB"/>
        </w:rPr>
        <w:t xml:space="preserve"> with the title “Should Securities Regulation Promote Equity Crowdfunding?” The research discusses the importance of securities regulation in promoting equity-based crowdfunding products by critiquing legal protection not only from the perspective of investors but also from the viewpoints of SMEs and startup companies</w:t>
      </w:r>
      <w:r w:rsidR="00C03D96" w:rsidRPr="004D596A">
        <w:rPr>
          <w:rFonts w:ascii="Book Antiqua" w:hAnsi="Book Antiqua" w:cs="Times New Roman"/>
          <w:sz w:val="24"/>
          <w:szCs w:val="24"/>
          <w:lang w:val="en-GB"/>
        </w:rPr>
        <w:t xml:space="preserve"> </w:t>
      </w:r>
      <w:r w:rsidR="00C03D96" w:rsidRPr="004D596A">
        <w:rPr>
          <w:rFonts w:ascii="Book Antiqua" w:hAnsi="Book Antiqua" w:cs="Times New Roman"/>
          <w:sz w:val="24"/>
          <w:szCs w:val="24"/>
          <w:lang w:val="en-GB"/>
        </w:rPr>
        <w:fldChar w:fldCharType="begin" w:fldLock="1"/>
      </w:r>
      <w:r w:rsidR="00C03D96" w:rsidRPr="004D596A">
        <w:rPr>
          <w:rFonts w:ascii="Book Antiqua" w:hAnsi="Book Antiqua" w:cs="Times New Roman"/>
          <w:sz w:val="24"/>
          <w:szCs w:val="24"/>
          <w:lang w:val="en-GB"/>
        </w:rPr>
        <w:instrText>ADDIN CSL_CITATION {"citationItems":[{"id":"ITEM-1","itemData":{"DOI":"10.2139/ssrn.2412124","ISSN":"1556-5068","author":[{"dropping-particle":"","family":"Hornuf","given":"Lars","non-dropping-particle":"","parse-names":false,"suffix":""},{"dropping-particle":"","family":"Schwienbacher","given":"Armin","non-dropping-particle":"","parse-names":false,"suffix":""}],"container-title":"SSRN Electronic Journal","id":"ITEM-1","issued":{"date-parts":[["2014"]]},"title":"Which Securities Regulation Promotes Crowdinvesting?","type":"article-journal"},"uris":["http://www.mendeley.com/documents/?uuid=c7d940cd-be28-46b8-8107-d78952ab1daf"]}],"mendeley":{"formattedCitation":"(Hornuf &amp; Schwienbacher, 2014)","plainTextFormattedCitation":"(Hornuf &amp; Schwienbacher, 2014)","previouslyFormattedCitation":"(Hornuf &amp; Schwienbacher, 2014)"},"properties":{"noteIndex":0},"schema":"https://github.com/citation-style-language/schema/raw/master/csl-citation.json"}</w:instrText>
      </w:r>
      <w:r w:rsidR="00C03D96" w:rsidRPr="004D596A">
        <w:rPr>
          <w:rFonts w:ascii="Book Antiqua" w:hAnsi="Book Antiqua" w:cs="Times New Roman"/>
          <w:sz w:val="24"/>
          <w:szCs w:val="24"/>
          <w:lang w:val="en-GB"/>
        </w:rPr>
        <w:fldChar w:fldCharType="separate"/>
      </w:r>
      <w:r w:rsidR="00C03D96" w:rsidRPr="004D596A">
        <w:rPr>
          <w:rFonts w:ascii="Book Antiqua" w:hAnsi="Book Antiqua" w:cs="Times New Roman"/>
          <w:noProof/>
          <w:sz w:val="24"/>
          <w:szCs w:val="24"/>
          <w:lang w:val="en-GB"/>
        </w:rPr>
        <w:t>(Hornuf &amp; Schwienbacher, 2014)</w:t>
      </w:r>
      <w:r w:rsidR="00C03D96" w:rsidRPr="004D596A">
        <w:rPr>
          <w:rFonts w:ascii="Book Antiqua" w:hAnsi="Book Antiqua" w:cs="Times New Roman"/>
          <w:sz w:val="24"/>
          <w:szCs w:val="24"/>
          <w:lang w:val="en-GB"/>
        </w:rPr>
        <w:fldChar w:fldCharType="end"/>
      </w:r>
      <w:r w:rsidRPr="004D596A">
        <w:rPr>
          <w:rFonts w:ascii="Book Antiqua" w:hAnsi="Book Antiqua" w:cs="Times New Roman"/>
          <w:sz w:val="24"/>
          <w:szCs w:val="24"/>
        </w:rPr>
        <w:t>.</w:t>
      </w:r>
    </w:p>
    <w:p w14:paraId="092B9EF6" w14:textId="77777777" w:rsidR="002100C8" w:rsidRDefault="002100C8">
      <w:pPr>
        <w:spacing w:after="160" w:line="259" w:lineRule="auto"/>
        <w:jc w:val="left"/>
        <w:rPr>
          <w:rFonts w:ascii="Book Antiqua" w:hAnsi="Book Antiqua" w:cs="Times New Roman"/>
          <w:sz w:val="24"/>
          <w:szCs w:val="24"/>
          <w:lang w:val="en-GB"/>
        </w:rPr>
      </w:pPr>
      <w:r>
        <w:rPr>
          <w:rFonts w:ascii="Book Antiqua" w:hAnsi="Book Antiqua" w:cs="Times New Roman"/>
          <w:sz w:val="24"/>
          <w:szCs w:val="24"/>
          <w:lang w:val="en-GB"/>
        </w:rPr>
        <w:br w:type="page"/>
      </w:r>
    </w:p>
    <w:p w14:paraId="0DCE2668" w14:textId="45632FBF" w:rsidR="00DE699D" w:rsidRPr="004D596A" w:rsidRDefault="00DE699D" w:rsidP="00262774">
      <w:pPr>
        <w:spacing w:before="120" w:after="120" w:line="240" w:lineRule="auto"/>
        <w:ind w:right="-330" w:firstLine="720"/>
        <w:rPr>
          <w:rFonts w:ascii="Book Antiqua" w:hAnsi="Book Antiqua" w:cs="Times New Roman"/>
          <w:sz w:val="24"/>
          <w:szCs w:val="24"/>
        </w:rPr>
      </w:pPr>
      <w:r w:rsidRPr="004D596A">
        <w:rPr>
          <w:rFonts w:ascii="Book Antiqua" w:hAnsi="Book Antiqua" w:cs="Times New Roman"/>
          <w:sz w:val="24"/>
          <w:szCs w:val="24"/>
          <w:lang w:val="en-GB"/>
        </w:rPr>
        <w:lastRenderedPageBreak/>
        <w:t xml:space="preserve">The literature review on legal protection research implicitly correlates with studies compiled by the author, focusing on either material or moral legal protection concerning the </w:t>
      </w:r>
      <w:proofErr w:type="spellStart"/>
      <w:r w:rsidRPr="004D596A">
        <w:rPr>
          <w:rFonts w:ascii="Book Antiqua" w:hAnsi="Book Antiqua" w:cs="Times New Roman"/>
          <w:sz w:val="24"/>
          <w:szCs w:val="24"/>
          <w:lang w:val="en-GB"/>
        </w:rPr>
        <w:t>fulfillment</w:t>
      </w:r>
      <w:proofErr w:type="spellEnd"/>
      <w:r w:rsidRPr="004D596A">
        <w:rPr>
          <w:rFonts w:ascii="Book Antiqua" w:hAnsi="Book Antiqua" w:cs="Times New Roman"/>
          <w:sz w:val="24"/>
          <w:szCs w:val="24"/>
          <w:lang w:val="en-GB"/>
        </w:rPr>
        <w:t xml:space="preserve"> of Shariah principles. In the literature review on standard screening research, it serves as a reference for the standard screening process on the Indonesia Stock Exchange, which cannot be applied in the securities crowdfunding cycle. Various literature reviews have identified novelty or important new aspects to be examined, such as the legal vacuum in the organisation of funding regarding standard screening aspects for the issuance of business units to be offered</w:t>
      </w:r>
    </w:p>
    <w:p w14:paraId="4B922FBA" w14:textId="3FC5DC9C" w:rsidR="007B4170" w:rsidRPr="004D596A" w:rsidRDefault="001229FB" w:rsidP="008A5BEE">
      <w:pPr>
        <w:pStyle w:val="Heading1"/>
        <w:numPr>
          <w:ilvl w:val="0"/>
          <w:numId w:val="11"/>
        </w:numPr>
        <w:spacing w:before="120" w:after="120"/>
        <w:ind w:left="360"/>
        <w:rPr>
          <w:rFonts w:ascii="Book Antiqua" w:hAnsi="Book Antiqua"/>
          <w:caps w:val="0"/>
          <w:sz w:val="24"/>
          <w:szCs w:val="24"/>
        </w:rPr>
      </w:pPr>
      <w:r w:rsidRPr="004D596A">
        <w:rPr>
          <w:rFonts w:ascii="Book Antiqua" w:hAnsi="Book Antiqua"/>
          <w:caps w:val="0"/>
          <w:sz w:val="24"/>
          <w:szCs w:val="24"/>
        </w:rPr>
        <w:t>Literature Review</w:t>
      </w:r>
    </w:p>
    <w:p w14:paraId="76B9E7FE" w14:textId="77777777" w:rsidR="00262774" w:rsidRDefault="00634590" w:rsidP="00262774">
      <w:pPr>
        <w:spacing w:after="120"/>
        <w:ind w:firstLine="360"/>
        <w:rPr>
          <w:rFonts w:ascii="Book Antiqua" w:eastAsiaTheme="minorEastAsia" w:hAnsi="Book Antiqua"/>
          <w:i/>
          <w:iCs/>
          <w:sz w:val="24"/>
          <w:szCs w:val="24"/>
        </w:rPr>
      </w:pPr>
      <w:r w:rsidRPr="00262774">
        <w:rPr>
          <w:rFonts w:ascii="Book Antiqua" w:eastAsiaTheme="minorEastAsia" w:hAnsi="Book Antiqua"/>
          <w:i/>
          <w:iCs/>
          <w:sz w:val="24"/>
          <w:szCs w:val="24"/>
        </w:rPr>
        <w:t>Standard Screening</w:t>
      </w:r>
    </w:p>
    <w:p w14:paraId="65A1B6F6" w14:textId="77777777" w:rsidR="002100C8" w:rsidRDefault="003E3AA8" w:rsidP="002100C8">
      <w:pPr>
        <w:spacing w:after="120"/>
        <w:ind w:left="360"/>
        <w:rPr>
          <w:rFonts w:ascii="Book Antiqua" w:eastAsiaTheme="minorEastAsia" w:hAnsi="Book Antiqua"/>
          <w:i/>
          <w:iCs/>
          <w:sz w:val="24"/>
          <w:szCs w:val="24"/>
        </w:rPr>
      </w:pPr>
      <w:proofErr w:type="spellStart"/>
      <w:r w:rsidRPr="00262774">
        <w:rPr>
          <w:rFonts w:ascii="Book Antiqua" w:eastAsiaTheme="minorEastAsia" w:hAnsi="Book Antiqua"/>
          <w:sz w:val="24"/>
          <w:szCs w:val="24"/>
          <w:lang w:val="en-ID"/>
        </w:rPr>
        <w:t>Sandarad</w:t>
      </w:r>
      <w:proofErr w:type="spellEnd"/>
      <w:r w:rsidRPr="00262774">
        <w:rPr>
          <w:rFonts w:ascii="Book Antiqua" w:eastAsiaTheme="minorEastAsia" w:hAnsi="Book Antiqua"/>
          <w:sz w:val="24"/>
          <w:szCs w:val="24"/>
          <w:lang w:val="en-ID"/>
        </w:rPr>
        <w:t xml:space="preserve"> screening is a method used to measure a company's sharia compliance. This method is divided into two approaches, namely core business screening and financial ratio screening</w:t>
      </w:r>
      <w:r w:rsidR="0026616C" w:rsidRPr="00262774">
        <w:rPr>
          <w:rFonts w:ascii="Book Antiqua" w:eastAsiaTheme="minorEastAsia" w:hAnsi="Book Antiqua"/>
          <w:sz w:val="24"/>
          <w:szCs w:val="24"/>
          <w:lang w:val="en-ID"/>
        </w:rPr>
        <w:fldChar w:fldCharType="begin" w:fldLock="1"/>
      </w:r>
      <w:r w:rsidR="0026616C" w:rsidRPr="00262774">
        <w:rPr>
          <w:rFonts w:ascii="Book Antiqua" w:eastAsiaTheme="minorEastAsia" w:hAnsi="Book Antiqua"/>
          <w:sz w:val="24"/>
          <w:szCs w:val="24"/>
          <w:lang w:val="en-ID"/>
        </w:rPr>
        <w:instrText>ADDIN CSL_CITATION {"citationItems":[{"id":"ITEM-1","itemData":{"author":[{"dropping-particle":"","family":"Ulum","given":"Kefi Miftachul","non-dropping-particle":"","parse-names":false,"suffix":""},{"dropping-particle":"","family":"Nasyiah","given":"Iffaty","non-dropping-particle":"","parse-names":false,"suffix":""},{"dropping-particle":"","family":"Izzati","given":"Lia Wilda","non-dropping-particle":"","parse-names":false,"suffix":""}],"container-title":"As-SakhaSharia Economics Law and Legal Studies","id":"ITEM-1","issue":"1","issued":{"date-parts":[["2024"]]},"title":"Sharia Green Financing: Potential Sustainable Funding For Msme On Wakafestasi Securities Crowdfunding Services","type":"article-journal","volume":"1"},"uris":["http://www.mendeley.com/documents/?uuid=95fdd378-645e-4910-a70b-a08623e3882f"]},{"id":"ITEM-2","itemData":{"DOI":"10.24952/multidisipliner.v11i1.10672","author":[{"dropping-particle":"","family":"Ulum","given":"Kefi Miftachul","non-dropping-particle":"","parse-names":false,"suffix":""}],"id":"ITEM-2","issue":"1","issued":{"date-parts":[["2024"]]},"page":"29-42","title":"Analysis of Securities Offering Regulations on Securities Crowdfunding Services Maslahah Approach Abstrak","type":"article-journal","volume":"11"},"uris":["http://www.mendeley.com/documents/?uuid=1fdee521-2d01-47d8-8961-2582e2383305"]}],"mendeley":{"formattedCitation":"(Ulum, 2024; Ulum et al., 2024)","plainTextFormattedCitation":"(Ulum, 2024; Ulum et al., 2024)"},"properties":{"noteIndex":0},"schema":"https://github.com/citation-style-language/schema/raw/master/csl-citation.json"}</w:instrText>
      </w:r>
      <w:r w:rsidR="0026616C" w:rsidRPr="00262774">
        <w:rPr>
          <w:rFonts w:ascii="Book Antiqua" w:eastAsiaTheme="minorEastAsia" w:hAnsi="Book Antiqua"/>
          <w:sz w:val="24"/>
          <w:szCs w:val="24"/>
          <w:lang w:val="en-ID"/>
        </w:rPr>
        <w:fldChar w:fldCharType="separate"/>
      </w:r>
      <w:r w:rsidR="0026616C" w:rsidRPr="00262774">
        <w:rPr>
          <w:rFonts w:ascii="Book Antiqua" w:eastAsiaTheme="minorEastAsia" w:hAnsi="Book Antiqua"/>
          <w:noProof/>
          <w:sz w:val="24"/>
          <w:szCs w:val="24"/>
          <w:lang w:val="en-ID"/>
        </w:rPr>
        <w:t>(Ulum, 2024; Ulum et al., 2024)</w:t>
      </w:r>
      <w:r w:rsidR="0026616C" w:rsidRPr="00262774">
        <w:rPr>
          <w:rFonts w:ascii="Book Antiqua" w:eastAsiaTheme="minorEastAsia" w:hAnsi="Book Antiqua"/>
          <w:sz w:val="24"/>
          <w:szCs w:val="24"/>
          <w:lang w:val="en-ID"/>
        </w:rPr>
        <w:fldChar w:fldCharType="end"/>
      </w:r>
      <w:r w:rsidR="00884FED" w:rsidRPr="00262774">
        <w:rPr>
          <w:rFonts w:ascii="Book Antiqua" w:eastAsiaTheme="minorEastAsia" w:hAnsi="Book Antiqua"/>
          <w:sz w:val="24"/>
          <w:szCs w:val="24"/>
        </w:rPr>
        <w:t xml:space="preserve">. </w:t>
      </w:r>
      <w:r w:rsidRPr="00262774">
        <w:rPr>
          <w:rFonts w:ascii="Book Antiqua" w:eastAsiaTheme="minorEastAsia" w:hAnsi="Book Antiqua"/>
          <w:sz w:val="24"/>
          <w:szCs w:val="24"/>
          <w:lang w:val="en-ID"/>
        </w:rPr>
        <w:t>Core business screening focuses on sharia studies of business models, corporate governance, products, and those related to company management. Financial ratio screening focuses on studying financial ratios such as ownership of usurious debt, usurious income ratio, and other financial ratios that are permitted up to certain limits</w:t>
      </w:r>
      <w:r w:rsidR="00D92020" w:rsidRPr="00262774">
        <w:rPr>
          <w:rFonts w:ascii="Book Antiqua" w:eastAsiaTheme="minorEastAsia" w:hAnsi="Book Antiqua"/>
          <w:sz w:val="24"/>
          <w:szCs w:val="24"/>
        </w:rPr>
        <w:t xml:space="preserve"> </w:t>
      </w:r>
      <w:r w:rsidR="00D92020" w:rsidRPr="00262774">
        <w:rPr>
          <w:rFonts w:ascii="Book Antiqua" w:eastAsiaTheme="minorEastAsia" w:hAnsi="Book Antiqua"/>
          <w:sz w:val="24"/>
          <w:szCs w:val="24"/>
        </w:rPr>
        <w:fldChar w:fldCharType="begin" w:fldLock="1"/>
      </w:r>
      <w:r w:rsidR="009A7E11" w:rsidRPr="00262774">
        <w:rPr>
          <w:rFonts w:ascii="Book Antiqua" w:eastAsiaTheme="minorEastAsia" w:hAnsi="Book Antiqua"/>
          <w:sz w:val="24"/>
          <w:szCs w:val="24"/>
        </w:rPr>
        <w:instrText>ADDIN CSL_CITATION {"citationItems":[{"id":"ITEM-1","itemData":{"DOI":"10.54427/ijisef.1129328","ISSN":"2149-8393","abstract":"Capital markets represent the second main application area of Islamic finance after the banking sector. The most important instrument traded in these markets is stocks. The character of companies is important on the legitimacy (shariah compliance) of investing in stocks. The fact that the companies with a completely Shariah compliant structure are few in number brings about investing in mixed companies that carry out Shariah non-compliant activities even though their main activity is legitimate. Depending on this necessity, companies are allowed to carry out financial activities that do not comply with Shariah principles to a certain extent. In this context, thresholds are used within the scope of Shariah screening to determine the level of non-compliant elements to Shariah in the company. There are two different approaches to determining thresholds; the minority-majority-centered approach and the necessity-centered approach. The first approach uses Shar'i evidence showing the less or more borderline when setting thresholds for all analysis of Shariah screening. The necessity-centered approach, on the other hand, focuses on determining the amount of necessity based on market data. Both methods contain methodological problems in the threshold determination processes. This study aims to reveal the problems of both methods and to propose the sectoral necessity-centered method as an alternative.","author":[{"dropping-particle":"","family":"AKARTEPE","given":"Batuhan Buğra","non-dropping-particle":"","parse-names":false,"suffix":""}],"container-title":"International Journal of Islamic Economics and Finance Studies","id":"ITEM-1","issued":{"date-parts":[["2022","7","19"]]},"title":"A Critical Review of the Thresholds of Sharia Screening for Stocks","type":"article-journal"},"uris":["http://www.mendeley.com/documents/?uuid=e8587f1b-906b-45a5-8cd1-25457dc7d65c"]}],"mendeley":{"formattedCitation":"(AKARTEPE, 2022)","manualFormatting":"(Akartepe, 2022)","plainTextFormattedCitation":"(AKARTEPE, 2022)","previouslyFormattedCitation":"(AKARTEPE, 2022)"},"properties":{"noteIndex":0},"schema":"https://github.com/citation-style-language/schema/raw/master/csl-citation.json"}</w:instrText>
      </w:r>
      <w:r w:rsidR="00D92020" w:rsidRPr="00262774">
        <w:rPr>
          <w:rFonts w:ascii="Book Antiqua" w:eastAsiaTheme="minorEastAsia" w:hAnsi="Book Antiqua"/>
          <w:sz w:val="24"/>
          <w:szCs w:val="24"/>
        </w:rPr>
        <w:fldChar w:fldCharType="separate"/>
      </w:r>
      <w:r w:rsidR="00D92020" w:rsidRPr="00262774">
        <w:rPr>
          <w:rFonts w:ascii="Book Antiqua" w:eastAsiaTheme="minorEastAsia" w:hAnsi="Book Antiqua"/>
          <w:noProof/>
          <w:sz w:val="24"/>
          <w:szCs w:val="24"/>
        </w:rPr>
        <w:t>(A</w:t>
      </w:r>
      <w:r w:rsidR="009A7E11" w:rsidRPr="00262774">
        <w:rPr>
          <w:rFonts w:ascii="Book Antiqua" w:eastAsiaTheme="minorEastAsia" w:hAnsi="Book Antiqua"/>
          <w:noProof/>
          <w:sz w:val="24"/>
          <w:szCs w:val="24"/>
        </w:rPr>
        <w:t>kartepe</w:t>
      </w:r>
      <w:r w:rsidR="00D92020" w:rsidRPr="00262774">
        <w:rPr>
          <w:rFonts w:ascii="Book Antiqua" w:eastAsiaTheme="minorEastAsia" w:hAnsi="Book Antiqua"/>
          <w:noProof/>
          <w:sz w:val="24"/>
          <w:szCs w:val="24"/>
        </w:rPr>
        <w:t>, 2022)</w:t>
      </w:r>
      <w:r w:rsidR="00D92020" w:rsidRPr="00262774">
        <w:rPr>
          <w:rFonts w:ascii="Book Antiqua" w:eastAsiaTheme="minorEastAsia" w:hAnsi="Book Antiqua"/>
          <w:sz w:val="24"/>
          <w:szCs w:val="24"/>
        </w:rPr>
        <w:fldChar w:fldCharType="end"/>
      </w:r>
      <w:r w:rsidR="00884FED" w:rsidRPr="00262774">
        <w:rPr>
          <w:rFonts w:ascii="Book Antiqua" w:eastAsiaTheme="minorEastAsia" w:hAnsi="Book Antiqua"/>
          <w:sz w:val="24"/>
          <w:szCs w:val="24"/>
        </w:rPr>
        <w:t xml:space="preserve">. </w:t>
      </w:r>
      <w:r w:rsidRPr="00262774">
        <w:rPr>
          <w:rFonts w:ascii="Book Antiqua" w:eastAsiaTheme="minorEastAsia" w:hAnsi="Book Antiqua"/>
          <w:sz w:val="24"/>
          <w:szCs w:val="24"/>
          <w:lang w:val="en-ID"/>
        </w:rPr>
        <w:t>The Indonesian Sharia Capital Market uses a maximum ratio of interest-based debt compared to total assets of 45%, while Malaysia uses a limit of 20%, and the ratio of non-halal income to total income cannot exceed 10%</w:t>
      </w:r>
      <w:r w:rsidR="00884FED" w:rsidRPr="00262774">
        <w:rPr>
          <w:rFonts w:ascii="Book Antiqua" w:eastAsiaTheme="minorEastAsia" w:hAnsi="Book Antiqua"/>
          <w:sz w:val="24"/>
          <w:szCs w:val="24"/>
        </w:rPr>
        <w:t xml:space="preserve"> </w:t>
      </w:r>
      <w:r w:rsidR="00884FED" w:rsidRPr="00262774">
        <w:rPr>
          <w:rFonts w:ascii="Book Antiqua" w:eastAsiaTheme="minorEastAsia" w:hAnsi="Book Antiqua"/>
          <w:sz w:val="24"/>
          <w:szCs w:val="24"/>
        </w:rPr>
        <w:fldChar w:fldCharType="begin" w:fldLock="1"/>
      </w:r>
      <w:r w:rsidR="00D92020" w:rsidRPr="00262774">
        <w:rPr>
          <w:rFonts w:ascii="Book Antiqua" w:eastAsiaTheme="minorEastAsia" w:hAnsi="Book Antiqua"/>
          <w:sz w:val="24"/>
          <w:szCs w:val="24"/>
        </w:rPr>
        <w:instrText>ADDIN CSL_CITATION {"citationItems":[{"id":"ITEM-1","itemData":{"DOI":"10.18860/j.v13i1.17044","ISSN":"2528-3383","abstract":"Sharia stock is the Islamic capital market’s instrument used as a proof of a company’s shareholder ownership. It must be in line with the Quran, Sunnah, and Ulama’s ijtihad. To include a company’s shares in the sharia category, there are several criteria and screening processes taken by the issuer. This study examines and analyzes tafriq halal wal haram theory in the screening process of the Indonesian Islamic capital market and compares it to Malaysia. Comparative approach and content analysis were used here. Qualitative method investigates whether the company involves in riba activities, gharar, producing non-halal products, gambling, and so forth. This is a normative study to review Indonesia Financial Services Authority regulations and stock exchange regulations. The results indicate that the Indonesian Sharia Capital Market uses an interest-based debt ratio limit compared to a maximum total asset of 45% while Malaysia uses a 20% limit, and the ratio of non-halal income to total income should not be more than 10%. This study can be the reference for Muslim countries to apply the theory of tafriq halal ‘an haram in the selection of sharia stocks in sharia capital market.Saham syariah adalah instrumen pasar modal syariah yang digunakan sebagai bukti kepemilikan pemegang saham suatu perusahaan. Hal tersebut harus sejalan dengan Al-Qur’an, Sunnah, dan ijtihad Ulama. Untuk memasukkan saham perusahaan dalam kategori syariah, ada beberapa kriteria dan proses penyaringan yang dilakukan emiten. Penelitian ini mengkaji dan menganalisis teori tafriq halal wal haram dalam proses penyaringan pasar modal syariah Indonesia dan membandingkannya dengan Malaysia. Kedua negara menggunakan metode kualitatif dan kuantitatif dalam proses penyaringan stok. Metode kualitatif menyelidiki apakah perusahaan terlibat dalam kegiatan riba, gharar, memproduksi produk yang tidak halal, perjudian, dan sebagainya. Kajian ini merupakan kajian normatif untuk mengkaji fatwa dan peraturan OJK dan peraturan Bursa. Pendekatan komparatif dan analisis isi digunakan di sini. Hasil penelitian menunjukkan bahwa Pasar Modal Syariah Indonesia menggunakan batas rasio utang berbasis bunga dibandingkan dengan total aset maksimum 45% sedangkan Malaysia menggunakan batas 20%, dan rasio pendapatan non-halal terhadap total pendapatan tidak boleh lebih 10%. Artikel ini dapat dijadikan sebagai rujukan negara muslim untuk membuat tafriq halal ‘an haram dalam melakukan seleksi saham syariah pada pasar moda…","author":[{"dropping-particle":"","family":"Renie","given":"Elsy","non-dropping-particle":"","parse-names":false,"suffix":""},{"dropping-particle":"","family":"Iska","given":"Syukri","non-dropping-particle":"","parse-names":false,"suffix":""},{"dropping-particle":"","family":"Thaidi","given":"Husein 'Azeemi Abdullah","non-dropping-particle":"","parse-names":false,"suffix":""},{"dropping-particle":"","family":"Binti Yusof","given":"Ummi Annis","non-dropping-particle":"","parse-names":false,"suffix":""}],"container-title":"JURISDICTIE","id":"ITEM-1","issue":"1","issued":{"date-parts":[["2022","7","27"]]},"page":"128-142","title":"TAFRIQ AL-HALAL ‘AN AL-HARAM THEORY IN THE SELECTION OF SHARIA STOCKS: The Comparative Study in The Sharia Capital Market in Indonesia and Malaysia","type":"article-journal","volume":"13"},"uris":["http://www.mendeley.com/documents/?uuid=e1641643-7cbe-4c3b-8e27-646baf57b46f"]}],"mendeley":{"formattedCitation":"(Renie et al., 2022)","plainTextFormattedCitation":"(Renie et al., 2022)","previouslyFormattedCitation":"(Renie et al., 2022)"},"properties":{"noteIndex":0},"schema":"https://github.com/citation-style-language/schema/raw/master/csl-citation.json"}</w:instrText>
      </w:r>
      <w:r w:rsidR="00884FED" w:rsidRPr="00262774">
        <w:rPr>
          <w:rFonts w:ascii="Book Antiqua" w:eastAsiaTheme="minorEastAsia" w:hAnsi="Book Antiqua"/>
          <w:sz w:val="24"/>
          <w:szCs w:val="24"/>
        </w:rPr>
        <w:fldChar w:fldCharType="separate"/>
      </w:r>
      <w:r w:rsidR="00884FED" w:rsidRPr="00262774">
        <w:rPr>
          <w:rFonts w:ascii="Book Antiqua" w:eastAsiaTheme="minorEastAsia" w:hAnsi="Book Antiqua"/>
          <w:noProof/>
          <w:sz w:val="24"/>
          <w:szCs w:val="24"/>
        </w:rPr>
        <w:t>(Renie et al., 2022)</w:t>
      </w:r>
      <w:r w:rsidR="00884FED" w:rsidRPr="00262774">
        <w:rPr>
          <w:rFonts w:ascii="Book Antiqua" w:eastAsiaTheme="minorEastAsia" w:hAnsi="Book Antiqua"/>
          <w:sz w:val="24"/>
          <w:szCs w:val="24"/>
        </w:rPr>
        <w:fldChar w:fldCharType="end"/>
      </w:r>
      <w:r w:rsidR="00884FED" w:rsidRPr="00262774">
        <w:rPr>
          <w:rFonts w:ascii="Book Antiqua" w:eastAsiaTheme="minorEastAsia" w:hAnsi="Book Antiqua"/>
          <w:sz w:val="24"/>
          <w:szCs w:val="24"/>
        </w:rPr>
        <w:t>.</w:t>
      </w:r>
      <w:r w:rsidR="00D92020" w:rsidRPr="00262774">
        <w:rPr>
          <w:rFonts w:ascii="Book Antiqua" w:eastAsiaTheme="minorEastAsia" w:hAnsi="Book Antiqua"/>
          <w:sz w:val="24"/>
          <w:szCs w:val="24"/>
        </w:rPr>
        <w:t xml:space="preserve"> </w:t>
      </w:r>
    </w:p>
    <w:p w14:paraId="75EFF9B8" w14:textId="77777777" w:rsidR="002100C8" w:rsidRDefault="00634590" w:rsidP="002100C8">
      <w:pPr>
        <w:spacing w:after="120"/>
        <w:ind w:left="360"/>
        <w:rPr>
          <w:rFonts w:ascii="Book Antiqua" w:eastAsiaTheme="minorEastAsia" w:hAnsi="Book Antiqua"/>
          <w:i/>
          <w:iCs/>
          <w:sz w:val="24"/>
          <w:szCs w:val="24"/>
        </w:rPr>
      </w:pPr>
      <w:r w:rsidRPr="00262774">
        <w:rPr>
          <w:rFonts w:ascii="Book Antiqua" w:eastAsiaTheme="minorEastAsia" w:hAnsi="Book Antiqua"/>
          <w:i/>
          <w:iCs/>
          <w:sz w:val="24"/>
          <w:szCs w:val="24"/>
        </w:rPr>
        <w:t>Securities Crowdfunding</w:t>
      </w:r>
    </w:p>
    <w:p w14:paraId="616CF749" w14:textId="77777777" w:rsidR="002100C8" w:rsidRDefault="003E3AA8" w:rsidP="002100C8">
      <w:pPr>
        <w:spacing w:after="120"/>
        <w:ind w:left="360"/>
        <w:rPr>
          <w:rFonts w:ascii="Book Antiqua" w:eastAsiaTheme="minorEastAsia" w:hAnsi="Book Antiqua"/>
          <w:i/>
          <w:iCs/>
          <w:sz w:val="24"/>
          <w:szCs w:val="24"/>
        </w:rPr>
      </w:pPr>
      <w:r w:rsidRPr="002100C8">
        <w:rPr>
          <w:rFonts w:ascii="Book Antiqua" w:eastAsiaTheme="minorEastAsia" w:hAnsi="Book Antiqua"/>
          <w:sz w:val="24"/>
          <w:szCs w:val="24"/>
          <w:lang w:val="en-ID"/>
        </w:rPr>
        <w:t>The development of information technology is changing the landscape of company funding in the capital market to securities-based crowdfunding; this funding is able to accommodate and become an alternative</w:t>
      </w:r>
      <w:r w:rsidR="00634971" w:rsidRPr="002100C8">
        <w:rPr>
          <w:rFonts w:ascii="Book Antiqua" w:eastAsiaTheme="minorEastAsia" w:hAnsi="Book Antiqua"/>
          <w:sz w:val="24"/>
          <w:szCs w:val="24"/>
        </w:rPr>
        <w:t xml:space="preserve"> </w:t>
      </w:r>
      <w:r w:rsidR="00634971" w:rsidRPr="002100C8">
        <w:rPr>
          <w:rFonts w:ascii="Book Antiqua" w:eastAsiaTheme="minorEastAsia" w:hAnsi="Book Antiqua"/>
          <w:sz w:val="24"/>
          <w:szCs w:val="24"/>
        </w:rPr>
        <w:fldChar w:fldCharType="begin" w:fldLock="1"/>
      </w:r>
      <w:r w:rsidR="00C6090B" w:rsidRPr="002100C8">
        <w:rPr>
          <w:rFonts w:ascii="Book Antiqua" w:eastAsiaTheme="minorEastAsia" w:hAnsi="Book Antiqua"/>
          <w:sz w:val="24"/>
          <w:szCs w:val="24"/>
        </w:rPr>
        <w:instrText>ADDIN CSL_CITATION {"citationItems":[{"id":"ITEM-1","itemData":{"DOI":"10.18488/journal.1.2019.98.450.460","ISSN":"22265139","author":[{"dropping-particle":"","family":"Haniff","given":"Wan Amir Azlan Wan","non-dropping-particle":"","parse-names":false,"suffix":""},{"dropping-particle":"","family":"Halim","given":"Asma Hakimah Ab","non-dropping-particle":"","parse-names":false,"suffix":""},{"dropping-particle":"","family":"Ismail","given":"Rahmah","non-dropping-particle":"","parse-names":false,"suffix":""}],"container-title":"International Journal of Asian Social Science","id":"ITEM-1","issue":"8","issued":{"date-parts":[["2019"]]},"page":"450-460","title":"Equity Crowdfunding in Malaysia: Legal and Sharia Challenges","type":"article-journal","volume":"9"},"uris":["http://www.mendeley.com/documents/?uuid=d632fe95-23be-4d1b-a138-cdaef8e4690e"]}],"mendeley":{"formattedCitation":"(Haniff et al., 2019)","plainTextFormattedCitation":"(Haniff et al., 2019)","previouslyFormattedCitation":"(Haniff et al., 2019)"},"properties":{"noteIndex":0},"schema":"https://github.com/citation-style-language/schema/raw/master/csl-citation.json"}</w:instrText>
      </w:r>
      <w:r w:rsidR="00634971" w:rsidRPr="002100C8">
        <w:rPr>
          <w:rFonts w:ascii="Book Antiqua" w:eastAsiaTheme="minorEastAsia" w:hAnsi="Book Antiqua"/>
          <w:sz w:val="24"/>
          <w:szCs w:val="24"/>
        </w:rPr>
        <w:fldChar w:fldCharType="separate"/>
      </w:r>
      <w:r w:rsidR="00634971" w:rsidRPr="002100C8">
        <w:rPr>
          <w:rFonts w:ascii="Book Antiqua" w:eastAsiaTheme="minorEastAsia" w:hAnsi="Book Antiqua"/>
          <w:noProof/>
          <w:sz w:val="24"/>
          <w:szCs w:val="24"/>
        </w:rPr>
        <w:t>(Haniff et al., 2019)</w:t>
      </w:r>
      <w:r w:rsidR="00634971" w:rsidRPr="002100C8">
        <w:rPr>
          <w:rFonts w:ascii="Book Antiqua" w:eastAsiaTheme="minorEastAsia" w:hAnsi="Book Antiqua"/>
          <w:sz w:val="24"/>
          <w:szCs w:val="24"/>
        </w:rPr>
        <w:fldChar w:fldCharType="end"/>
      </w:r>
      <w:r w:rsidR="004C29CF" w:rsidRPr="002100C8">
        <w:rPr>
          <w:rFonts w:ascii="Book Antiqua" w:eastAsiaTheme="minorEastAsia" w:hAnsi="Book Antiqua"/>
          <w:sz w:val="24"/>
          <w:szCs w:val="24"/>
        </w:rPr>
        <w:t xml:space="preserve"> </w:t>
      </w:r>
      <w:r w:rsidRPr="002100C8">
        <w:rPr>
          <w:rFonts w:ascii="Book Antiqua" w:eastAsiaTheme="minorEastAsia" w:hAnsi="Book Antiqua"/>
          <w:sz w:val="24"/>
          <w:szCs w:val="24"/>
          <w:lang w:val="en-ID"/>
        </w:rPr>
        <w:t>for small-scale capital targeted at developing the community economy. Technology is able to develop investment mechanisms through financial service platforms with the benefits of efficiency in time, funds, and education</w:t>
      </w:r>
      <w:r w:rsidR="00C1196F" w:rsidRPr="002100C8">
        <w:rPr>
          <w:rFonts w:ascii="Book Antiqua" w:eastAsiaTheme="minorEastAsia" w:hAnsi="Book Antiqua"/>
          <w:sz w:val="24"/>
          <w:szCs w:val="24"/>
        </w:rPr>
        <w:t xml:space="preserve"> </w:t>
      </w:r>
      <w:r w:rsidR="00C1196F" w:rsidRPr="002100C8">
        <w:rPr>
          <w:rFonts w:ascii="Book Antiqua" w:eastAsiaTheme="minorEastAsia" w:hAnsi="Book Antiqua"/>
          <w:sz w:val="24"/>
          <w:szCs w:val="24"/>
        </w:rPr>
        <w:fldChar w:fldCharType="begin" w:fldLock="1"/>
      </w:r>
      <w:r w:rsidR="00BF14FF" w:rsidRPr="002100C8">
        <w:rPr>
          <w:rFonts w:ascii="Book Antiqua" w:eastAsiaTheme="minorEastAsia" w:hAnsi="Book Antiqua"/>
          <w:sz w:val="24"/>
          <w:szCs w:val="24"/>
        </w:rPr>
        <w:instrText>ADDIN CSL_CITATION {"citationItems":[{"id":"ITEM-1","itemData":{"DOI":"10.28945/5067","ISSN":"1555-1229","abstract":"Aim/Purpose: This study aims to examine the ten factors from the Technology Acceptance Model (TAM), Theory of Planned Behavior (TPB), and Unified Theory of Acceptance and Use of Technology (UTAUT) theories in order to analyze behavioral intentions to use the Indonesian online capital market investment platforms and the effect of behavioral intentions on actual usage. Background: The potential growth of capital market investors in Indonesia is large, and the low use of the Internet for investment purposes makes it necessary for stakeholders to understand the factors that affect people’s intentions to invest, especially through online platforms. Several previous studies have explained the intention to use online investment platforms using the TAM and TPB theories. This study tries to combine TAM, TPB, and UTAUT theories in analyzing behavioral intentions to use an online capital market investment platform in Indonesia. Methodology: The research approach employed is a mixed method, particularly explanatory research, which employs quantitative methods first, followed by qualitative methods. Data were collected by conducting interviews and sending online surveys. This study was successful in collecting information on the users of online capital market investment platforms in Indonesia from 1074 respondents, which was then processed and analyzed using Covariance-Based Structural Equation Modeling (CB-SEM) with the IBM AMOS 26.0 application. Contribution: This study complements earlier theories like TAM, TPB, and UTAUT by looking at the intention to use online capital market investment platforms from technological, human, and environmental viewpoints. This study looks at the intention to use the online capital market investing platform as a whole rather than separately depending on investment instruments. This study also assists practitioners including regulators, the government, developers, and investors by offering knowledge of the phenomena and factors that can increase the capital market’s investment intention in Indonesia. Findings: Attitudes, perceived ease of use, perceived behavioral control, subjective norm, and national pride were found to be significant predictors of the intention to use online investment platforms in Indonesia, whereas perceived usefulness, perceived risk, perceived trust, perceived privacy, and price value were not. Recommendations for Practitioners: All practitioners must be able to take steps and strategies that focus on factors…","author":[{"dropping-particle":"","family":"I Nainggolan","given":"Clarita","non-dropping-particle":"","parse-names":false,"suffix":""},{"dropping-particle":"","family":"Wuri Handayani","given":"Putu","non-dropping-particle":"","parse-names":false,"suffix":""}],"container-title":"Interdisciplinary Journal of Information, Knowledge, and Management","id":"ITEM-1","issued":{"date-parts":[["2023"]]},"page":"001-029","title":"Factors Affecting Individuals’ Behavioral Intention to Use Online Capital Market Investment Platforms in Indonesia","type":"article-journal","volume":"18"},"uris":["http://www.mendeley.com/documents/?uuid=e5dc1af5-1b4e-4324-a3bd-01ddf64b93bd"]}],"mendeley":{"formattedCitation":"(I Nainggolan &amp; Wuri Handayani, 2023)","plainTextFormattedCitation":"(I Nainggolan &amp; Wuri Handayani, 2023)","previouslyFormattedCitation":"(I Nainggolan &amp; Wuri Handayani, 2023)"},"properties":{"noteIndex":0},"schema":"https://github.com/citation-style-language/schema/raw/master/csl-citation.json"}</w:instrText>
      </w:r>
      <w:r w:rsidR="00C1196F" w:rsidRPr="002100C8">
        <w:rPr>
          <w:rFonts w:ascii="Book Antiqua" w:eastAsiaTheme="minorEastAsia" w:hAnsi="Book Antiqua"/>
          <w:sz w:val="24"/>
          <w:szCs w:val="24"/>
        </w:rPr>
        <w:fldChar w:fldCharType="separate"/>
      </w:r>
      <w:r w:rsidR="00C1196F" w:rsidRPr="002100C8">
        <w:rPr>
          <w:rFonts w:ascii="Book Antiqua" w:eastAsiaTheme="minorEastAsia" w:hAnsi="Book Antiqua"/>
          <w:noProof/>
          <w:sz w:val="24"/>
          <w:szCs w:val="24"/>
        </w:rPr>
        <w:t>(I Nainggolan &amp; Wuri Handayani, 2023)</w:t>
      </w:r>
      <w:r w:rsidR="00C1196F" w:rsidRPr="002100C8">
        <w:rPr>
          <w:rFonts w:ascii="Book Antiqua" w:eastAsiaTheme="minorEastAsia" w:hAnsi="Book Antiqua"/>
          <w:sz w:val="24"/>
          <w:szCs w:val="24"/>
        </w:rPr>
        <w:fldChar w:fldCharType="end"/>
      </w:r>
      <w:r w:rsidR="00C1196F" w:rsidRPr="002100C8">
        <w:rPr>
          <w:rFonts w:ascii="Book Antiqua" w:eastAsiaTheme="minorEastAsia" w:hAnsi="Book Antiqua"/>
          <w:sz w:val="24"/>
          <w:szCs w:val="24"/>
        </w:rPr>
        <w:t>.</w:t>
      </w:r>
      <w:r w:rsidRPr="002100C8">
        <w:rPr>
          <w:rFonts w:ascii="Book Antiqua" w:eastAsia="Times New Roman" w:hAnsi="Book Antiqua"/>
          <w:sz w:val="24"/>
          <w:szCs w:val="24"/>
          <w:lang w:val="en-ID" w:eastAsia="en-ID"/>
        </w:rPr>
        <w:t xml:space="preserve"> </w:t>
      </w:r>
      <w:r w:rsidRPr="002100C8">
        <w:rPr>
          <w:rFonts w:ascii="Book Antiqua" w:eastAsiaTheme="minorEastAsia" w:hAnsi="Book Antiqua"/>
          <w:sz w:val="24"/>
          <w:szCs w:val="24"/>
          <w:lang w:val="en-ID"/>
        </w:rPr>
        <w:t>Citizen involvement in funding through securities crowdfunding services can fulfil the objectives of economic fairness and help to make wise decisions</w:t>
      </w:r>
      <w:r w:rsidR="00BF14FF" w:rsidRPr="002100C8">
        <w:rPr>
          <w:rFonts w:ascii="Book Antiqua" w:eastAsiaTheme="minorEastAsia" w:hAnsi="Book Antiqua"/>
          <w:sz w:val="24"/>
          <w:szCs w:val="24"/>
        </w:rPr>
        <w:t xml:space="preserve"> </w:t>
      </w:r>
      <w:r w:rsidR="00BF14FF" w:rsidRPr="002100C8">
        <w:rPr>
          <w:rFonts w:ascii="Book Antiqua" w:eastAsiaTheme="minorEastAsia" w:hAnsi="Book Antiqua"/>
          <w:sz w:val="24"/>
          <w:szCs w:val="24"/>
        </w:rPr>
        <w:fldChar w:fldCharType="begin" w:fldLock="1"/>
      </w:r>
      <w:r w:rsidR="00884FED" w:rsidRPr="002100C8">
        <w:rPr>
          <w:rFonts w:ascii="Book Antiqua" w:eastAsiaTheme="minorEastAsia" w:hAnsi="Book Antiqua"/>
          <w:sz w:val="24"/>
          <w:szCs w:val="24"/>
        </w:rPr>
        <w:instrText>ADDIN CSL_CITATION {"citationItems":[{"id":"ITEM-1","itemData":{"DOI":"10.3390/laws13010003","ISSN":"2075-471X","abstract":"Renewed attention to equity in higher education is welcome because true equity helps us to reason together well. When administered correctly, the jurisprudence of equity models civil discourse and, therefore, can teach us how to carry out civic engagement reasonably. Equitable interpretation of the law teaches us how to understand each other charitably. And equity’s deference to law teaches us how to reason well together about our practical problems. Law is the practical reasoning that we do together. Equity serves the ends of justice by serving law, rather than undermining it. These functions of equity in adjudication point toward a model of equity in practical reasoning and civic discourse more broadly. Research method: jurisprudence.","author":[{"dropping-particle":"","family":"MacLeod","given":"Adam J.","non-dropping-particle":"","parse-names":false,"suffix":""}],"container-title":"Laws","id":"ITEM-1","issue":"1","issued":{"date-parts":[["2024","1","3"]]},"page":"3","title":"Why Equity Follows the Law","type":"article-journal","volume":"13"},"uris":["http://www.mendeley.com/documents/?uuid=dacf53ba-c649-44b8-8497-f03d2a67133f"]}],"mendeley":{"formattedCitation":"(MacLeod, 2024)","plainTextFormattedCitation":"(MacLeod, 2024)","previouslyFormattedCitation":"(MacLeod, 2024)"},"properties":{"noteIndex":0},"schema":"https://github.com/citation-style-language/schema/raw/master/csl-citation.json"}</w:instrText>
      </w:r>
      <w:r w:rsidR="00BF14FF" w:rsidRPr="002100C8">
        <w:rPr>
          <w:rFonts w:ascii="Book Antiqua" w:eastAsiaTheme="minorEastAsia" w:hAnsi="Book Antiqua"/>
          <w:sz w:val="24"/>
          <w:szCs w:val="24"/>
        </w:rPr>
        <w:fldChar w:fldCharType="separate"/>
      </w:r>
      <w:r w:rsidR="00BF14FF" w:rsidRPr="002100C8">
        <w:rPr>
          <w:rFonts w:ascii="Book Antiqua" w:eastAsiaTheme="minorEastAsia" w:hAnsi="Book Antiqua"/>
          <w:noProof/>
          <w:sz w:val="24"/>
          <w:szCs w:val="24"/>
        </w:rPr>
        <w:t>(MacLeod, 2024)</w:t>
      </w:r>
      <w:r w:rsidR="00BF14FF" w:rsidRPr="002100C8">
        <w:rPr>
          <w:rFonts w:ascii="Book Antiqua" w:eastAsiaTheme="minorEastAsia" w:hAnsi="Book Antiqua"/>
          <w:sz w:val="24"/>
          <w:szCs w:val="24"/>
        </w:rPr>
        <w:fldChar w:fldCharType="end"/>
      </w:r>
      <w:r w:rsidR="00BF14FF" w:rsidRPr="002100C8">
        <w:rPr>
          <w:rFonts w:ascii="Book Antiqua" w:eastAsiaTheme="minorEastAsia" w:hAnsi="Book Antiqua"/>
          <w:sz w:val="24"/>
          <w:szCs w:val="24"/>
        </w:rPr>
        <w:t xml:space="preserve"> </w:t>
      </w:r>
      <w:r w:rsidRPr="002100C8">
        <w:rPr>
          <w:rFonts w:ascii="Book Antiqua" w:eastAsiaTheme="minorEastAsia" w:hAnsi="Book Antiqua"/>
          <w:sz w:val="24"/>
          <w:szCs w:val="24"/>
          <w:lang w:val="en-ID"/>
        </w:rPr>
        <w:t>in funding the economies of MSMEs, startup companies, and publishing companies. The securities crowdfunding cycle consists of the organising company, the issuing company, and the financier, who is the investor who provides the capital.</w:t>
      </w:r>
    </w:p>
    <w:p w14:paraId="370B106B" w14:textId="77777777" w:rsidR="002100C8" w:rsidRDefault="002100C8">
      <w:pPr>
        <w:spacing w:after="160" w:line="259" w:lineRule="auto"/>
        <w:jc w:val="left"/>
        <w:rPr>
          <w:rFonts w:ascii="Book Antiqua" w:eastAsiaTheme="minorEastAsia" w:hAnsi="Book Antiqua"/>
          <w:i/>
          <w:iCs/>
          <w:sz w:val="24"/>
          <w:szCs w:val="24"/>
        </w:rPr>
      </w:pPr>
      <w:r>
        <w:rPr>
          <w:rFonts w:ascii="Book Antiqua" w:eastAsiaTheme="minorEastAsia" w:hAnsi="Book Antiqua"/>
          <w:i/>
          <w:iCs/>
          <w:sz w:val="24"/>
          <w:szCs w:val="24"/>
        </w:rPr>
        <w:br w:type="page"/>
      </w:r>
    </w:p>
    <w:p w14:paraId="57ABB8E2" w14:textId="77777777" w:rsidR="002100C8" w:rsidRDefault="00634590" w:rsidP="002100C8">
      <w:pPr>
        <w:spacing w:after="120"/>
        <w:ind w:left="360"/>
        <w:rPr>
          <w:rFonts w:ascii="Book Antiqua" w:eastAsiaTheme="minorEastAsia" w:hAnsi="Book Antiqua"/>
          <w:i/>
          <w:iCs/>
          <w:sz w:val="24"/>
          <w:szCs w:val="24"/>
        </w:rPr>
      </w:pPr>
      <w:r w:rsidRPr="00262774">
        <w:rPr>
          <w:rFonts w:ascii="Book Antiqua" w:eastAsiaTheme="minorEastAsia" w:hAnsi="Book Antiqua"/>
          <w:i/>
          <w:iCs/>
          <w:sz w:val="24"/>
          <w:szCs w:val="24"/>
        </w:rPr>
        <w:lastRenderedPageBreak/>
        <w:t>Capital Market</w:t>
      </w:r>
    </w:p>
    <w:p w14:paraId="6901A908" w14:textId="591493B6" w:rsidR="00DE699D" w:rsidRPr="002100C8" w:rsidRDefault="003E3AA8" w:rsidP="002100C8">
      <w:pPr>
        <w:spacing w:after="120"/>
        <w:ind w:left="360"/>
        <w:rPr>
          <w:rFonts w:ascii="Book Antiqua" w:eastAsiaTheme="minorEastAsia" w:hAnsi="Book Antiqua"/>
          <w:i/>
          <w:iCs/>
          <w:sz w:val="24"/>
          <w:szCs w:val="24"/>
        </w:rPr>
      </w:pPr>
      <w:r w:rsidRPr="002100C8">
        <w:rPr>
          <w:rFonts w:ascii="Book Antiqua" w:eastAsiaTheme="minorEastAsia" w:hAnsi="Book Antiqua"/>
          <w:sz w:val="24"/>
          <w:szCs w:val="24"/>
          <w:lang w:val="en-ID"/>
        </w:rPr>
        <w:t>The capital market is an ecosystem where various securities with large market capitalization are traded, such as equity, bonds, and other securities, as instruments to increase liquidity as well as increase information efficiency</w:t>
      </w:r>
      <w:r w:rsidR="00972C28" w:rsidRPr="002100C8">
        <w:rPr>
          <w:rFonts w:ascii="Book Antiqua" w:eastAsiaTheme="minorEastAsia" w:hAnsi="Book Antiqua"/>
          <w:sz w:val="24"/>
          <w:szCs w:val="24"/>
        </w:rPr>
        <w:t xml:space="preserve"> </w:t>
      </w:r>
      <w:r w:rsidR="00FC55F4" w:rsidRPr="002100C8">
        <w:rPr>
          <w:rFonts w:ascii="Book Antiqua" w:eastAsiaTheme="minorEastAsia" w:hAnsi="Book Antiqua"/>
          <w:sz w:val="24"/>
          <w:szCs w:val="24"/>
        </w:rPr>
        <w:fldChar w:fldCharType="begin" w:fldLock="1"/>
      </w:r>
      <w:r w:rsidR="00FC55F4" w:rsidRPr="002100C8">
        <w:rPr>
          <w:rFonts w:ascii="Book Antiqua" w:eastAsiaTheme="minorEastAsia" w:hAnsi="Book Antiqua"/>
          <w:sz w:val="24"/>
          <w:szCs w:val="24"/>
        </w:rPr>
        <w:instrText>ADDIN CSL_CITATION {"citationItems":[{"id":"ITEM-1","itemData":{"DOI":"10.1080/1540496X.2023.2212840","ISSN":"1540-496X","author":[{"dropping-particle":"","family":"Liu","given":"Huan","non-dropping-particle":"","parse-names":false,"suffix":""},{"dropping-particle":"","family":"Sun","given":"Nan","non-dropping-particle":"","parse-names":false,"suffix":""},{"dropping-particle":"","family":"Ye","given":"Yongwei","non-dropping-particle":"","parse-names":false,"suffix":""},{"dropping-particle":"","family":"Tao","given":"Yunqing","non-dropping-particle":"","parse-names":false,"suffix":""},{"dropping-particle":"","family":"Kan","given":"Yiwei","non-dropping-particle":"","parse-names":false,"suffix":""}],"container-title":"Emerging Markets Finance and Trade","id":"ITEM-1","issue":"10","issued":{"date-parts":[["2023","8","9"]]},"page":"3220-3240","title":"The Impact of Corporate Public Market Share Repurchases on Capital Market Information Efficiency","type":"article-journal","volume":"59"},"uris":["http://www.mendeley.com/documents/?uuid=a97bfc1a-1e64-4f09-9cf1-e1e7d2dcefef"]}],"mendeley":{"formattedCitation":"(Liu et al., 2023)","plainTextFormattedCitation":"(Liu et al., 2023)","previouslyFormattedCitation":"(Liu et al., 2023)"},"properties":{"noteIndex":0},"schema":"https://github.com/citation-style-language/schema/raw/master/csl-citation.json"}</w:instrText>
      </w:r>
      <w:r w:rsidR="00FC55F4" w:rsidRPr="002100C8">
        <w:rPr>
          <w:rFonts w:ascii="Book Antiqua" w:eastAsiaTheme="minorEastAsia" w:hAnsi="Book Antiqua"/>
          <w:sz w:val="24"/>
          <w:szCs w:val="24"/>
        </w:rPr>
        <w:fldChar w:fldCharType="separate"/>
      </w:r>
      <w:r w:rsidR="00FC55F4" w:rsidRPr="002100C8">
        <w:rPr>
          <w:rFonts w:ascii="Book Antiqua" w:eastAsiaTheme="minorEastAsia" w:hAnsi="Book Antiqua"/>
          <w:noProof/>
          <w:sz w:val="24"/>
          <w:szCs w:val="24"/>
        </w:rPr>
        <w:t>(Liu et al., 2023)</w:t>
      </w:r>
      <w:r w:rsidR="00FC55F4" w:rsidRPr="002100C8">
        <w:rPr>
          <w:rFonts w:ascii="Book Antiqua" w:eastAsiaTheme="minorEastAsia" w:hAnsi="Book Antiqua"/>
          <w:sz w:val="24"/>
          <w:szCs w:val="24"/>
        </w:rPr>
        <w:fldChar w:fldCharType="end"/>
      </w:r>
      <w:r w:rsidR="00A82F1E" w:rsidRPr="002100C8">
        <w:rPr>
          <w:rFonts w:ascii="Book Antiqua" w:eastAsiaTheme="minorEastAsia" w:hAnsi="Book Antiqua"/>
          <w:sz w:val="24"/>
          <w:szCs w:val="24"/>
        </w:rPr>
        <w:t xml:space="preserve"> </w:t>
      </w:r>
      <w:r w:rsidRPr="002100C8">
        <w:rPr>
          <w:rFonts w:ascii="Book Antiqua" w:eastAsiaTheme="minorEastAsia" w:hAnsi="Book Antiqua"/>
          <w:sz w:val="24"/>
          <w:szCs w:val="24"/>
          <w:lang w:val="en-ID"/>
        </w:rPr>
        <w:t>and also to protect financial value</w:t>
      </w:r>
      <w:r w:rsidR="00A82F1E" w:rsidRPr="002100C8">
        <w:rPr>
          <w:rFonts w:ascii="Book Antiqua" w:eastAsiaTheme="minorEastAsia" w:hAnsi="Book Antiqua"/>
          <w:sz w:val="24"/>
          <w:szCs w:val="24"/>
        </w:rPr>
        <w:t xml:space="preserve"> </w:t>
      </w:r>
      <w:r w:rsidR="00A82F1E" w:rsidRPr="002100C8">
        <w:rPr>
          <w:rFonts w:ascii="Book Antiqua" w:eastAsiaTheme="minorEastAsia" w:hAnsi="Book Antiqua"/>
          <w:sz w:val="24"/>
          <w:szCs w:val="24"/>
        </w:rPr>
        <w:fldChar w:fldCharType="begin" w:fldLock="1"/>
      </w:r>
      <w:r w:rsidR="00634971" w:rsidRPr="002100C8">
        <w:rPr>
          <w:rFonts w:ascii="Book Antiqua" w:eastAsiaTheme="minorEastAsia" w:hAnsi="Book Antiqua"/>
          <w:sz w:val="24"/>
          <w:szCs w:val="24"/>
        </w:rPr>
        <w:instrText>ADDIN CSL_CITATION {"citationItems":[{"id":"ITEM-1","itemData":{"DOI":"10.1111/jori.12406","ISSN":"0022-4367","abstract":"In this paper we discuss the concept of the cost</w:instrText>
      </w:r>
      <w:r w:rsidR="00634971" w:rsidRPr="002100C8">
        <w:rPr>
          <w:rFonts w:ascii="Cambria Math" w:eastAsiaTheme="minorEastAsia" w:hAnsi="Cambria Math" w:cs="Cambria Math"/>
          <w:sz w:val="24"/>
          <w:szCs w:val="24"/>
        </w:rPr>
        <w:instrText>‐</w:instrText>
      </w:r>
      <w:r w:rsidR="00634971" w:rsidRPr="002100C8">
        <w:rPr>
          <w:rFonts w:ascii="Book Antiqua" w:eastAsiaTheme="minorEastAsia" w:hAnsi="Book Antiqua"/>
          <w:sz w:val="24"/>
          <w:szCs w:val="24"/>
        </w:rPr>
        <w:instrText>of</w:instrText>
      </w:r>
      <w:r w:rsidR="00634971" w:rsidRPr="002100C8">
        <w:rPr>
          <w:rFonts w:ascii="Cambria Math" w:eastAsiaTheme="minorEastAsia" w:hAnsi="Cambria Math" w:cs="Cambria Math"/>
          <w:sz w:val="24"/>
          <w:szCs w:val="24"/>
        </w:rPr>
        <w:instrText>‐</w:instrText>
      </w:r>
      <w:r w:rsidR="00634971" w:rsidRPr="002100C8">
        <w:rPr>
          <w:rFonts w:ascii="Book Antiqua" w:eastAsiaTheme="minorEastAsia" w:hAnsi="Book Antiqua"/>
          <w:sz w:val="24"/>
          <w:szCs w:val="24"/>
        </w:rPr>
        <w:instrText>capital (CoC) rate for an insurance company as an equilibrium in the economic triangle of policyholders, shareholders, and the regulator. This provides a possible rationalization and an economic foundation for a quantity that is widely used in practice but whose value is typically neither technically nor economically well justified. We show how it can be well founded in such a triangular equilibrium. Under a simple one</w:instrText>
      </w:r>
      <w:r w:rsidR="00634971" w:rsidRPr="002100C8">
        <w:rPr>
          <w:rFonts w:ascii="Cambria Math" w:eastAsiaTheme="minorEastAsia" w:hAnsi="Cambria Math" w:cs="Cambria Math"/>
          <w:sz w:val="24"/>
          <w:szCs w:val="24"/>
        </w:rPr>
        <w:instrText>‐</w:instrText>
      </w:r>
      <w:r w:rsidR="00634971" w:rsidRPr="002100C8">
        <w:rPr>
          <w:rFonts w:ascii="Book Antiqua" w:eastAsiaTheme="minorEastAsia" w:hAnsi="Book Antiqua"/>
          <w:sz w:val="24"/>
          <w:szCs w:val="24"/>
        </w:rPr>
        <w:instrText>period model and a valuation procedure of a two</w:instrText>
      </w:r>
      <w:r w:rsidR="00634971" w:rsidRPr="002100C8">
        <w:rPr>
          <w:rFonts w:ascii="Cambria Math" w:eastAsiaTheme="minorEastAsia" w:hAnsi="Cambria Math" w:cs="Cambria Math"/>
          <w:sz w:val="24"/>
          <w:szCs w:val="24"/>
        </w:rPr>
        <w:instrText>‐</w:instrText>
      </w:r>
      <w:r w:rsidR="00634971" w:rsidRPr="002100C8">
        <w:rPr>
          <w:rFonts w:ascii="Book Antiqua" w:eastAsiaTheme="minorEastAsia" w:hAnsi="Book Antiqua"/>
          <w:sz w:val="24"/>
          <w:szCs w:val="24"/>
        </w:rPr>
        <w:instrText>price economy for illiquid assets we provide a corresponding economic</w:instrText>
      </w:r>
      <w:r w:rsidR="00634971" w:rsidRPr="002100C8">
        <w:rPr>
          <w:rFonts w:ascii="Cambria Math" w:eastAsiaTheme="minorEastAsia" w:hAnsi="Cambria Math" w:cs="Cambria Math"/>
          <w:sz w:val="24"/>
          <w:szCs w:val="24"/>
        </w:rPr>
        <w:instrText>‐</w:instrText>
      </w:r>
      <w:r w:rsidR="00634971" w:rsidRPr="002100C8">
        <w:rPr>
          <w:rFonts w:ascii="Book Antiqua" w:eastAsiaTheme="minorEastAsia" w:hAnsi="Book Antiqua"/>
          <w:sz w:val="24"/>
          <w:szCs w:val="24"/>
        </w:rPr>
        <w:instrText>theoretical quantification for the CoC rate. The resulting rates are illustrated by a number of concrete numerical examples.","author":[{"dropping-particle":"","family":"Albrecher","given":"Hansj</w:instrText>
      </w:r>
      <w:r w:rsidR="00634971" w:rsidRPr="002100C8">
        <w:rPr>
          <w:rFonts w:ascii="Book Antiqua" w:eastAsiaTheme="minorEastAsia" w:hAnsi="Book Antiqua" w:cs="Book Antiqua"/>
          <w:sz w:val="24"/>
          <w:szCs w:val="24"/>
        </w:rPr>
        <w:instrText>ö</w:instrText>
      </w:r>
      <w:r w:rsidR="00634971" w:rsidRPr="002100C8">
        <w:rPr>
          <w:rFonts w:ascii="Book Antiqua" w:eastAsiaTheme="minorEastAsia" w:hAnsi="Book Antiqua"/>
          <w:sz w:val="24"/>
          <w:szCs w:val="24"/>
        </w:rPr>
        <w:instrText>rg","non-dropping-particle":"","parse-names":false,"suffix":""},{"dropping-particle":"","family":"Eisele","given":"Karl</w:instrText>
      </w:r>
      <w:r w:rsidR="00634971" w:rsidRPr="002100C8">
        <w:rPr>
          <w:rFonts w:ascii="Cambria Math" w:eastAsiaTheme="minorEastAsia" w:hAnsi="Cambria Math" w:cs="Cambria Math"/>
          <w:sz w:val="24"/>
          <w:szCs w:val="24"/>
        </w:rPr>
        <w:instrText>‐</w:instrText>
      </w:r>
      <w:r w:rsidR="00634971" w:rsidRPr="002100C8">
        <w:rPr>
          <w:rFonts w:ascii="Book Antiqua" w:eastAsiaTheme="minorEastAsia" w:hAnsi="Book Antiqua"/>
          <w:sz w:val="24"/>
          <w:szCs w:val="24"/>
        </w:rPr>
        <w:instrText>Theodor","non-dropping-particle":"","parse-names":false,"suffix":""},{"dropping-particle":"","family":"Steffensen","given":"Mogens","non-dropping-particle":"","parse-names":false,"suffix":""},{"dropping-particle":"V.","family":"W</w:instrText>
      </w:r>
      <w:r w:rsidR="00634971" w:rsidRPr="002100C8">
        <w:rPr>
          <w:rFonts w:ascii="Book Antiqua" w:eastAsiaTheme="minorEastAsia" w:hAnsi="Book Antiqua" w:cs="Book Antiqua"/>
          <w:sz w:val="24"/>
          <w:szCs w:val="24"/>
        </w:rPr>
        <w:instrText>ü</w:instrText>
      </w:r>
      <w:r w:rsidR="00634971" w:rsidRPr="002100C8">
        <w:rPr>
          <w:rFonts w:ascii="Book Antiqua" w:eastAsiaTheme="minorEastAsia" w:hAnsi="Book Antiqua"/>
          <w:sz w:val="24"/>
          <w:szCs w:val="24"/>
        </w:rPr>
        <w:instrText>thrich","given":"Mario","non-dropping-particle":"","parse-names":false,"suffix":""}],"container-title":"Journal of Risk and Insurance","id":"ITEM-1","issue":"4","issued":{"date-parts":[["2022","12","27"]]},"page":"1139-1158","title":"On the cost</w:instrText>
      </w:r>
      <w:r w:rsidR="00634971" w:rsidRPr="002100C8">
        <w:rPr>
          <w:rFonts w:ascii="Cambria Math" w:eastAsiaTheme="minorEastAsia" w:hAnsi="Cambria Math" w:cs="Cambria Math"/>
          <w:sz w:val="24"/>
          <w:szCs w:val="24"/>
        </w:rPr>
        <w:instrText>‐</w:instrText>
      </w:r>
      <w:r w:rsidR="00634971" w:rsidRPr="002100C8">
        <w:rPr>
          <w:rFonts w:ascii="Book Antiqua" w:eastAsiaTheme="minorEastAsia" w:hAnsi="Book Antiqua"/>
          <w:sz w:val="24"/>
          <w:szCs w:val="24"/>
        </w:rPr>
        <w:instrText>of</w:instrText>
      </w:r>
      <w:r w:rsidR="00634971" w:rsidRPr="002100C8">
        <w:rPr>
          <w:rFonts w:ascii="Cambria Math" w:eastAsiaTheme="minorEastAsia" w:hAnsi="Cambria Math" w:cs="Cambria Math"/>
          <w:sz w:val="24"/>
          <w:szCs w:val="24"/>
        </w:rPr>
        <w:instrText>‐</w:instrText>
      </w:r>
      <w:r w:rsidR="00634971" w:rsidRPr="002100C8">
        <w:rPr>
          <w:rFonts w:ascii="Book Antiqua" w:eastAsiaTheme="minorEastAsia" w:hAnsi="Book Antiqua"/>
          <w:sz w:val="24"/>
          <w:szCs w:val="24"/>
        </w:rPr>
        <w:instrText>capital rate under incomplete market valuation","type":"article-journal","volume":"89"},"uris":["http://www.mendeley.com/documents/?uuid=679c449e-bcf7-4d05-8ec7-b39567637674"]}],"mendeley":{"formattedCitation":"(Albrecher et al., 2022)","plainTextFormattedCitation":"(Albrecher et al., 2022)","previouslyFormattedCitation":"(Albrecher et al., 2022)"},"properties":{"noteIndex":0},"schema":"https://github.com/citation-style-language/schema/raw/master/csl-citation.json"}</w:instrText>
      </w:r>
      <w:r w:rsidR="00A82F1E" w:rsidRPr="002100C8">
        <w:rPr>
          <w:rFonts w:ascii="Book Antiqua" w:eastAsiaTheme="minorEastAsia" w:hAnsi="Book Antiqua"/>
          <w:sz w:val="24"/>
          <w:szCs w:val="24"/>
        </w:rPr>
        <w:fldChar w:fldCharType="separate"/>
      </w:r>
      <w:r w:rsidR="00A82F1E" w:rsidRPr="002100C8">
        <w:rPr>
          <w:rFonts w:ascii="Book Antiqua" w:eastAsiaTheme="minorEastAsia" w:hAnsi="Book Antiqua"/>
          <w:noProof/>
          <w:sz w:val="24"/>
          <w:szCs w:val="24"/>
        </w:rPr>
        <w:t>(Albrecher et al., 2022)</w:t>
      </w:r>
      <w:r w:rsidR="00A82F1E" w:rsidRPr="002100C8">
        <w:rPr>
          <w:rFonts w:ascii="Book Antiqua" w:eastAsiaTheme="minorEastAsia" w:hAnsi="Book Antiqua"/>
          <w:sz w:val="24"/>
          <w:szCs w:val="24"/>
        </w:rPr>
        <w:fldChar w:fldCharType="end"/>
      </w:r>
      <w:r w:rsidR="00FC55F4" w:rsidRPr="002100C8">
        <w:rPr>
          <w:rFonts w:ascii="Book Antiqua" w:eastAsiaTheme="minorEastAsia" w:hAnsi="Book Antiqua"/>
          <w:sz w:val="24"/>
          <w:szCs w:val="24"/>
        </w:rPr>
        <w:t xml:space="preserve"> </w:t>
      </w:r>
      <w:proofErr w:type="spellStart"/>
      <w:r w:rsidR="00FC55F4" w:rsidRPr="002100C8">
        <w:rPr>
          <w:rFonts w:ascii="Book Antiqua" w:eastAsiaTheme="minorEastAsia" w:hAnsi="Book Antiqua"/>
          <w:sz w:val="24"/>
          <w:szCs w:val="24"/>
        </w:rPr>
        <w:t>melalui</w:t>
      </w:r>
      <w:proofErr w:type="spellEnd"/>
      <w:r w:rsidR="00FC55F4" w:rsidRPr="002100C8">
        <w:rPr>
          <w:rFonts w:ascii="Book Antiqua" w:eastAsiaTheme="minorEastAsia" w:hAnsi="Book Antiqua"/>
          <w:sz w:val="24"/>
          <w:szCs w:val="24"/>
        </w:rPr>
        <w:t xml:space="preserve"> </w:t>
      </w:r>
      <w:r w:rsidRPr="002100C8">
        <w:rPr>
          <w:rFonts w:ascii="Book Antiqua" w:eastAsiaTheme="minorEastAsia" w:hAnsi="Book Antiqua"/>
          <w:sz w:val="24"/>
          <w:szCs w:val="24"/>
          <w:lang w:val="en-ID"/>
        </w:rPr>
        <w:t>through purchasing shares in a company that produces dividends or capital gains. Companies traded on the capital market can improve strong corporate governance, improve company performance</w:t>
      </w:r>
      <w:r w:rsidR="00FC55F4" w:rsidRPr="002100C8">
        <w:rPr>
          <w:rFonts w:ascii="Book Antiqua" w:eastAsiaTheme="minorEastAsia" w:hAnsi="Book Antiqua"/>
          <w:sz w:val="24"/>
          <w:szCs w:val="24"/>
        </w:rPr>
        <w:t xml:space="preserve"> </w:t>
      </w:r>
      <w:r w:rsidR="00FC55F4" w:rsidRPr="002100C8">
        <w:rPr>
          <w:rFonts w:ascii="Book Antiqua" w:eastAsiaTheme="minorEastAsia" w:hAnsi="Book Antiqua"/>
          <w:sz w:val="24"/>
          <w:szCs w:val="24"/>
        </w:rPr>
        <w:fldChar w:fldCharType="begin" w:fldLock="1"/>
      </w:r>
      <w:r w:rsidR="004C29CF" w:rsidRPr="002100C8">
        <w:rPr>
          <w:rFonts w:ascii="Book Antiqua" w:eastAsiaTheme="minorEastAsia" w:hAnsi="Book Antiqua"/>
          <w:sz w:val="24"/>
          <w:szCs w:val="24"/>
        </w:rPr>
        <w:instrText>ADDIN CSL_CITATION {"citationItems":[{"id":"ITEM-1","itemData":{"DOI":"10.55047/cashflow.v3i1.791","ISSN":"2809-8226","abstract":"This research examines the influence of international ownership, national ownership, and CEO duality on organizational performance within listed organizations on the Dubai Financial Market (DFM). A multiple regression analysis was employed to assess the effects of international ownership, national ownership, and CEO duality on organizational performance. The study focused on 60 organizations during the fiscal year 2020. Through regression analysis of the collected data, the results indicate that national ownership has an insignificant yet positive impact on organizational performance. Furthermore, the findings demonstrate that international ownership significantly and positively affects organizational performance. Additionally, the analysis reveals that non-CEO duality positively correlates with organizational performance. The practical implications of this study are reflected in its findings, which underscore the importance of the independent variables within the context of investment possibilities—serving as proxies in our study. These findings enhance the understanding of the value of robust corporate governance elements, not solely for directly enhancing organizational performance, but also for amplifying their influence on external factors. Such insights can prove valuable to various stakeholders, including policymakers, regulators, and other interested parties, in their review of procedures in the UAE, particularly following the implementation of corporate governance laws. This study contributes to the existing literature by highlighting the roles played by international ownership, national ownership, and CEO non-duality in enhancing organizational performance.","author":[{"dropping-particle":"","family":"Alabdullah","given":"Tariq Tawfeeq Yousif","non-dropping-particle":"","parse-names":false,"suffix":""}],"container-title":"CASHFLOW : CURRENT ADVANCED RESEARCH ON SHARIA FINANCE AND ECONOMIC WORLDWIDE","id":"ITEM-1","issue":"1","issued":{"date-parts":[["2023","8","22"]]},"page":"1-18","title":"CAPITAL MARKET COMPANIES IN THE UAE: DETERMINANTS AND FACTORS AFFECTING THE PERFORMANCE OF LISTED UAE COMPANIES","type":"article-journal","volume":"3"},"uris":["http://www.mendeley.com/documents/?uuid=5b253dbe-de5f-4874-bbe7-7352d2d19a83"]}],"mendeley":{"formattedCitation":"(Alabdullah, 2023)","plainTextFormattedCitation":"(Alabdullah, 2023)","previouslyFormattedCitation":"(Alabdullah, 2023)"},"properties":{"noteIndex":0},"schema":"https://github.com/citation-style-language/schema/raw/master/csl-citation.json"}</w:instrText>
      </w:r>
      <w:r w:rsidR="00FC55F4" w:rsidRPr="002100C8">
        <w:rPr>
          <w:rFonts w:ascii="Book Antiqua" w:eastAsiaTheme="minorEastAsia" w:hAnsi="Book Antiqua"/>
          <w:sz w:val="24"/>
          <w:szCs w:val="24"/>
        </w:rPr>
        <w:fldChar w:fldCharType="separate"/>
      </w:r>
      <w:r w:rsidR="00FC55F4" w:rsidRPr="002100C8">
        <w:rPr>
          <w:rFonts w:ascii="Book Antiqua" w:eastAsiaTheme="minorEastAsia" w:hAnsi="Book Antiqua"/>
          <w:noProof/>
          <w:sz w:val="24"/>
          <w:szCs w:val="24"/>
        </w:rPr>
        <w:t>(Alabdullah, 2023)</w:t>
      </w:r>
      <w:r w:rsidR="00FC55F4" w:rsidRPr="002100C8">
        <w:rPr>
          <w:rFonts w:ascii="Book Antiqua" w:eastAsiaTheme="minorEastAsia" w:hAnsi="Book Antiqua"/>
          <w:sz w:val="24"/>
          <w:szCs w:val="24"/>
        </w:rPr>
        <w:fldChar w:fldCharType="end"/>
      </w:r>
      <w:r w:rsidR="004C29CF" w:rsidRPr="002100C8">
        <w:rPr>
          <w:rFonts w:ascii="Book Antiqua" w:eastAsiaTheme="minorEastAsia" w:hAnsi="Book Antiqua"/>
          <w:sz w:val="24"/>
          <w:szCs w:val="24"/>
        </w:rPr>
        <w:t xml:space="preserve">, </w:t>
      </w:r>
      <w:r w:rsidRPr="002100C8">
        <w:rPr>
          <w:rFonts w:ascii="Book Antiqua" w:eastAsiaTheme="minorEastAsia" w:hAnsi="Book Antiqua"/>
          <w:sz w:val="24"/>
          <w:szCs w:val="24"/>
          <w:lang w:val="en-ID"/>
        </w:rPr>
        <w:t>and implement the principles of corporate social responsibility and corporate responsibility towards the environment (Nie et al., 2023)</w:t>
      </w:r>
      <w:r w:rsidR="004C29CF" w:rsidRPr="002100C8">
        <w:rPr>
          <w:rFonts w:ascii="Book Antiqua" w:eastAsiaTheme="minorEastAsia" w:hAnsi="Book Antiqua"/>
          <w:sz w:val="24"/>
          <w:szCs w:val="24"/>
        </w:rPr>
        <w:t xml:space="preserve"> </w:t>
      </w:r>
      <w:r w:rsidR="004C29CF" w:rsidRPr="002100C8">
        <w:rPr>
          <w:rFonts w:ascii="Book Antiqua" w:eastAsiaTheme="minorEastAsia" w:hAnsi="Book Antiqua"/>
          <w:sz w:val="24"/>
          <w:szCs w:val="24"/>
        </w:rPr>
        <w:fldChar w:fldCharType="begin" w:fldLock="1"/>
      </w:r>
      <w:r w:rsidR="00C1196F" w:rsidRPr="002100C8">
        <w:rPr>
          <w:rFonts w:ascii="Book Antiqua" w:eastAsiaTheme="minorEastAsia" w:hAnsi="Book Antiqua"/>
          <w:sz w:val="24"/>
          <w:szCs w:val="24"/>
        </w:rPr>
        <w:instrText>ADDIN CSL_CITATION {"citationItems":[{"id":"ITEM-1","itemData":{"DOI":"10.3389/fenvs.2023.1131607","ISSN":"2296-665X","abstract":"With the growing popularity of environmental, social, and governance (ESG), ESG performance is becoming increasingly important in investors’ decisions about firms. Capital market liberalization brings in more sophisticated and mature foreign investors who are more interested in corporate ESG performance. We investigate whether capital market liberalization improves corporate ESG disclosure using Shanghai-Hong Kong Stock Connect and Shenzhen-Hong Kong Stock Connect as exogenous shocks. By compiling a comprehensive dataset of Chinese A-share listed firms from 2006 to 2019 and manually calculating the ESG disclosure score, we find that the mainland-HK Stock Connect scheme enhances corporate ESG disclosure. This effect is heterogeneous for firms with different external environments, corporate characteristics, and environmental performance. The results suggest that the competition effect dominates the role of capital market liberalization in improving ESG disclosure of mainland listed firms and firms disclose their ESG practices to cater to the need of investors. This paper enriches the empirical research on the impact of capital market liberalization on firm behavior and performance and provides a theoretical basis for strengthening regulations in ESG information disclosure.","author":[{"dropping-particle":"","family":"Nie","given":"Mingjian","non-dropping-particle":"","parse-names":false,"suffix":""},{"dropping-particle":"","family":"Chen","given":"Changyu","non-dropping-particle":"","parse-names":false,"suffix":""},{"dropping-particle":"","family":"Song","given":"Chang","non-dropping-particle":"","parse-names":false,"suffix":""},{"dropping-particle":"","family":"Qin","given":"Chao","non-dropping-particle":"","parse-names":false,"suffix":""}],"container-title":"Frontiers in Environmental Science","id":"ITEM-1","issued":{"date-parts":[["2023","3","21"]]},"title":"Does capital market liberalization promote ESG disclosure? Empirical evidence from the mainland-HK stock connect","type":"article-journal","volume":"11"},"uris":["http://www.mendeley.com/documents/?uuid=76dd53b4-0cc0-49c5-9b5e-c1e453a192e4"]}],"mendeley":{"formattedCitation":"(Nie et al., 2023)","plainTextFormattedCitation":"(Nie et al., 2023)","previouslyFormattedCitation":"(Nie et al., 2023)"},"properties":{"noteIndex":0},"schema":"https://github.com/citation-style-language/schema/raw/master/csl-citation.json"}</w:instrText>
      </w:r>
      <w:r w:rsidR="004C29CF" w:rsidRPr="002100C8">
        <w:rPr>
          <w:rFonts w:ascii="Book Antiqua" w:eastAsiaTheme="minorEastAsia" w:hAnsi="Book Antiqua"/>
          <w:sz w:val="24"/>
          <w:szCs w:val="24"/>
        </w:rPr>
        <w:fldChar w:fldCharType="separate"/>
      </w:r>
      <w:r w:rsidR="004C29CF" w:rsidRPr="002100C8">
        <w:rPr>
          <w:rFonts w:ascii="Book Antiqua" w:eastAsiaTheme="minorEastAsia" w:hAnsi="Book Antiqua"/>
          <w:noProof/>
          <w:sz w:val="24"/>
          <w:szCs w:val="24"/>
        </w:rPr>
        <w:t>(Nie et al., 2023)</w:t>
      </w:r>
      <w:r w:rsidR="004C29CF" w:rsidRPr="002100C8">
        <w:rPr>
          <w:rFonts w:ascii="Book Antiqua" w:eastAsiaTheme="minorEastAsia" w:hAnsi="Book Antiqua"/>
          <w:sz w:val="24"/>
          <w:szCs w:val="24"/>
        </w:rPr>
        <w:fldChar w:fldCharType="end"/>
      </w:r>
      <w:r w:rsidR="00FC55F4" w:rsidRPr="002100C8">
        <w:rPr>
          <w:rFonts w:ascii="Book Antiqua" w:eastAsiaTheme="minorEastAsia" w:hAnsi="Book Antiqua"/>
          <w:sz w:val="24"/>
          <w:szCs w:val="24"/>
        </w:rPr>
        <w:t>.</w:t>
      </w:r>
      <w:r w:rsidR="009364D3" w:rsidRPr="002100C8">
        <w:rPr>
          <w:rFonts w:ascii="Book Antiqua" w:eastAsiaTheme="minorEastAsia" w:hAnsi="Book Antiqua"/>
          <w:sz w:val="24"/>
          <w:szCs w:val="24"/>
        </w:rPr>
        <w:t xml:space="preserve"> </w:t>
      </w:r>
    </w:p>
    <w:p w14:paraId="3783B107" w14:textId="243A08BB" w:rsidR="002A430D" w:rsidRPr="004D596A" w:rsidRDefault="002A430D" w:rsidP="00262774">
      <w:pPr>
        <w:pStyle w:val="ListParagraph"/>
        <w:numPr>
          <w:ilvl w:val="0"/>
          <w:numId w:val="11"/>
        </w:numPr>
        <w:spacing w:after="120" w:line="240" w:lineRule="auto"/>
        <w:ind w:left="357" w:hanging="357"/>
        <w:contextualSpacing w:val="0"/>
        <w:rPr>
          <w:rFonts w:ascii="Book Antiqua" w:hAnsi="Book Antiqua"/>
          <w:b/>
          <w:bCs/>
          <w:sz w:val="24"/>
          <w:szCs w:val="24"/>
        </w:rPr>
      </w:pPr>
      <w:r w:rsidRPr="004D596A">
        <w:rPr>
          <w:rFonts w:ascii="Book Antiqua" w:hAnsi="Book Antiqua"/>
          <w:b/>
          <w:bCs/>
          <w:sz w:val="24"/>
          <w:szCs w:val="24"/>
          <w:lang w:val="en-US"/>
        </w:rPr>
        <w:t>Research Methodology</w:t>
      </w:r>
    </w:p>
    <w:p w14:paraId="11D011CA" w14:textId="353CD292" w:rsidR="00262774" w:rsidRPr="002100C8" w:rsidRDefault="00035B42" w:rsidP="002100C8">
      <w:pPr>
        <w:rPr>
          <w:rFonts w:ascii="Book Antiqua" w:eastAsiaTheme="minorEastAsia" w:hAnsi="Book Antiqua"/>
        </w:rPr>
      </w:pPr>
      <w:r w:rsidRPr="004D596A">
        <w:rPr>
          <w:rFonts w:ascii="Book Antiqua" w:hAnsi="Book Antiqua" w:cstheme="majorBidi"/>
          <w:sz w:val="24"/>
          <w:szCs w:val="24"/>
          <w:lang w:val="en-GB"/>
        </w:rPr>
        <w:t>This study will focus on the legal aspects of standard screening using a qualitative research method, which includes literature research or library research employing the statute approach and conceptual approach. Primary data used include Financial Services Authority Regulation Number 57 of 2020 Regarding Securities Offering through Information Technology-Based Crowdfunding Services and Financial Services Authority Regulation Number 16 of 2021 Amendment to Financial Services Authority Regulation Number 57/POJK.04/2020. Secondary data consist of information published by the Financial Services Authority, the Indonesia Central Securities Depository, and other relevant data related to securities crowdfunding. The data analysis method employed in this research is descriptive analysis.</w:t>
      </w:r>
      <w:r w:rsidR="00EE5D86" w:rsidRPr="004D596A">
        <w:rPr>
          <w:rFonts w:ascii="Book Antiqua" w:eastAsiaTheme="minorEastAsia" w:hAnsi="Book Antiqua"/>
        </w:rPr>
        <w:tab/>
      </w:r>
    </w:p>
    <w:p w14:paraId="75F21829" w14:textId="77777777" w:rsidR="00262774" w:rsidRDefault="00913DFE" w:rsidP="00262774">
      <w:pPr>
        <w:pStyle w:val="ListParagraph"/>
        <w:numPr>
          <w:ilvl w:val="0"/>
          <w:numId w:val="11"/>
        </w:numPr>
        <w:spacing w:after="120" w:line="240" w:lineRule="auto"/>
        <w:ind w:left="357" w:hanging="357"/>
        <w:contextualSpacing w:val="0"/>
        <w:rPr>
          <w:rFonts w:ascii="Book Antiqua" w:hAnsi="Book Antiqua"/>
          <w:b/>
          <w:bCs/>
          <w:sz w:val="24"/>
          <w:szCs w:val="24"/>
          <w:lang w:val="en-US"/>
        </w:rPr>
      </w:pPr>
      <w:r w:rsidRPr="004D596A">
        <w:rPr>
          <w:rFonts w:ascii="Book Antiqua" w:hAnsi="Book Antiqua"/>
          <w:b/>
          <w:bCs/>
          <w:sz w:val="24"/>
          <w:szCs w:val="24"/>
          <w:lang w:val="en-US"/>
        </w:rPr>
        <w:t xml:space="preserve">Result &amp; Discussion </w:t>
      </w:r>
    </w:p>
    <w:p w14:paraId="0EC2BB7B" w14:textId="32E0D257" w:rsidR="00035B42" w:rsidRPr="00262774" w:rsidRDefault="00035B42" w:rsidP="00262774">
      <w:pPr>
        <w:pStyle w:val="ListParagraph"/>
        <w:spacing w:after="0"/>
        <w:ind w:left="360"/>
        <w:rPr>
          <w:rFonts w:ascii="Book Antiqua" w:hAnsi="Book Antiqua"/>
          <w:b/>
          <w:bCs/>
          <w:sz w:val="24"/>
          <w:szCs w:val="24"/>
          <w:lang w:val="en-US"/>
        </w:rPr>
      </w:pPr>
      <w:r w:rsidRPr="00262774">
        <w:rPr>
          <w:rFonts w:ascii="Book Antiqua" w:eastAsiaTheme="minorEastAsia" w:hAnsi="Book Antiqua"/>
          <w:b/>
          <w:bCs/>
          <w:sz w:val="24"/>
          <w:szCs w:val="24"/>
          <w:lang w:val="en-ID"/>
        </w:rPr>
        <w:t>D.1. Analysis of Business Unit Funding Growth in Securities Crowdfunding</w:t>
      </w:r>
    </w:p>
    <w:p w14:paraId="0CCCFA84" w14:textId="77777777" w:rsidR="00262774" w:rsidRDefault="00035B42" w:rsidP="00262774">
      <w:pPr>
        <w:spacing w:before="120" w:after="120" w:line="240" w:lineRule="auto"/>
        <w:ind w:left="360"/>
        <w:rPr>
          <w:rFonts w:ascii="Book Antiqua" w:eastAsiaTheme="minorEastAsia" w:hAnsi="Book Antiqua"/>
          <w:sz w:val="24"/>
          <w:szCs w:val="24"/>
          <w:lang w:val="en-GB"/>
        </w:rPr>
      </w:pPr>
      <w:r w:rsidRPr="004D596A">
        <w:rPr>
          <w:rFonts w:ascii="Book Antiqua" w:eastAsiaTheme="minorEastAsia" w:hAnsi="Book Antiqua"/>
          <w:sz w:val="24"/>
          <w:szCs w:val="24"/>
          <w:lang w:val="en-GB"/>
        </w:rPr>
        <w:t>The collaboration between technology and the financial sector has given rise to advanced transaction mechanisms that provide flexibility and security, known as financial technology (fintech). Products such as digital payments, digital wallets, investments (equity crowdfunding), peer-to-peer lending, and financing (crowdfunding, microloans, and credit facilities) are categorised under fintech</w:t>
      </w:r>
      <w:r w:rsidR="00C03D96" w:rsidRPr="004D596A">
        <w:rPr>
          <w:rFonts w:ascii="Book Antiqua" w:eastAsiaTheme="minorEastAsia" w:hAnsi="Book Antiqua"/>
          <w:sz w:val="24"/>
          <w:szCs w:val="24"/>
          <w:lang w:val="en-GB"/>
        </w:rPr>
        <w:t xml:space="preserve"> </w:t>
      </w:r>
      <w:r w:rsidR="00C03D96" w:rsidRPr="004D596A">
        <w:rPr>
          <w:rFonts w:ascii="Book Antiqua" w:eastAsiaTheme="minorEastAsia" w:hAnsi="Book Antiqua"/>
          <w:sz w:val="24"/>
          <w:szCs w:val="24"/>
          <w:lang w:val="en-GB"/>
        </w:rPr>
        <w:fldChar w:fldCharType="begin" w:fldLock="1"/>
      </w:r>
      <w:r w:rsidR="00C03D96" w:rsidRPr="004D596A">
        <w:rPr>
          <w:rFonts w:ascii="Book Antiqua" w:eastAsiaTheme="minorEastAsia" w:hAnsi="Book Antiqua"/>
          <w:sz w:val="24"/>
          <w:szCs w:val="24"/>
          <w:lang w:val="en-GB"/>
        </w:rPr>
        <w:instrText>ADDIN CSL_CITATION {"citationItems":[{"id":"ITEM-1","itemData":{"DOI":"https://dx.doi.org/10.5281/jyu.v1i2.428","abstract":"Financial Technologi (Fintech) lahir dan berkembang sesuai tuntutan zaman dimana proses pembayaran, transfer, jual beli, hingga pembiayaan diharapkan menjadi semakin praktis, aman dan modern. Salah satu layanan fintek yang mendapatkan perhatian adalah layanan peer to peer (P2P) lending. P2P lending adalah sebuah platform teknologi yang mempertemukan secara digital peminjam yang membutuhkan modal USAha dengan pemberi pinjaman yang mengharapkan return yang kompetitif. Selama ini untuk fintech peer to peer (P2P) lending khususnya layanan pinjam meminjam secara online yang terdaftar di OJK, payung hukumnya mengacu pada Peraturan OJK (POJK) Nomor 77 Tahun 2016. Berdasarkan POJK, OJK sebagai lembaga untuk mengatur, memberi izin dan mengawasi Fintech P2P Lending yang terdaftar. Sementara untuk fintech ilegal atau yang belum terdaftar di OJK, diperlukan regulasi yang lebih tinggi kedudukannya dari POJK. Merujuk data Kementerian Komunikasi dan Informatika saat ini sudah 803 fintech yang telah diblokir karena tak memiliki izin atau illegal. &amp;nbsp;Penelitian ini mencoba untuk membahas tentang urgensi legalitas financial technologi, khususnya P2P Lending di Indonesia. Sifat penelitian ini adalah deskriptif analitis. Di kemudian hari, pembahasan ini kiranya akan membuka jalan untuk memfasilitasi masyarakat Indonesia, khususnya yang mencari kepastian hukum dalam penggunaan financial technologi P2P Lending","author":[{"dropping-particle":"","family":"Sitompul","given":"Meline Gerarita","non-dropping-particle":"","parse-names":false,"suffix":""}],"container-title":"Jurnal Yuridis Unaja","id":"ITEM-1","issue":"2","issued":{"date-parts":[["2018"]]},"page":"70","title":"Urgensi Legalitas Financial Technology (Fintech) : Peer To Peer (P2P) Lending di Indonesia","type":"article-journal","volume":"1"},"uris":["http://www.mendeley.com/documents/?uuid=695c59ea-7bd3-4c94-9682-45ef2d50a427"]}],"mendeley":{"formattedCitation":"(M. G. Sitompul, 2018)","plainTextFormattedCitation":"(M. G. Sitompul, 2018)","previouslyFormattedCitation":"(M. G. Sitompul, 2018)"},"properties":{"noteIndex":0},"schema":"https://github.com/citation-style-language/schema/raw/master/csl-citation.json"}</w:instrText>
      </w:r>
      <w:r w:rsidR="00C03D96" w:rsidRPr="004D596A">
        <w:rPr>
          <w:rFonts w:ascii="Book Antiqua" w:eastAsiaTheme="minorEastAsia" w:hAnsi="Book Antiqua"/>
          <w:sz w:val="24"/>
          <w:szCs w:val="24"/>
          <w:lang w:val="en-GB"/>
        </w:rPr>
        <w:fldChar w:fldCharType="separate"/>
      </w:r>
      <w:r w:rsidR="00C03D96" w:rsidRPr="004D596A">
        <w:rPr>
          <w:rFonts w:ascii="Book Antiqua" w:eastAsiaTheme="minorEastAsia" w:hAnsi="Book Antiqua"/>
          <w:noProof/>
          <w:sz w:val="24"/>
          <w:szCs w:val="24"/>
          <w:lang w:val="en-GB"/>
        </w:rPr>
        <w:t>(M. G. Sitompul, 2018)</w:t>
      </w:r>
      <w:r w:rsidR="00C03D96" w:rsidRPr="004D596A">
        <w:rPr>
          <w:rFonts w:ascii="Book Antiqua" w:eastAsiaTheme="minorEastAsia" w:hAnsi="Book Antiqua"/>
          <w:sz w:val="24"/>
          <w:szCs w:val="24"/>
          <w:lang w:val="en-GB"/>
        </w:rPr>
        <w:fldChar w:fldCharType="end"/>
      </w:r>
      <w:r w:rsidRPr="004D596A">
        <w:rPr>
          <w:rFonts w:ascii="Book Antiqua" w:eastAsiaTheme="minorEastAsia" w:hAnsi="Book Antiqua"/>
          <w:i/>
          <w:sz w:val="24"/>
          <w:szCs w:val="24"/>
          <w:lang w:val="en-GB"/>
        </w:rPr>
        <w:t xml:space="preserve">. </w:t>
      </w:r>
      <w:r w:rsidRPr="004D596A">
        <w:rPr>
          <w:rFonts w:ascii="Book Antiqua" w:eastAsiaTheme="minorEastAsia" w:hAnsi="Book Antiqua"/>
          <w:sz w:val="24"/>
          <w:szCs w:val="24"/>
          <w:lang w:val="en-GB"/>
        </w:rPr>
        <w:t>Applications that serve as financial intermediaries can be defined as fintech, also defined as an industry based on the utilisation of technology aimed at enhancing financial system efficiency. The impact of fintech on the financial services business model is significant, generating innovative business models, products, and service applications</w:t>
      </w:r>
      <w:r w:rsidR="00C03D96" w:rsidRPr="004D596A">
        <w:rPr>
          <w:rFonts w:ascii="Book Antiqua" w:eastAsiaTheme="minorEastAsia" w:hAnsi="Book Antiqua"/>
          <w:sz w:val="24"/>
          <w:szCs w:val="24"/>
          <w:lang w:val="en-GB"/>
        </w:rPr>
        <w:t xml:space="preserve"> </w:t>
      </w:r>
      <w:r w:rsidR="00C03D96" w:rsidRPr="004D596A">
        <w:rPr>
          <w:rFonts w:ascii="Book Antiqua" w:eastAsiaTheme="minorEastAsia" w:hAnsi="Book Antiqua"/>
          <w:sz w:val="24"/>
          <w:szCs w:val="24"/>
          <w:lang w:val="en-GB"/>
        </w:rPr>
        <w:fldChar w:fldCharType="begin" w:fldLock="1"/>
      </w:r>
      <w:r w:rsidR="00C03D96" w:rsidRPr="004D596A">
        <w:rPr>
          <w:rFonts w:ascii="Book Antiqua" w:eastAsiaTheme="minorEastAsia" w:hAnsi="Book Antiqua"/>
          <w:sz w:val="24"/>
          <w:szCs w:val="24"/>
          <w:lang w:val="en-GB"/>
        </w:rPr>
        <w:instrText>ADDIN CSL_CITATION {"citationItems":[{"id":"ITEM-1","itemData":{"DOI":"10.29040/jiei.v5i3.578","ISSN":"2579-6534","abstract":"Saat ini, perkembangan fintech (financial technology) syariah di Indonesia semakin pesat. Tetapi di sisi lain, terdapat beberapa fenomena dan permasalahan pada fintech konvensional yang memberikan dampak negatif di masyarakat. Oleh karenanaya keberadaan fintech syariah seharusnya dapat menjadi solusi atas fenomena ini. Tujuan dari penelitian ini adalah untuk mengetahui tentang peluang dan tantangan fintech syariah (Teknologi Finansial) di Indonesia. Penelitian ini menggunakan analisis deskriptif dengan pendekatan kualitatif. Teknik analisis data yang digunakan adalah dengan model interaktif. Hasil penelitian menunjukkan terdapat peluang dan tantangan fintech syariah di Indonesia yang terdiri dari: regulasi, sumber daya manusia, dan penguasaan teknologi dari masyarakat.","author":[{"dropping-particle":"","family":"Hiyanti","given":"Hida","non-dropping-particle":"","parse-names":false,"suffix":""},{"dropping-particle":"","family":"Nugroho","given":"Lucky","non-dropping-particle":"","parse-names":false,"suffix":""},{"dropping-particle":"","family":"Sukmadilaga","given":"Citra","non-dropping-particle":"","parse-names":false,"suffix":""},{"dropping-particle":"","family":"Fitrijanti","given":"Tettet","non-dropping-particle":"","parse-names":false,"suffix":""}],"container-title":"Jurnal Ilmiah Ekonomi Islam","id":"ITEM-1","issue":"3","issued":{"date-parts":[["2020","1","12"]]},"page":"2","title":"Peluang dan Tantangan Fintech (Financial Technology) Syariah di Indonesia","type":"article-journal","volume":"5"},"uris":["http://www.mendeley.com/documents/?uuid=df40f7ad-8bd0-40f1-8381-55f9141051dc"]}],"mendeley":{"formattedCitation":"(Hiyanti et al., 2020)","plainTextFormattedCitation":"(Hiyanti et al., 2020)","previouslyFormattedCitation":"(Hiyanti et al., 2020)"},"properties":{"noteIndex":0},"schema":"https://github.com/citation-style-language/schema/raw/master/csl-citation.json"}</w:instrText>
      </w:r>
      <w:r w:rsidR="00C03D96" w:rsidRPr="004D596A">
        <w:rPr>
          <w:rFonts w:ascii="Book Antiqua" w:eastAsiaTheme="minorEastAsia" w:hAnsi="Book Antiqua"/>
          <w:sz w:val="24"/>
          <w:szCs w:val="24"/>
          <w:lang w:val="en-GB"/>
        </w:rPr>
        <w:fldChar w:fldCharType="separate"/>
      </w:r>
      <w:r w:rsidR="00C03D96" w:rsidRPr="004D596A">
        <w:rPr>
          <w:rFonts w:ascii="Book Antiqua" w:eastAsiaTheme="minorEastAsia" w:hAnsi="Book Antiqua"/>
          <w:noProof/>
          <w:sz w:val="24"/>
          <w:szCs w:val="24"/>
          <w:lang w:val="en-GB"/>
        </w:rPr>
        <w:t>(Hiyanti et al., 2020)</w:t>
      </w:r>
      <w:r w:rsidR="00C03D96" w:rsidRPr="004D596A">
        <w:rPr>
          <w:rFonts w:ascii="Book Antiqua" w:eastAsiaTheme="minorEastAsia" w:hAnsi="Book Antiqua"/>
          <w:sz w:val="24"/>
          <w:szCs w:val="24"/>
          <w:lang w:val="en-GB"/>
        </w:rPr>
        <w:fldChar w:fldCharType="end"/>
      </w:r>
      <w:r w:rsidRPr="004D596A">
        <w:rPr>
          <w:rFonts w:ascii="Book Antiqua" w:eastAsiaTheme="minorEastAsia" w:hAnsi="Book Antiqua"/>
          <w:sz w:val="24"/>
          <w:szCs w:val="24"/>
          <w:lang w:val="en-GB"/>
        </w:rPr>
        <w:t>.</w:t>
      </w:r>
    </w:p>
    <w:p w14:paraId="48E596E4" w14:textId="5A370BCF" w:rsidR="00035B42" w:rsidRPr="004D596A" w:rsidRDefault="00035B42" w:rsidP="00262774">
      <w:pPr>
        <w:spacing w:before="120" w:after="120" w:line="240" w:lineRule="auto"/>
        <w:ind w:left="360" w:firstLine="720"/>
        <w:rPr>
          <w:rFonts w:ascii="Book Antiqua" w:eastAsiaTheme="minorEastAsia" w:hAnsi="Book Antiqua"/>
          <w:sz w:val="24"/>
          <w:szCs w:val="24"/>
          <w:lang w:val="en-GB"/>
        </w:rPr>
      </w:pPr>
      <w:r w:rsidRPr="004D596A">
        <w:rPr>
          <w:rFonts w:ascii="Book Antiqua" w:eastAsiaTheme="minorEastAsia" w:hAnsi="Book Antiqua"/>
          <w:sz w:val="24"/>
          <w:szCs w:val="24"/>
          <w:lang w:val="en-GB"/>
        </w:rPr>
        <w:t>The concept of crowdsourcing gives birth to a liberated freedom without boundaries towards contributions that do not require education, religion, nationality, or occupation to solve problems that institutions or other entities cannot tackle. Crowdsourcing breeds the concept of crowdfunding, which grants freedom to anyone to participate in funding or financing collectively. Crowdfunding originates from the English language, consisting of two words: "crowd," which means a gathering or assembly of similar individuals, and "funding," which refers to financing or capitalization</w:t>
      </w:r>
      <w:r w:rsidR="00C03D96" w:rsidRPr="004D596A">
        <w:rPr>
          <w:rFonts w:ascii="Book Antiqua" w:eastAsiaTheme="minorEastAsia" w:hAnsi="Book Antiqua"/>
          <w:sz w:val="24"/>
          <w:szCs w:val="24"/>
          <w:lang w:val="en-GB"/>
        </w:rPr>
        <w:t xml:space="preserve"> </w:t>
      </w:r>
      <w:r w:rsidR="00C03D96" w:rsidRPr="004D596A">
        <w:rPr>
          <w:rFonts w:ascii="Book Antiqua" w:eastAsiaTheme="minorEastAsia" w:hAnsi="Book Antiqua"/>
          <w:sz w:val="24"/>
          <w:szCs w:val="24"/>
          <w:lang w:val="en-GB"/>
        </w:rPr>
        <w:fldChar w:fldCharType="begin" w:fldLock="1"/>
      </w:r>
      <w:r w:rsidR="00E7257B" w:rsidRPr="004D596A">
        <w:rPr>
          <w:rFonts w:ascii="Book Antiqua" w:eastAsiaTheme="minorEastAsia" w:hAnsi="Book Antiqua"/>
          <w:sz w:val="24"/>
          <w:szCs w:val="24"/>
          <w:lang w:val="en-GB"/>
        </w:rPr>
        <w:instrText>ADDIN CSL_CITATION {"citationItems":[{"id":"ITEM-1","itemData":{"author":[{"dropping-particle":"","family":"Haryani","given":"Iswi","non-dropping-particle":"","parse-names":false,"suffix":""}],"container-title":"Jurnal Legislasi Indonesia","id":"ITEM-1","issue":"4","issued":{"date-parts":[["2015"]]},"page":"6","title":"Perlindungan Hukum Sistem Donation Bases Crowdfunding Pada Pendanaan Industri Kreatif di Indonesia","type":"article-journal","volume":"12"},"uris":["http://www.mendeley.com/documents/?uuid=b2dcc714-4631-4eb4-924c-45a939341864"]}],"mendeley":{"formattedCitation":"(Haryani, 2015)","plainTextFormattedCitation":"(Haryani, 2015)","previouslyFormattedCitation":"(Haryani, 2015)"},"properties":{"noteIndex":0},"schema":"https://github.com/citation-style-language/schema/raw/master/csl-citation.json"}</w:instrText>
      </w:r>
      <w:r w:rsidR="00C03D96" w:rsidRPr="004D596A">
        <w:rPr>
          <w:rFonts w:ascii="Book Antiqua" w:eastAsiaTheme="minorEastAsia" w:hAnsi="Book Antiqua"/>
          <w:sz w:val="24"/>
          <w:szCs w:val="24"/>
          <w:lang w:val="en-GB"/>
        </w:rPr>
        <w:fldChar w:fldCharType="separate"/>
      </w:r>
      <w:r w:rsidR="00C03D96" w:rsidRPr="004D596A">
        <w:rPr>
          <w:rFonts w:ascii="Book Antiqua" w:eastAsiaTheme="minorEastAsia" w:hAnsi="Book Antiqua"/>
          <w:noProof/>
          <w:sz w:val="24"/>
          <w:szCs w:val="24"/>
          <w:lang w:val="en-GB"/>
        </w:rPr>
        <w:t>(Haryani, 2015)</w:t>
      </w:r>
      <w:r w:rsidR="00C03D96" w:rsidRPr="004D596A">
        <w:rPr>
          <w:rFonts w:ascii="Book Antiqua" w:eastAsiaTheme="minorEastAsia" w:hAnsi="Book Antiqua"/>
          <w:sz w:val="24"/>
          <w:szCs w:val="24"/>
          <w:lang w:val="en-GB"/>
        </w:rPr>
        <w:fldChar w:fldCharType="end"/>
      </w:r>
      <w:r w:rsidRPr="004D596A">
        <w:rPr>
          <w:rFonts w:ascii="Book Antiqua" w:eastAsiaTheme="minorEastAsia" w:hAnsi="Book Antiqua"/>
          <w:sz w:val="24"/>
          <w:szCs w:val="24"/>
          <w:lang w:val="en-GB"/>
        </w:rPr>
        <w:t>.</w:t>
      </w:r>
    </w:p>
    <w:p w14:paraId="2ADA745C" w14:textId="2EB3462A" w:rsidR="00035B42" w:rsidRPr="004D596A" w:rsidRDefault="00035B42" w:rsidP="00262774">
      <w:pPr>
        <w:spacing w:before="120" w:after="120" w:line="240" w:lineRule="auto"/>
        <w:ind w:left="360" w:firstLine="720"/>
        <w:rPr>
          <w:rFonts w:ascii="Book Antiqua" w:eastAsiaTheme="minorEastAsia" w:hAnsi="Book Antiqua"/>
          <w:sz w:val="24"/>
          <w:szCs w:val="24"/>
          <w:lang w:val="en-GB"/>
        </w:rPr>
      </w:pPr>
      <w:r w:rsidRPr="004D596A">
        <w:rPr>
          <w:rFonts w:ascii="Book Antiqua" w:eastAsiaTheme="minorEastAsia" w:hAnsi="Book Antiqua"/>
          <w:sz w:val="24"/>
          <w:szCs w:val="24"/>
          <w:lang w:val="en-GB"/>
        </w:rPr>
        <w:lastRenderedPageBreak/>
        <w:t>The provision of fundraising services can be organised with three main components: the organiser, the issuer, and the investor. The organiser, as the first component, plays a vital role as an intermediary between investors (individuals or legal entities with excess capital) and issuing companies (companies, SMEs, or startup companies in need of working capital). Currently, fundraising services are organized by ten organizers, including:</w:t>
      </w:r>
    </w:p>
    <w:p w14:paraId="19AEA47F" w14:textId="2D52B8DD" w:rsidR="00035B42" w:rsidRPr="00262774" w:rsidRDefault="00035B42" w:rsidP="00262774">
      <w:pPr>
        <w:spacing w:before="120" w:after="120" w:line="240" w:lineRule="auto"/>
        <w:ind w:firstLine="360"/>
        <w:jc w:val="center"/>
        <w:rPr>
          <w:rFonts w:ascii="Book Antiqua" w:eastAsiaTheme="minorEastAsia" w:hAnsi="Book Antiqua"/>
          <w:b/>
          <w:bCs/>
        </w:rPr>
      </w:pPr>
      <w:r w:rsidRPr="00262774">
        <w:rPr>
          <w:rFonts w:ascii="Book Antiqua" w:eastAsiaTheme="minorEastAsia" w:hAnsi="Book Antiqua"/>
          <w:b/>
          <w:bCs/>
        </w:rPr>
        <w:t xml:space="preserve">Tabel </w:t>
      </w:r>
      <w:r w:rsidRPr="00262774">
        <w:rPr>
          <w:rFonts w:ascii="Book Antiqua" w:eastAsiaTheme="minorEastAsia" w:hAnsi="Book Antiqua"/>
          <w:b/>
          <w:bCs/>
          <w:lang w:val="id-ID"/>
        </w:rPr>
        <w:t>2</w:t>
      </w:r>
      <w:r w:rsidR="009A5150">
        <w:rPr>
          <w:rFonts w:ascii="Book Antiqua" w:eastAsiaTheme="minorEastAsia" w:hAnsi="Book Antiqua"/>
          <w:b/>
          <w:bCs/>
          <w:lang w:val="id-ID"/>
        </w:rPr>
        <w:t>.</w:t>
      </w:r>
      <w:r w:rsidRPr="00262774">
        <w:rPr>
          <w:rFonts w:ascii="Book Antiqua" w:eastAsiaTheme="minorEastAsia" w:hAnsi="Book Antiqua"/>
          <w:b/>
          <w:bCs/>
          <w:lang w:val="id-ID"/>
        </w:rPr>
        <w:t xml:space="preserve"> </w:t>
      </w:r>
      <w:r w:rsidRPr="00262774">
        <w:rPr>
          <w:rFonts w:ascii="Book Antiqua" w:eastAsiaTheme="minorEastAsia" w:hAnsi="Book Antiqua"/>
          <w:b/>
          <w:bCs/>
        </w:rPr>
        <w:t>List of Securities Crowdfunding Organizers</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275"/>
        <w:gridCol w:w="4536"/>
        <w:gridCol w:w="1134"/>
        <w:gridCol w:w="1134"/>
      </w:tblGrid>
      <w:tr w:rsidR="00035B42" w:rsidRPr="00262774" w14:paraId="03FDA620" w14:textId="77777777" w:rsidTr="009A5150">
        <w:trPr>
          <w:trHeight w:val="20"/>
          <w:tblHeader/>
        </w:trPr>
        <w:tc>
          <w:tcPr>
            <w:tcW w:w="567" w:type="dxa"/>
            <w:shd w:val="clear" w:color="auto" w:fill="auto"/>
            <w:vAlign w:val="center"/>
          </w:tcPr>
          <w:p w14:paraId="5BE96304"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No</w:t>
            </w:r>
          </w:p>
        </w:tc>
        <w:tc>
          <w:tcPr>
            <w:tcW w:w="1275" w:type="dxa"/>
            <w:shd w:val="clear" w:color="auto" w:fill="auto"/>
            <w:vAlign w:val="center"/>
          </w:tcPr>
          <w:p w14:paraId="23888A37"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Kode</w:t>
            </w:r>
          </w:p>
        </w:tc>
        <w:tc>
          <w:tcPr>
            <w:tcW w:w="4536" w:type="dxa"/>
            <w:shd w:val="clear" w:color="auto" w:fill="auto"/>
            <w:vAlign w:val="center"/>
          </w:tcPr>
          <w:p w14:paraId="482B19D3" w14:textId="0F591616"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lang w:val="id-ID"/>
              </w:rPr>
              <w:t>Name</w:t>
            </w:r>
          </w:p>
        </w:tc>
        <w:tc>
          <w:tcPr>
            <w:tcW w:w="1134" w:type="dxa"/>
            <w:shd w:val="clear" w:color="auto" w:fill="auto"/>
            <w:vAlign w:val="center"/>
          </w:tcPr>
          <w:p w14:paraId="388A962F" w14:textId="77777777" w:rsidR="00035B42" w:rsidRPr="00262774" w:rsidRDefault="00035B42" w:rsidP="00262774">
            <w:pPr>
              <w:spacing w:after="0" w:line="240" w:lineRule="auto"/>
              <w:jc w:val="center"/>
              <w:rPr>
                <w:rFonts w:ascii="Book Antiqua" w:eastAsiaTheme="minorEastAsia" w:hAnsi="Book Antiqua"/>
                <w:lang w:val="id-ID"/>
              </w:rPr>
            </w:pPr>
            <w:r w:rsidRPr="00262774">
              <w:rPr>
                <w:rFonts w:ascii="Book Antiqua" w:eastAsiaTheme="minorEastAsia" w:hAnsi="Book Antiqua"/>
              </w:rPr>
              <w:t>Prod</w:t>
            </w:r>
            <w:r w:rsidRPr="00262774">
              <w:rPr>
                <w:rFonts w:ascii="Book Antiqua" w:eastAsiaTheme="minorEastAsia" w:hAnsi="Book Antiqua"/>
                <w:lang w:val="id-ID"/>
              </w:rPr>
              <w:t>uct</w:t>
            </w:r>
          </w:p>
        </w:tc>
        <w:tc>
          <w:tcPr>
            <w:tcW w:w="1134" w:type="dxa"/>
            <w:shd w:val="clear" w:color="auto" w:fill="auto"/>
            <w:vAlign w:val="center"/>
          </w:tcPr>
          <w:p w14:paraId="37B05D72" w14:textId="77777777" w:rsidR="00035B42" w:rsidRPr="00262774" w:rsidRDefault="00035B42" w:rsidP="00262774">
            <w:pPr>
              <w:spacing w:after="0" w:line="240" w:lineRule="auto"/>
              <w:jc w:val="center"/>
              <w:rPr>
                <w:rFonts w:ascii="Book Antiqua" w:eastAsiaTheme="minorEastAsia" w:hAnsi="Book Antiqua"/>
                <w:lang w:val="id-ID"/>
              </w:rPr>
            </w:pPr>
            <w:r w:rsidRPr="00262774">
              <w:rPr>
                <w:rFonts w:ascii="Book Antiqua" w:eastAsiaTheme="minorEastAsia" w:hAnsi="Book Antiqua"/>
                <w:lang w:val="id-ID"/>
              </w:rPr>
              <w:t>Total Number</w:t>
            </w:r>
          </w:p>
        </w:tc>
      </w:tr>
      <w:tr w:rsidR="00035B42" w:rsidRPr="00262774" w14:paraId="5B6CFC52" w14:textId="77777777" w:rsidTr="009A5150">
        <w:trPr>
          <w:trHeight w:val="20"/>
        </w:trPr>
        <w:tc>
          <w:tcPr>
            <w:tcW w:w="567" w:type="dxa"/>
            <w:shd w:val="clear" w:color="auto" w:fill="auto"/>
            <w:vAlign w:val="center"/>
          </w:tcPr>
          <w:p w14:paraId="34DAC695"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1</w:t>
            </w:r>
          </w:p>
        </w:tc>
        <w:tc>
          <w:tcPr>
            <w:tcW w:w="1275" w:type="dxa"/>
            <w:shd w:val="clear" w:color="auto" w:fill="auto"/>
            <w:vAlign w:val="center"/>
          </w:tcPr>
          <w:p w14:paraId="48011B5E"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BZHR1</w:t>
            </w:r>
          </w:p>
        </w:tc>
        <w:tc>
          <w:tcPr>
            <w:tcW w:w="4536" w:type="dxa"/>
            <w:shd w:val="clear" w:color="auto" w:fill="auto"/>
            <w:vAlign w:val="center"/>
          </w:tcPr>
          <w:p w14:paraId="6D83CBCC"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 xml:space="preserve">PT </w:t>
            </w:r>
            <w:proofErr w:type="spellStart"/>
            <w:r w:rsidRPr="00262774">
              <w:rPr>
                <w:rFonts w:ascii="Book Antiqua" w:eastAsiaTheme="minorEastAsia" w:hAnsi="Book Antiqua"/>
              </w:rPr>
              <w:t>Investasi</w:t>
            </w:r>
            <w:proofErr w:type="spellEnd"/>
            <w:r w:rsidRPr="00262774">
              <w:rPr>
                <w:rFonts w:ascii="Book Antiqua" w:eastAsiaTheme="minorEastAsia" w:hAnsi="Book Antiqua"/>
              </w:rPr>
              <w:t xml:space="preserve"> Digital Nusantara (</w:t>
            </w:r>
            <w:proofErr w:type="spellStart"/>
            <w:r w:rsidRPr="00262774">
              <w:rPr>
                <w:rFonts w:ascii="Book Antiqua" w:eastAsiaTheme="minorEastAsia" w:hAnsi="Book Antiqua"/>
              </w:rPr>
              <w:t>Bizhare</w:t>
            </w:r>
            <w:proofErr w:type="spellEnd"/>
            <w:r w:rsidRPr="00262774">
              <w:rPr>
                <w:rFonts w:ascii="Book Antiqua" w:eastAsiaTheme="minorEastAsia" w:hAnsi="Book Antiqua"/>
              </w:rPr>
              <w:t>)</w:t>
            </w:r>
          </w:p>
        </w:tc>
        <w:tc>
          <w:tcPr>
            <w:tcW w:w="1134" w:type="dxa"/>
            <w:shd w:val="clear" w:color="auto" w:fill="auto"/>
            <w:vAlign w:val="center"/>
          </w:tcPr>
          <w:p w14:paraId="742E4B77"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ECF</w:t>
            </w:r>
          </w:p>
          <w:p w14:paraId="2F1205E6"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Sukuk</w:t>
            </w:r>
          </w:p>
        </w:tc>
        <w:tc>
          <w:tcPr>
            <w:tcW w:w="1134" w:type="dxa"/>
            <w:shd w:val="clear" w:color="auto" w:fill="auto"/>
            <w:vAlign w:val="center"/>
          </w:tcPr>
          <w:p w14:paraId="61791129"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79</w:t>
            </w:r>
          </w:p>
          <w:p w14:paraId="7C942C1B"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12</w:t>
            </w:r>
          </w:p>
        </w:tc>
      </w:tr>
      <w:tr w:rsidR="00035B42" w:rsidRPr="00262774" w14:paraId="7A2D5583" w14:textId="77777777" w:rsidTr="009A5150">
        <w:trPr>
          <w:trHeight w:val="20"/>
        </w:trPr>
        <w:tc>
          <w:tcPr>
            <w:tcW w:w="567" w:type="dxa"/>
            <w:shd w:val="clear" w:color="auto" w:fill="auto"/>
            <w:vAlign w:val="center"/>
          </w:tcPr>
          <w:p w14:paraId="7F18C102"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2</w:t>
            </w:r>
          </w:p>
        </w:tc>
        <w:tc>
          <w:tcPr>
            <w:tcW w:w="1275" w:type="dxa"/>
            <w:shd w:val="clear" w:color="auto" w:fill="FFFFFF"/>
            <w:vAlign w:val="center"/>
          </w:tcPr>
          <w:p w14:paraId="73B16727"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CRWD1</w:t>
            </w:r>
          </w:p>
        </w:tc>
        <w:tc>
          <w:tcPr>
            <w:tcW w:w="4536" w:type="dxa"/>
            <w:shd w:val="clear" w:color="auto" w:fill="auto"/>
            <w:vAlign w:val="center"/>
          </w:tcPr>
          <w:p w14:paraId="77CF4611"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 xml:space="preserve">PT Crowddana </w:t>
            </w:r>
            <w:proofErr w:type="spellStart"/>
            <w:r w:rsidRPr="00262774">
              <w:rPr>
                <w:rFonts w:ascii="Book Antiqua" w:eastAsiaTheme="minorEastAsia" w:hAnsi="Book Antiqua"/>
              </w:rPr>
              <w:t>Teknologi</w:t>
            </w:r>
            <w:proofErr w:type="spellEnd"/>
            <w:r w:rsidRPr="00262774">
              <w:rPr>
                <w:rFonts w:ascii="Book Antiqua" w:eastAsiaTheme="minorEastAsia" w:hAnsi="Book Antiqua"/>
              </w:rPr>
              <w:t xml:space="preserve"> </w:t>
            </w:r>
            <w:proofErr w:type="spellStart"/>
            <w:r w:rsidRPr="00262774">
              <w:rPr>
                <w:rFonts w:ascii="Book Antiqua" w:eastAsiaTheme="minorEastAsia" w:hAnsi="Book Antiqua"/>
              </w:rPr>
              <w:t>Indonusa</w:t>
            </w:r>
            <w:proofErr w:type="spellEnd"/>
            <w:r w:rsidRPr="00262774">
              <w:rPr>
                <w:rFonts w:ascii="Book Antiqua" w:eastAsiaTheme="minorEastAsia" w:hAnsi="Book Antiqua"/>
              </w:rPr>
              <w:t xml:space="preserve"> (Crowddana)</w:t>
            </w:r>
          </w:p>
        </w:tc>
        <w:tc>
          <w:tcPr>
            <w:tcW w:w="1134" w:type="dxa"/>
            <w:shd w:val="clear" w:color="auto" w:fill="FFFFFF"/>
            <w:vAlign w:val="center"/>
          </w:tcPr>
          <w:p w14:paraId="65BFE09A"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ECF</w:t>
            </w:r>
          </w:p>
        </w:tc>
        <w:tc>
          <w:tcPr>
            <w:tcW w:w="1134" w:type="dxa"/>
            <w:shd w:val="clear" w:color="auto" w:fill="auto"/>
            <w:vAlign w:val="center"/>
          </w:tcPr>
          <w:p w14:paraId="0D18597A"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32</w:t>
            </w:r>
          </w:p>
        </w:tc>
      </w:tr>
      <w:tr w:rsidR="00035B42" w:rsidRPr="00262774" w14:paraId="469DCD44" w14:textId="77777777" w:rsidTr="009A5150">
        <w:trPr>
          <w:trHeight w:val="20"/>
        </w:trPr>
        <w:tc>
          <w:tcPr>
            <w:tcW w:w="567" w:type="dxa"/>
            <w:shd w:val="clear" w:color="auto" w:fill="auto"/>
            <w:vAlign w:val="center"/>
          </w:tcPr>
          <w:p w14:paraId="38368BA2"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3</w:t>
            </w:r>
          </w:p>
        </w:tc>
        <w:tc>
          <w:tcPr>
            <w:tcW w:w="1275" w:type="dxa"/>
            <w:shd w:val="clear" w:color="auto" w:fill="auto"/>
            <w:vAlign w:val="center"/>
          </w:tcPr>
          <w:p w14:paraId="1F97A83C"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DSMB1</w:t>
            </w:r>
          </w:p>
        </w:tc>
        <w:tc>
          <w:tcPr>
            <w:tcW w:w="4536" w:type="dxa"/>
            <w:shd w:val="clear" w:color="auto" w:fill="auto"/>
            <w:vAlign w:val="center"/>
          </w:tcPr>
          <w:p w14:paraId="181DCC3B"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PT Dana Saham Bersama (</w:t>
            </w:r>
            <w:proofErr w:type="spellStart"/>
            <w:r w:rsidRPr="00262774">
              <w:rPr>
                <w:rFonts w:ascii="Book Antiqua" w:eastAsiaTheme="minorEastAsia" w:hAnsi="Book Antiqua"/>
              </w:rPr>
              <w:t>Danasaham</w:t>
            </w:r>
            <w:proofErr w:type="spellEnd"/>
            <w:r w:rsidRPr="00262774">
              <w:rPr>
                <w:rFonts w:ascii="Book Antiqua" w:eastAsiaTheme="minorEastAsia" w:hAnsi="Book Antiqua"/>
              </w:rPr>
              <w:t>)</w:t>
            </w:r>
          </w:p>
        </w:tc>
        <w:tc>
          <w:tcPr>
            <w:tcW w:w="1134" w:type="dxa"/>
            <w:tcBorders>
              <w:bottom w:val="single" w:sz="4" w:space="0" w:color="000000"/>
            </w:tcBorders>
            <w:shd w:val="clear" w:color="auto" w:fill="auto"/>
            <w:vAlign w:val="center"/>
          </w:tcPr>
          <w:p w14:paraId="4A30C362"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ECF</w:t>
            </w:r>
          </w:p>
        </w:tc>
        <w:tc>
          <w:tcPr>
            <w:tcW w:w="1134" w:type="dxa"/>
            <w:shd w:val="clear" w:color="auto" w:fill="auto"/>
            <w:vAlign w:val="center"/>
          </w:tcPr>
          <w:p w14:paraId="4BC4592C"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2</w:t>
            </w:r>
          </w:p>
        </w:tc>
      </w:tr>
      <w:tr w:rsidR="00035B42" w:rsidRPr="00262774" w14:paraId="529709BC" w14:textId="77777777" w:rsidTr="009A5150">
        <w:trPr>
          <w:trHeight w:val="20"/>
        </w:trPr>
        <w:tc>
          <w:tcPr>
            <w:tcW w:w="567" w:type="dxa"/>
            <w:shd w:val="clear" w:color="auto" w:fill="auto"/>
            <w:vAlign w:val="center"/>
          </w:tcPr>
          <w:p w14:paraId="2ED89334"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4</w:t>
            </w:r>
          </w:p>
        </w:tc>
        <w:tc>
          <w:tcPr>
            <w:tcW w:w="1275" w:type="dxa"/>
            <w:shd w:val="clear" w:color="auto" w:fill="FFFFFF"/>
            <w:vAlign w:val="center"/>
          </w:tcPr>
          <w:p w14:paraId="45940224"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FNDX1</w:t>
            </w:r>
          </w:p>
        </w:tc>
        <w:tc>
          <w:tcPr>
            <w:tcW w:w="4536" w:type="dxa"/>
            <w:shd w:val="clear" w:color="auto" w:fill="auto"/>
            <w:vAlign w:val="center"/>
          </w:tcPr>
          <w:p w14:paraId="5A22E728"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 xml:space="preserve">PT Dana </w:t>
            </w:r>
            <w:proofErr w:type="spellStart"/>
            <w:r w:rsidRPr="00262774">
              <w:rPr>
                <w:rFonts w:ascii="Book Antiqua" w:eastAsiaTheme="minorEastAsia" w:hAnsi="Book Antiqua"/>
              </w:rPr>
              <w:t>Investasi</w:t>
            </w:r>
            <w:proofErr w:type="spellEnd"/>
            <w:r w:rsidRPr="00262774">
              <w:rPr>
                <w:rFonts w:ascii="Book Antiqua" w:eastAsiaTheme="minorEastAsia" w:hAnsi="Book Antiqua"/>
              </w:rPr>
              <w:t xml:space="preserve"> Bersama (Fundex)</w:t>
            </w:r>
          </w:p>
        </w:tc>
        <w:tc>
          <w:tcPr>
            <w:tcW w:w="1134" w:type="dxa"/>
            <w:tcBorders>
              <w:bottom w:val="single" w:sz="4" w:space="0" w:color="000000"/>
            </w:tcBorders>
            <w:shd w:val="clear" w:color="auto" w:fill="auto"/>
            <w:vAlign w:val="center"/>
          </w:tcPr>
          <w:p w14:paraId="080ADFB2"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ECF</w:t>
            </w:r>
          </w:p>
          <w:p w14:paraId="2434744D"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Sukuk</w:t>
            </w:r>
          </w:p>
        </w:tc>
        <w:tc>
          <w:tcPr>
            <w:tcW w:w="1134" w:type="dxa"/>
            <w:shd w:val="clear" w:color="auto" w:fill="auto"/>
            <w:vAlign w:val="center"/>
          </w:tcPr>
          <w:p w14:paraId="0B5E7023"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1</w:t>
            </w:r>
          </w:p>
          <w:p w14:paraId="4100B11A"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7</w:t>
            </w:r>
          </w:p>
        </w:tc>
      </w:tr>
      <w:tr w:rsidR="00035B42" w:rsidRPr="00262774" w14:paraId="2BBA0620" w14:textId="77777777" w:rsidTr="009A5150">
        <w:trPr>
          <w:trHeight w:val="20"/>
        </w:trPr>
        <w:tc>
          <w:tcPr>
            <w:tcW w:w="567" w:type="dxa"/>
            <w:shd w:val="clear" w:color="auto" w:fill="auto"/>
            <w:vAlign w:val="center"/>
          </w:tcPr>
          <w:p w14:paraId="075D6298"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5</w:t>
            </w:r>
          </w:p>
        </w:tc>
        <w:tc>
          <w:tcPr>
            <w:tcW w:w="1275" w:type="dxa"/>
            <w:shd w:val="clear" w:color="auto" w:fill="auto"/>
            <w:vAlign w:val="center"/>
          </w:tcPr>
          <w:p w14:paraId="249C06E9"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LNDX1</w:t>
            </w:r>
          </w:p>
        </w:tc>
        <w:tc>
          <w:tcPr>
            <w:tcW w:w="4536" w:type="dxa"/>
            <w:shd w:val="clear" w:color="auto" w:fill="auto"/>
            <w:vAlign w:val="center"/>
          </w:tcPr>
          <w:p w14:paraId="10C1DA23"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 xml:space="preserve">PT ICX </w:t>
            </w:r>
            <w:proofErr w:type="spellStart"/>
            <w:r w:rsidRPr="00262774">
              <w:rPr>
                <w:rFonts w:ascii="Book Antiqua" w:eastAsiaTheme="minorEastAsia" w:hAnsi="Book Antiqua"/>
              </w:rPr>
              <w:t>Bangun</w:t>
            </w:r>
            <w:proofErr w:type="spellEnd"/>
            <w:r w:rsidRPr="00262774">
              <w:rPr>
                <w:rFonts w:ascii="Book Antiqua" w:eastAsiaTheme="minorEastAsia" w:hAnsi="Book Antiqua"/>
              </w:rPr>
              <w:t xml:space="preserve"> Indonesia (</w:t>
            </w:r>
            <w:proofErr w:type="spellStart"/>
            <w:r w:rsidRPr="00262774">
              <w:rPr>
                <w:rFonts w:ascii="Book Antiqua" w:eastAsiaTheme="minorEastAsia" w:hAnsi="Book Antiqua"/>
              </w:rPr>
              <w:t>LandX</w:t>
            </w:r>
            <w:proofErr w:type="spellEnd"/>
            <w:r w:rsidRPr="00262774">
              <w:rPr>
                <w:rFonts w:ascii="Book Antiqua" w:eastAsiaTheme="minorEastAsia" w:hAnsi="Book Antiqua"/>
              </w:rPr>
              <w:t>)</w:t>
            </w:r>
          </w:p>
        </w:tc>
        <w:tc>
          <w:tcPr>
            <w:tcW w:w="1134" w:type="dxa"/>
            <w:tcBorders>
              <w:top w:val="single" w:sz="4" w:space="0" w:color="000000"/>
            </w:tcBorders>
            <w:shd w:val="clear" w:color="auto" w:fill="auto"/>
            <w:vAlign w:val="center"/>
          </w:tcPr>
          <w:p w14:paraId="77DA1ABF"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ECF</w:t>
            </w:r>
          </w:p>
        </w:tc>
        <w:tc>
          <w:tcPr>
            <w:tcW w:w="1134" w:type="dxa"/>
            <w:shd w:val="clear" w:color="auto" w:fill="auto"/>
            <w:vAlign w:val="center"/>
          </w:tcPr>
          <w:p w14:paraId="05410DC6"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40</w:t>
            </w:r>
          </w:p>
        </w:tc>
      </w:tr>
      <w:tr w:rsidR="00035B42" w:rsidRPr="00262774" w14:paraId="519AE71B" w14:textId="77777777" w:rsidTr="009A5150">
        <w:trPr>
          <w:trHeight w:val="20"/>
        </w:trPr>
        <w:tc>
          <w:tcPr>
            <w:tcW w:w="567" w:type="dxa"/>
            <w:shd w:val="clear" w:color="auto" w:fill="auto"/>
            <w:vAlign w:val="center"/>
          </w:tcPr>
          <w:p w14:paraId="1A89BF03"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6</w:t>
            </w:r>
          </w:p>
        </w:tc>
        <w:tc>
          <w:tcPr>
            <w:tcW w:w="1275" w:type="dxa"/>
            <w:shd w:val="clear" w:color="auto" w:fill="FFFFFF"/>
            <w:vAlign w:val="center"/>
          </w:tcPr>
          <w:p w14:paraId="31719136"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LBSU1</w:t>
            </w:r>
          </w:p>
        </w:tc>
        <w:tc>
          <w:tcPr>
            <w:tcW w:w="4536" w:type="dxa"/>
            <w:shd w:val="clear" w:color="auto" w:fill="auto"/>
            <w:vAlign w:val="center"/>
          </w:tcPr>
          <w:p w14:paraId="6CDC8427"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 xml:space="preserve">PT LBS </w:t>
            </w:r>
            <w:proofErr w:type="spellStart"/>
            <w:r w:rsidRPr="00262774">
              <w:rPr>
                <w:rFonts w:ascii="Book Antiqua" w:eastAsiaTheme="minorEastAsia" w:hAnsi="Book Antiqua"/>
              </w:rPr>
              <w:t>Urun</w:t>
            </w:r>
            <w:proofErr w:type="spellEnd"/>
            <w:r w:rsidRPr="00262774">
              <w:rPr>
                <w:rFonts w:ascii="Book Antiqua" w:eastAsiaTheme="minorEastAsia" w:hAnsi="Book Antiqua"/>
              </w:rPr>
              <w:t xml:space="preserve"> Dana (LBS)</w:t>
            </w:r>
          </w:p>
        </w:tc>
        <w:tc>
          <w:tcPr>
            <w:tcW w:w="1134" w:type="dxa"/>
            <w:shd w:val="clear" w:color="auto" w:fill="auto"/>
            <w:vAlign w:val="center"/>
          </w:tcPr>
          <w:p w14:paraId="62C6CD91"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ECF</w:t>
            </w:r>
          </w:p>
          <w:p w14:paraId="7FC92830"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Sukuk</w:t>
            </w:r>
          </w:p>
        </w:tc>
        <w:tc>
          <w:tcPr>
            <w:tcW w:w="1134" w:type="dxa"/>
            <w:shd w:val="clear" w:color="auto" w:fill="auto"/>
            <w:vAlign w:val="center"/>
          </w:tcPr>
          <w:p w14:paraId="6317A495"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3</w:t>
            </w:r>
          </w:p>
          <w:p w14:paraId="1D11DEBE"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5</w:t>
            </w:r>
          </w:p>
        </w:tc>
      </w:tr>
      <w:tr w:rsidR="00035B42" w:rsidRPr="00262774" w14:paraId="02C9C0F7" w14:textId="77777777" w:rsidTr="009A5150">
        <w:trPr>
          <w:trHeight w:val="20"/>
        </w:trPr>
        <w:tc>
          <w:tcPr>
            <w:tcW w:w="567" w:type="dxa"/>
            <w:shd w:val="clear" w:color="auto" w:fill="auto"/>
            <w:vAlign w:val="center"/>
          </w:tcPr>
          <w:p w14:paraId="3EA0C69C"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7</w:t>
            </w:r>
          </w:p>
        </w:tc>
        <w:tc>
          <w:tcPr>
            <w:tcW w:w="1275" w:type="dxa"/>
            <w:shd w:val="clear" w:color="auto" w:fill="auto"/>
            <w:vAlign w:val="center"/>
          </w:tcPr>
          <w:p w14:paraId="38F0134F"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SDIM1</w:t>
            </w:r>
          </w:p>
        </w:tc>
        <w:tc>
          <w:tcPr>
            <w:tcW w:w="4536" w:type="dxa"/>
            <w:shd w:val="clear" w:color="auto" w:fill="auto"/>
            <w:vAlign w:val="center"/>
          </w:tcPr>
          <w:p w14:paraId="6D217FDC"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 xml:space="preserve">PT Santara Daya </w:t>
            </w:r>
            <w:proofErr w:type="spellStart"/>
            <w:r w:rsidRPr="00262774">
              <w:rPr>
                <w:rFonts w:ascii="Book Antiqua" w:eastAsiaTheme="minorEastAsia" w:hAnsi="Book Antiqua"/>
              </w:rPr>
              <w:t>Inspiratama</w:t>
            </w:r>
            <w:proofErr w:type="spellEnd"/>
            <w:r w:rsidRPr="00262774">
              <w:rPr>
                <w:rFonts w:ascii="Book Antiqua" w:eastAsiaTheme="minorEastAsia" w:hAnsi="Book Antiqua"/>
              </w:rPr>
              <w:t xml:space="preserve"> (Santara)</w:t>
            </w:r>
          </w:p>
        </w:tc>
        <w:tc>
          <w:tcPr>
            <w:tcW w:w="1134" w:type="dxa"/>
            <w:shd w:val="clear" w:color="auto" w:fill="auto"/>
            <w:vAlign w:val="center"/>
          </w:tcPr>
          <w:p w14:paraId="393303AC"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ECF</w:t>
            </w:r>
          </w:p>
        </w:tc>
        <w:tc>
          <w:tcPr>
            <w:tcW w:w="1134" w:type="dxa"/>
            <w:shd w:val="clear" w:color="auto" w:fill="auto"/>
            <w:vAlign w:val="center"/>
          </w:tcPr>
          <w:p w14:paraId="7520B4EC"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41</w:t>
            </w:r>
          </w:p>
        </w:tc>
      </w:tr>
      <w:tr w:rsidR="00035B42" w:rsidRPr="00262774" w14:paraId="6F99DAC3" w14:textId="77777777" w:rsidTr="009A5150">
        <w:trPr>
          <w:trHeight w:val="20"/>
        </w:trPr>
        <w:tc>
          <w:tcPr>
            <w:tcW w:w="567" w:type="dxa"/>
            <w:shd w:val="clear" w:color="auto" w:fill="auto"/>
            <w:vAlign w:val="center"/>
          </w:tcPr>
          <w:p w14:paraId="10FC87B2"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8</w:t>
            </w:r>
          </w:p>
        </w:tc>
        <w:tc>
          <w:tcPr>
            <w:tcW w:w="1275" w:type="dxa"/>
            <w:shd w:val="clear" w:color="auto" w:fill="FFFFFF"/>
            <w:vAlign w:val="center"/>
          </w:tcPr>
          <w:p w14:paraId="42EE617A"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SHFQ1</w:t>
            </w:r>
          </w:p>
        </w:tc>
        <w:tc>
          <w:tcPr>
            <w:tcW w:w="4536" w:type="dxa"/>
            <w:shd w:val="clear" w:color="auto" w:fill="auto"/>
            <w:vAlign w:val="center"/>
          </w:tcPr>
          <w:p w14:paraId="4E1E5D6F"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PT Shafiq Digital Indonesia (Shafiq)</w:t>
            </w:r>
          </w:p>
        </w:tc>
        <w:tc>
          <w:tcPr>
            <w:tcW w:w="1134" w:type="dxa"/>
            <w:shd w:val="clear" w:color="auto" w:fill="auto"/>
            <w:vAlign w:val="center"/>
          </w:tcPr>
          <w:p w14:paraId="7DF35C8A"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ECF</w:t>
            </w:r>
          </w:p>
          <w:p w14:paraId="7C320594"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Sukuk</w:t>
            </w:r>
          </w:p>
        </w:tc>
        <w:tc>
          <w:tcPr>
            <w:tcW w:w="1134" w:type="dxa"/>
            <w:shd w:val="clear" w:color="auto" w:fill="auto"/>
            <w:vAlign w:val="center"/>
          </w:tcPr>
          <w:p w14:paraId="260CEAE4"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1</w:t>
            </w:r>
          </w:p>
          <w:p w14:paraId="589BE480"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35</w:t>
            </w:r>
          </w:p>
        </w:tc>
      </w:tr>
      <w:tr w:rsidR="00035B42" w:rsidRPr="00262774" w14:paraId="534CA112" w14:textId="77777777" w:rsidTr="009A5150">
        <w:trPr>
          <w:trHeight w:val="20"/>
        </w:trPr>
        <w:tc>
          <w:tcPr>
            <w:tcW w:w="567" w:type="dxa"/>
            <w:shd w:val="clear" w:color="auto" w:fill="auto"/>
            <w:vAlign w:val="center"/>
          </w:tcPr>
          <w:p w14:paraId="7C6A69FD"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9</w:t>
            </w:r>
          </w:p>
        </w:tc>
        <w:tc>
          <w:tcPr>
            <w:tcW w:w="1275" w:type="dxa"/>
            <w:shd w:val="clear" w:color="auto" w:fill="auto"/>
            <w:vAlign w:val="center"/>
          </w:tcPr>
          <w:p w14:paraId="1971188E"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EKUI1</w:t>
            </w:r>
          </w:p>
        </w:tc>
        <w:tc>
          <w:tcPr>
            <w:tcW w:w="4536" w:type="dxa"/>
            <w:shd w:val="clear" w:color="auto" w:fill="auto"/>
            <w:vAlign w:val="center"/>
          </w:tcPr>
          <w:p w14:paraId="22C7CCFD"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 xml:space="preserve">PT </w:t>
            </w:r>
            <w:proofErr w:type="spellStart"/>
            <w:r w:rsidRPr="00262774">
              <w:rPr>
                <w:rFonts w:ascii="Book Antiqua" w:eastAsiaTheme="minorEastAsia" w:hAnsi="Book Antiqua"/>
              </w:rPr>
              <w:t>Likuid</w:t>
            </w:r>
            <w:proofErr w:type="spellEnd"/>
            <w:r w:rsidRPr="00262774">
              <w:rPr>
                <w:rFonts w:ascii="Book Antiqua" w:eastAsiaTheme="minorEastAsia" w:hAnsi="Book Antiqua"/>
              </w:rPr>
              <w:t xml:space="preserve"> Jaya </w:t>
            </w:r>
            <w:proofErr w:type="spellStart"/>
            <w:r w:rsidRPr="00262774">
              <w:rPr>
                <w:rFonts w:ascii="Book Antiqua" w:eastAsiaTheme="minorEastAsia" w:hAnsi="Book Antiqua"/>
              </w:rPr>
              <w:t>Pratama</w:t>
            </w:r>
            <w:proofErr w:type="spellEnd"/>
            <w:r w:rsidRPr="00262774">
              <w:rPr>
                <w:rFonts w:ascii="Book Antiqua" w:eastAsiaTheme="minorEastAsia" w:hAnsi="Book Antiqua"/>
              </w:rPr>
              <w:t xml:space="preserve"> (</w:t>
            </w:r>
            <w:proofErr w:type="spellStart"/>
            <w:r w:rsidRPr="00262774">
              <w:rPr>
                <w:rFonts w:ascii="Book Antiqua" w:eastAsiaTheme="minorEastAsia" w:hAnsi="Book Antiqua"/>
              </w:rPr>
              <w:t>Ekuid</w:t>
            </w:r>
            <w:proofErr w:type="spellEnd"/>
            <w:r w:rsidRPr="00262774">
              <w:rPr>
                <w:rFonts w:ascii="Book Antiqua" w:eastAsiaTheme="minorEastAsia" w:hAnsi="Book Antiqua"/>
              </w:rPr>
              <w:t>)</w:t>
            </w:r>
          </w:p>
        </w:tc>
        <w:tc>
          <w:tcPr>
            <w:tcW w:w="1134" w:type="dxa"/>
            <w:shd w:val="clear" w:color="auto" w:fill="auto"/>
            <w:vAlign w:val="center"/>
          </w:tcPr>
          <w:p w14:paraId="660FD1BC"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DCF</w:t>
            </w:r>
          </w:p>
        </w:tc>
        <w:tc>
          <w:tcPr>
            <w:tcW w:w="1134" w:type="dxa"/>
            <w:shd w:val="clear" w:color="auto" w:fill="auto"/>
            <w:vAlign w:val="center"/>
          </w:tcPr>
          <w:p w14:paraId="07EE129C"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6</w:t>
            </w:r>
          </w:p>
        </w:tc>
      </w:tr>
      <w:tr w:rsidR="00035B42" w:rsidRPr="00262774" w14:paraId="48F70C74" w14:textId="77777777" w:rsidTr="009A5150">
        <w:trPr>
          <w:trHeight w:val="20"/>
        </w:trPr>
        <w:tc>
          <w:tcPr>
            <w:tcW w:w="567" w:type="dxa"/>
            <w:shd w:val="clear" w:color="auto" w:fill="auto"/>
            <w:vAlign w:val="center"/>
          </w:tcPr>
          <w:p w14:paraId="3DCC046F" w14:textId="77777777" w:rsidR="00035B42" w:rsidRPr="00262774" w:rsidRDefault="00035B42" w:rsidP="00262774">
            <w:pPr>
              <w:spacing w:after="0" w:line="240" w:lineRule="auto"/>
              <w:ind w:right="-104" w:hanging="113"/>
              <w:jc w:val="center"/>
              <w:rPr>
                <w:rFonts w:ascii="Book Antiqua" w:eastAsiaTheme="minorEastAsia" w:hAnsi="Book Antiqua"/>
              </w:rPr>
            </w:pPr>
            <w:r w:rsidRPr="00262774">
              <w:rPr>
                <w:rFonts w:ascii="Book Antiqua" w:eastAsiaTheme="minorEastAsia" w:hAnsi="Book Antiqua"/>
              </w:rPr>
              <w:t>10</w:t>
            </w:r>
          </w:p>
        </w:tc>
        <w:tc>
          <w:tcPr>
            <w:tcW w:w="1275" w:type="dxa"/>
            <w:shd w:val="clear" w:color="auto" w:fill="auto"/>
            <w:vAlign w:val="center"/>
          </w:tcPr>
          <w:p w14:paraId="56D2E872"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DNMR1</w:t>
            </w:r>
          </w:p>
        </w:tc>
        <w:tc>
          <w:tcPr>
            <w:tcW w:w="4536" w:type="dxa"/>
            <w:shd w:val="clear" w:color="auto" w:fill="auto"/>
            <w:vAlign w:val="center"/>
          </w:tcPr>
          <w:p w14:paraId="742C3A3F"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PT Dana Aguna Nusantara</w:t>
            </w:r>
          </w:p>
          <w:p w14:paraId="5FC3851C"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w:t>
            </w:r>
            <w:proofErr w:type="spellStart"/>
            <w:r w:rsidRPr="00262774">
              <w:rPr>
                <w:rFonts w:ascii="Book Antiqua" w:eastAsiaTheme="minorEastAsia" w:hAnsi="Book Antiqua"/>
              </w:rPr>
              <w:t>Danamart</w:t>
            </w:r>
            <w:proofErr w:type="spellEnd"/>
            <w:r w:rsidRPr="00262774">
              <w:rPr>
                <w:rFonts w:ascii="Book Antiqua" w:eastAsiaTheme="minorEastAsia" w:hAnsi="Book Antiqua"/>
              </w:rPr>
              <w:t>)</w:t>
            </w:r>
          </w:p>
        </w:tc>
        <w:tc>
          <w:tcPr>
            <w:tcW w:w="1134" w:type="dxa"/>
            <w:shd w:val="clear" w:color="auto" w:fill="auto"/>
            <w:vAlign w:val="center"/>
          </w:tcPr>
          <w:p w14:paraId="6AD677AF" w14:textId="77777777" w:rsidR="00035B42" w:rsidRPr="00262774" w:rsidRDefault="00035B42" w:rsidP="00262774">
            <w:pPr>
              <w:spacing w:after="0" w:line="240" w:lineRule="auto"/>
              <w:jc w:val="center"/>
              <w:rPr>
                <w:rFonts w:ascii="Book Antiqua" w:eastAsiaTheme="minorEastAsia" w:hAnsi="Book Antiqua"/>
              </w:rPr>
            </w:pPr>
            <w:r w:rsidRPr="00262774">
              <w:rPr>
                <w:rFonts w:ascii="Book Antiqua" w:eastAsiaTheme="minorEastAsia" w:hAnsi="Book Antiqua"/>
              </w:rPr>
              <w:t>DCF</w:t>
            </w:r>
          </w:p>
        </w:tc>
        <w:tc>
          <w:tcPr>
            <w:tcW w:w="1134" w:type="dxa"/>
            <w:shd w:val="clear" w:color="auto" w:fill="auto"/>
            <w:vAlign w:val="center"/>
          </w:tcPr>
          <w:p w14:paraId="40BA5FB9" w14:textId="77777777" w:rsidR="00035B42" w:rsidRPr="00262774" w:rsidRDefault="00035B42" w:rsidP="00262774">
            <w:pPr>
              <w:spacing w:after="0" w:line="240" w:lineRule="auto"/>
              <w:ind w:hanging="104"/>
              <w:jc w:val="center"/>
              <w:rPr>
                <w:rFonts w:ascii="Book Antiqua" w:eastAsiaTheme="minorEastAsia" w:hAnsi="Book Antiqua"/>
              </w:rPr>
            </w:pPr>
            <w:r w:rsidRPr="00262774">
              <w:rPr>
                <w:rFonts w:ascii="Book Antiqua" w:eastAsiaTheme="minorEastAsia" w:hAnsi="Book Antiqua"/>
              </w:rPr>
              <w:t>4</w:t>
            </w:r>
          </w:p>
        </w:tc>
      </w:tr>
    </w:tbl>
    <w:p w14:paraId="48A5AC96" w14:textId="23FE1A0C" w:rsidR="00035B42" w:rsidRPr="00EE4555" w:rsidRDefault="00035B42" w:rsidP="00EE4555">
      <w:pPr>
        <w:spacing w:after="240" w:line="240" w:lineRule="auto"/>
        <w:ind w:firstLine="567"/>
        <w:rPr>
          <w:rFonts w:ascii="Book Antiqua" w:eastAsiaTheme="minorEastAsia" w:hAnsi="Book Antiqua"/>
          <w:i/>
          <w:iCs/>
          <w:sz w:val="20"/>
          <w:szCs w:val="20"/>
          <w:lang w:val="es-ES"/>
        </w:rPr>
      </w:pPr>
      <w:r w:rsidRPr="00EE4555">
        <w:rPr>
          <w:rFonts w:ascii="Book Antiqua" w:eastAsiaTheme="minorEastAsia" w:hAnsi="Book Antiqua"/>
          <w:i/>
          <w:iCs/>
          <w:sz w:val="20"/>
          <w:szCs w:val="20"/>
          <w:lang w:val="id-ID"/>
        </w:rPr>
        <w:t>Source: Kustodian Sentral Efek Indonesia</w:t>
      </w:r>
    </w:p>
    <w:p w14:paraId="2264765F" w14:textId="77777777" w:rsidR="009A5150" w:rsidRDefault="00035B42" w:rsidP="009A5150">
      <w:pPr>
        <w:spacing w:before="120" w:after="120" w:line="240" w:lineRule="auto"/>
        <w:ind w:left="426" w:firstLine="720"/>
        <w:rPr>
          <w:rFonts w:ascii="Book Antiqua" w:eastAsiaTheme="minorEastAsia" w:hAnsi="Book Antiqua"/>
          <w:sz w:val="24"/>
          <w:szCs w:val="24"/>
          <w:lang w:val="en-GB"/>
        </w:rPr>
      </w:pPr>
      <w:r w:rsidRPr="004D596A">
        <w:rPr>
          <w:rFonts w:ascii="Book Antiqua" w:eastAsiaTheme="minorEastAsia" w:hAnsi="Book Antiqua"/>
          <w:sz w:val="24"/>
          <w:szCs w:val="24"/>
          <w:lang w:val="en-GB"/>
        </w:rPr>
        <w:t xml:space="preserve">The ten organisers are registered with the Financial Services Authority (OJK) and the Indonesian Central Securities Depository (KSEI). Firstly, this categorization is specifically for organisers offering conventional (ECF) and Shariah (Sukuk) securities. The organiser, PT </w:t>
      </w:r>
      <w:proofErr w:type="spellStart"/>
      <w:r w:rsidRPr="004D596A">
        <w:rPr>
          <w:rFonts w:ascii="Book Antiqua" w:eastAsiaTheme="minorEastAsia" w:hAnsi="Book Antiqua"/>
          <w:sz w:val="24"/>
          <w:szCs w:val="24"/>
          <w:lang w:val="en-GB"/>
        </w:rPr>
        <w:t>Investasi</w:t>
      </w:r>
      <w:proofErr w:type="spellEnd"/>
      <w:r w:rsidRPr="004D596A">
        <w:rPr>
          <w:rFonts w:ascii="Book Antiqua" w:eastAsiaTheme="minorEastAsia" w:hAnsi="Book Antiqua"/>
          <w:sz w:val="24"/>
          <w:szCs w:val="24"/>
          <w:lang w:val="en-GB"/>
        </w:rPr>
        <w:t xml:space="preserve"> Digital Nusantara (</w:t>
      </w:r>
      <w:proofErr w:type="spellStart"/>
      <w:r w:rsidRPr="004D596A">
        <w:rPr>
          <w:rFonts w:ascii="Book Antiqua" w:eastAsiaTheme="minorEastAsia" w:hAnsi="Book Antiqua"/>
          <w:sz w:val="24"/>
          <w:szCs w:val="24"/>
          <w:lang w:val="en-GB"/>
        </w:rPr>
        <w:t>Bizhare</w:t>
      </w:r>
      <w:proofErr w:type="spellEnd"/>
      <w:r w:rsidRPr="004D596A">
        <w:rPr>
          <w:rFonts w:ascii="Book Antiqua" w:eastAsiaTheme="minorEastAsia" w:hAnsi="Book Antiqua"/>
          <w:sz w:val="24"/>
          <w:szCs w:val="24"/>
          <w:lang w:val="en-GB"/>
        </w:rPr>
        <w:t xml:space="preserve">), offers securities from 91 issuers, comprising 79 shares or equities and 12 sukuk. There is a ratio of 13.18% Shariah-compliant securities and 86.82% conventional securities. Furthermore, the organiser, PT Dana </w:t>
      </w:r>
      <w:proofErr w:type="spellStart"/>
      <w:r w:rsidRPr="004D596A">
        <w:rPr>
          <w:rFonts w:ascii="Book Antiqua" w:eastAsiaTheme="minorEastAsia" w:hAnsi="Book Antiqua"/>
          <w:sz w:val="24"/>
          <w:szCs w:val="24"/>
          <w:lang w:val="en-GB"/>
        </w:rPr>
        <w:t>Investasi</w:t>
      </w:r>
      <w:proofErr w:type="spellEnd"/>
      <w:r w:rsidRPr="004D596A">
        <w:rPr>
          <w:rFonts w:ascii="Book Antiqua" w:eastAsiaTheme="minorEastAsia" w:hAnsi="Book Antiqua"/>
          <w:sz w:val="24"/>
          <w:szCs w:val="24"/>
          <w:lang w:val="en-GB"/>
        </w:rPr>
        <w:t xml:space="preserve"> Bersama (Fundex), offers securities from 8 issuers, including 7 sukuk and 1 equity, with a ratio of 12.5% conventional securities and 87.5% Shariah-compliant securities. PT LBS </w:t>
      </w:r>
      <w:proofErr w:type="spellStart"/>
      <w:r w:rsidRPr="004D596A">
        <w:rPr>
          <w:rFonts w:ascii="Book Antiqua" w:eastAsiaTheme="minorEastAsia" w:hAnsi="Book Antiqua"/>
          <w:sz w:val="24"/>
          <w:szCs w:val="24"/>
          <w:lang w:val="en-GB"/>
        </w:rPr>
        <w:t>Urun</w:t>
      </w:r>
      <w:proofErr w:type="spellEnd"/>
      <w:r w:rsidRPr="004D596A">
        <w:rPr>
          <w:rFonts w:ascii="Book Antiqua" w:eastAsiaTheme="minorEastAsia" w:hAnsi="Book Antiqua"/>
          <w:sz w:val="24"/>
          <w:szCs w:val="24"/>
          <w:lang w:val="en-GB"/>
        </w:rPr>
        <w:t xml:space="preserve"> Dana (LBS) offers securities from 8 issuers, consisting of 3 equities and 5 sukuk, resulting in a ratio of 37% conventional securities and 63% Shariah-compliant securities in the form of sukuk. PT Shafiq Digital Indonesia (Shafiq) also offers securities from 36 issuers, comprising 35 sukuk and 1 equity, with a ratio of 2.8% non-Shariah-compliant and 97.2% Shariah-compliant securities.</w:t>
      </w:r>
    </w:p>
    <w:p w14:paraId="6462E495" w14:textId="77777777" w:rsidR="002100C8" w:rsidRDefault="002100C8">
      <w:pPr>
        <w:spacing w:after="160" w:line="259" w:lineRule="auto"/>
        <w:jc w:val="left"/>
        <w:rPr>
          <w:rFonts w:ascii="Book Antiqua" w:eastAsiaTheme="minorEastAsia" w:hAnsi="Book Antiqua"/>
          <w:iCs/>
          <w:sz w:val="24"/>
          <w:szCs w:val="24"/>
          <w:lang w:val="en-GB"/>
        </w:rPr>
      </w:pPr>
      <w:r>
        <w:rPr>
          <w:rFonts w:ascii="Book Antiqua" w:eastAsiaTheme="minorEastAsia" w:hAnsi="Book Antiqua"/>
          <w:iCs/>
          <w:sz w:val="24"/>
          <w:szCs w:val="24"/>
          <w:lang w:val="en-GB"/>
        </w:rPr>
        <w:br w:type="page"/>
      </w:r>
    </w:p>
    <w:p w14:paraId="3C7150E5" w14:textId="691BA3AC" w:rsidR="009A5150" w:rsidRDefault="00035B42" w:rsidP="009A5150">
      <w:pPr>
        <w:spacing w:before="120" w:after="120" w:line="240" w:lineRule="auto"/>
        <w:ind w:left="426" w:firstLine="720"/>
        <w:rPr>
          <w:rFonts w:ascii="Book Antiqua" w:eastAsiaTheme="minorEastAsia" w:hAnsi="Book Antiqua"/>
          <w:sz w:val="24"/>
          <w:szCs w:val="24"/>
          <w:lang w:val="en-GB"/>
        </w:rPr>
      </w:pPr>
      <w:r w:rsidRPr="004D596A">
        <w:rPr>
          <w:rFonts w:ascii="Book Antiqua" w:eastAsiaTheme="minorEastAsia" w:hAnsi="Book Antiqua"/>
          <w:iCs/>
          <w:sz w:val="24"/>
          <w:szCs w:val="24"/>
          <w:lang w:val="en-GB"/>
        </w:rPr>
        <w:lastRenderedPageBreak/>
        <w:t xml:space="preserve">Secondly, this categorization is specifically for organisers offering equity securities (ECF) from issuers. Conventional securities offerings are conducted by the organiser, PT Crowddana </w:t>
      </w:r>
      <w:proofErr w:type="spellStart"/>
      <w:r w:rsidRPr="004D596A">
        <w:rPr>
          <w:rFonts w:ascii="Book Antiqua" w:eastAsiaTheme="minorEastAsia" w:hAnsi="Book Antiqua"/>
          <w:iCs/>
          <w:sz w:val="24"/>
          <w:szCs w:val="24"/>
          <w:lang w:val="en-GB"/>
        </w:rPr>
        <w:t>Teknologi</w:t>
      </w:r>
      <w:proofErr w:type="spellEnd"/>
      <w:r w:rsidRPr="004D596A">
        <w:rPr>
          <w:rFonts w:ascii="Book Antiqua" w:eastAsiaTheme="minorEastAsia" w:hAnsi="Book Antiqua"/>
          <w:iCs/>
          <w:sz w:val="24"/>
          <w:szCs w:val="24"/>
          <w:lang w:val="en-GB"/>
        </w:rPr>
        <w:t xml:space="preserve"> </w:t>
      </w:r>
      <w:proofErr w:type="spellStart"/>
      <w:r w:rsidRPr="004D596A">
        <w:rPr>
          <w:rFonts w:ascii="Book Antiqua" w:eastAsiaTheme="minorEastAsia" w:hAnsi="Book Antiqua"/>
          <w:iCs/>
          <w:sz w:val="24"/>
          <w:szCs w:val="24"/>
          <w:lang w:val="en-GB"/>
        </w:rPr>
        <w:t>Indonusa</w:t>
      </w:r>
      <w:proofErr w:type="spellEnd"/>
      <w:r w:rsidRPr="004D596A">
        <w:rPr>
          <w:rFonts w:ascii="Book Antiqua" w:eastAsiaTheme="minorEastAsia" w:hAnsi="Book Antiqua"/>
          <w:iCs/>
          <w:sz w:val="24"/>
          <w:szCs w:val="24"/>
          <w:lang w:val="en-GB"/>
        </w:rPr>
        <w:t xml:space="preserve"> (Crowddana), offering securities issued by 32 issuers, all of which are non-Shariah-based equity securities. This is also done by the organiser, PT Dana Saham Bersama (</w:t>
      </w:r>
      <w:proofErr w:type="spellStart"/>
      <w:r w:rsidRPr="004D596A">
        <w:rPr>
          <w:rFonts w:ascii="Book Antiqua" w:eastAsiaTheme="minorEastAsia" w:hAnsi="Book Antiqua"/>
          <w:iCs/>
          <w:sz w:val="24"/>
          <w:szCs w:val="24"/>
          <w:lang w:val="en-GB"/>
        </w:rPr>
        <w:t>Danasaham</w:t>
      </w:r>
      <w:proofErr w:type="spellEnd"/>
      <w:r w:rsidRPr="004D596A">
        <w:rPr>
          <w:rFonts w:ascii="Book Antiqua" w:eastAsiaTheme="minorEastAsia" w:hAnsi="Book Antiqua"/>
          <w:iCs/>
          <w:sz w:val="24"/>
          <w:szCs w:val="24"/>
          <w:lang w:val="en-GB"/>
        </w:rPr>
        <w:t xml:space="preserve">), offering non-Shariah securities from two issuers in the form of equities. PT ICX </w:t>
      </w:r>
      <w:proofErr w:type="spellStart"/>
      <w:r w:rsidRPr="004D596A">
        <w:rPr>
          <w:rFonts w:ascii="Book Antiqua" w:eastAsiaTheme="minorEastAsia" w:hAnsi="Book Antiqua"/>
          <w:iCs/>
          <w:sz w:val="24"/>
          <w:szCs w:val="24"/>
          <w:lang w:val="en-GB"/>
        </w:rPr>
        <w:t>Bangun</w:t>
      </w:r>
      <w:proofErr w:type="spellEnd"/>
      <w:r w:rsidRPr="004D596A">
        <w:rPr>
          <w:rFonts w:ascii="Book Antiqua" w:eastAsiaTheme="minorEastAsia" w:hAnsi="Book Antiqua"/>
          <w:iCs/>
          <w:sz w:val="24"/>
          <w:szCs w:val="24"/>
          <w:lang w:val="en-GB"/>
        </w:rPr>
        <w:t xml:space="preserve"> Indonesia (</w:t>
      </w:r>
      <w:proofErr w:type="spellStart"/>
      <w:r w:rsidRPr="004D596A">
        <w:rPr>
          <w:rFonts w:ascii="Book Antiqua" w:eastAsiaTheme="minorEastAsia" w:hAnsi="Book Antiqua"/>
          <w:iCs/>
          <w:sz w:val="24"/>
          <w:szCs w:val="24"/>
          <w:lang w:val="en-GB"/>
        </w:rPr>
        <w:t>LandX</w:t>
      </w:r>
      <w:proofErr w:type="spellEnd"/>
      <w:r w:rsidRPr="004D596A">
        <w:rPr>
          <w:rFonts w:ascii="Book Antiqua" w:eastAsiaTheme="minorEastAsia" w:hAnsi="Book Antiqua"/>
          <w:iCs/>
          <w:sz w:val="24"/>
          <w:szCs w:val="24"/>
          <w:lang w:val="en-GB"/>
        </w:rPr>
        <w:t xml:space="preserve">) also offers securities from 40 issuers, all of which are equity-based securities. Furthermore, PT Santara Daya </w:t>
      </w:r>
      <w:proofErr w:type="spellStart"/>
      <w:r w:rsidRPr="004D596A">
        <w:rPr>
          <w:rFonts w:ascii="Book Antiqua" w:eastAsiaTheme="minorEastAsia" w:hAnsi="Book Antiqua"/>
          <w:iCs/>
          <w:sz w:val="24"/>
          <w:szCs w:val="24"/>
          <w:lang w:val="en-GB"/>
        </w:rPr>
        <w:t>Inspiratama</w:t>
      </w:r>
      <w:proofErr w:type="spellEnd"/>
      <w:r w:rsidRPr="004D596A">
        <w:rPr>
          <w:rFonts w:ascii="Book Antiqua" w:eastAsiaTheme="minorEastAsia" w:hAnsi="Book Antiqua"/>
          <w:iCs/>
          <w:sz w:val="24"/>
          <w:szCs w:val="24"/>
          <w:lang w:val="en-GB"/>
        </w:rPr>
        <w:t xml:space="preserve"> (Santara) organises fundraising by offering securities from 41 issuers, all in the form of equities. </w:t>
      </w:r>
    </w:p>
    <w:p w14:paraId="33007344" w14:textId="2B782D5F" w:rsidR="00035B42" w:rsidRDefault="00035B42" w:rsidP="009A5150">
      <w:pPr>
        <w:spacing w:before="120" w:after="120" w:line="240" w:lineRule="auto"/>
        <w:ind w:left="426" w:firstLine="720"/>
        <w:rPr>
          <w:rFonts w:ascii="Book Antiqua" w:eastAsiaTheme="minorEastAsia" w:hAnsi="Book Antiqua"/>
          <w:iCs/>
          <w:sz w:val="24"/>
          <w:szCs w:val="24"/>
          <w:lang w:val="en-GB"/>
        </w:rPr>
      </w:pPr>
      <w:r w:rsidRPr="004D596A">
        <w:rPr>
          <w:rFonts w:ascii="Book Antiqua" w:eastAsiaTheme="minorEastAsia" w:hAnsi="Book Antiqua"/>
          <w:iCs/>
          <w:sz w:val="24"/>
          <w:szCs w:val="24"/>
          <w:lang w:val="en-GB"/>
        </w:rPr>
        <w:t xml:space="preserve">Thirdly, this categorization is specifically for organisers issuing debt securities, or debt crowdfunding (DCF), with PT </w:t>
      </w:r>
      <w:proofErr w:type="spellStart"/>
      <w:r w:rsidRPr="004D596A">
        <w:rPr>
          <w:rFonts w:ascii="Book Antiqua" w:eastAsiaTheme="minorEastAsia" w:hAnsi="Book Antiqua"/>
          <w:iCs/>
          <w:sz w:val="24"/>
          <w:szCs w:val="24"/>
          <w:lang w:val="en-GB"/>
        </w:rPr>
        <w:t>Likuid</w:t>
      </w:r>
      <w:proofErr w:type="spellEnd"/>
      <w:r w:rsidRPr="004D596A">
        <w:rPr>
          <w:rFonts w:ascii="Book Antiqua" w:eastAsiaTheme="minorEastAsia" w:hAnsi="Book Antiqua"/>
          <w:iCs/>
          <w:sz w:val="24"/>
          <w:szCs w:val="24"/>
          <w:lang w:val="en-GB"/>
        </w:rPr>
        <w:t xml:space="preserve"> Jaya </w:t>
      </w:r>
      <w:proofErr w:type="spellStart"/>
      <w:r w:rsidRPr="004D596A">
        <w:rPr>
          <w:rFonts w:ascii="Book Antiqua" w:eastAsiaTheme="minorEastAsia" w:hAnsi="Book Antiqua"/>
          <w:iCs/>
          <w:sz w:val="24"/>
          <w:szCs w:val="24"/>
          <w:lang w:val="en-GB"/>
        </w:rPr>
        <w:t>Pratama</w:t>
      </w:r>
      <w:proofErr w:type="spellEnd"/>
      <w:r w:rsidRPr="004D596A">
        <w:rPr>
          <w:rFonts w:ascii="Book Antiqua" w:eastAsiaTheme="minorEastAsia" w:hAnsi="Book Antiqua"/>
          <w:iCs/>
          <w:sz w:val="24"/>
          <w:szCs w:val="24"/>
          <w:lang w:val="en-GB"/>
        </w:rPr>
        <w:t xml:space="preserve"> (</w:t>
      </w:r>
      <w:proofErr w:type="spellStart"/>
      <w:r w:rsidRPr="004D596A">
        <w:rPr>
          <w:rFonts w:ascii="Book Antiqua" w:eastAsiaTheme="minorEastAsia" w:hAnsi="Book Antiqua"/>
          <w:iCs/>
          <w:sz w:val="24"/>
          <w:szCs w:val="24"/>
          <w:lang w:val="en-GB"/>
        </w:rPr>
        <w:t>Ekuid</w:t>
      </w:r>
      <w:proofErr w:type="spellEnd"/>
      <w:r w:rsidRPr="004D596A">
        <w:rPr>
          <w:rFonts w:ascii="Book Antiqua" w:eastAsiaTheme="minorEastAsia" w:hAnsi="Book Antiqua"/>
          <w:iCs/>
          <w:sz w:val="24"/>
          <w:szCs w:val="24"/>
          <w:lang w:val="en-GB"/>
        </w:rPr>
        <w:t>) issuing debt crowdfunding securities from six issuers, all based on debt. PT Dana Aguna Nusantara (</w:t>
      </w:r>
      <w:proofErr w:type="spellStart"/>
      <w:r w:rsidRPr="004D596A">
        <w:rPr>
          <w:rFonts w:ascii="Book Antiqua" w:eastAsiaTheme="minorEastAsia" w:hAnsi="Book Antiqua"/>
          <w:iCs/>
          <w:sz w:val="24"/>
          <w:szCs w:val="24"/>
          <w:lang w:val="en-GB"/>
        </w:rPr>
        <w:t>Danamart</w:t>
      </w:r>
      <w:proofErr w:type="spellEnd"/>
      <w:r w:rsidRPr="004D596A">
        <w:rPr>
          <w:rFonts w:ascii="Book Antiqua" w:eastAsiaTheme="minorEastAsia" w:hAnsi="Book Antiqua"/>
          <w:iCs/>
          <w:sz w:val="24"/>
          <w:szCs w:val="24"/>
          <w:lang w:val="en-GB"/>
        </w:rPr>
        <w:t>) also conducts similar issuances from four issuers.</w:t>
      </w:r>
    </w:p>
    <w:p w14:paraId="0025EBE1" w14:textId="77777777" w:rsidR="009A5150" w:rsidRPr="009A5150" w:rsidRDefault="009A5150" w:rsidP="009A5150">
      <w:pPr>
        <w:spacing w:before="120" w:after="120" w:line="240" w:lineRule="auto"/>
        <w:ind w:left="426" w:firstLine="720"/>
        <w:rPr>
          <w:rFonts w:ascii="Book Antiqua" w:eastAsiaTheme="minorEastAsia" w:hAnsi="Book Antiqua"/>
          <w:sz w:val="24"/>
          <w:szCs w:val="24"/>
          <w:lang w:val="en-GB"/>
        </w:rPr>
      </w:pPr>
    </w:p>
    <w:p w14:paraId="07B9DBA7" w14:textId="77777777" w:rsidR="00035B42" w:rsidRPr="004D596A" w:rsidRDefault="00035B42" w:rsidP="009A5150">
      <w:pPr>
        <w:spacing w:before="120" w:after="120" w:line="240" w:lineRule="auto"/>
        <w:ind w:firstLine="720"/>
        <w:jc w:val="left"/>
        <w:rPr>
          <w:rFonts w:ascii="Book Antiqua" w:eastAsiaTheme="minorEastAsia" w:hAnsi="Book Antiqua"/>
          <w:sz w:val="24"/>
          <w:szCs w:val="24"/>
          <w:lang w:val="id-ID"/>
        </w:rPr>
      </w:pPr>
      <w:r w:rsidRPr="004D596A">
        <w:rPr>
          <w:rFonts w:ascii="Book Antiqua" w:eastAsiaTheme="minorEastAsia" w:hAnsi="Book Antiqua"/>
          <w:noProof/>
          <w:sz w:val="24"/>
          <w:szCs w:val="24"/>
        </w:rPr>
        <w:drawing>
          <wp:inline distT="0" distB="0" distL="0" distR="0" wp14:anchorId="57DDC120" wp14:editId="15A12399">
            <wp:extent cx="5130496" cy="2385635"/>
            <wp:effectExtent l="0" t="0" r="0" b="0"/>
            <wp:docPr id="12547794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0034" cy="2390070"/>
                    </a:xfrm>
                    <a:prstGeom prst="rect">
                      <a:avLst/>
                    </a:prstGeom>
                    <a:noFill/>
                    <a:ln>
                      <a:noFill/>
                    </a:ln>
                  </pic:spPr>
                </pic:pic>
              </a:graphicData>
            </a:graphic>
          </wp:inline>
        </w:drawing>
      </w:r>
    </w:p>
    <w:p w14:paraId="002C3A3D" w14:textId="77777777" w:rsidR="00035B42" w:rsidRPr="00EE4555" w:rsidRDefault="00035B42" w:rsidP="009A5150">
      <w:pPr>
        <w:spacing w:after="0" w:line="240" w:lineRule="auto"/>
        <w:ind w:firstLine="720"/>
        <w:jc w:val="left"/>
        <w:rPr>
          <w:rFonts w:ascii="Book Antiqua" w:eastAsiaTheme="minorEastAsia" w:hAnsi="Book Antiqua"/>
          <w:i/>
          <w:iCs/>
          <w:sz w:val="20"/>
          <w:szCs w:val="20"/>
          <w:lang w:val="id-ID"/>
        </w:rPr>
      </w:pPr>
      <w:r w:rsidRPr="00EE4555">
        <w:rPr>
          <w:rFonts w:ascii="Book Antiqua" w:eastAsiaTheme="minorEastAsia" w:hAnsi="Book Antiqua"/>
          <w:i/>
          <w:iCs/>
          <w:sz w:val="20"/>
          <w:szCs w:val="20"/>
          <w:lang w:val="id-ID"/>
        </w:rPr>
        <w:t>Source: Otoritas Jasa Keuangan</w:t>
      </w:r>
    </w:p>
    <w:p w14:paraId="0CD15E58" w14:textId="571D1AFA" w:rsidR="00EE4555" w:rsidRPr="00EE4555" w:rsidRDefault="009A5150" w:rsidP="00EE4555">
      <w:pPr>
        <w:spacing w:before="120" w:after="240" w:line="240" w:lineRule="auto"/>
        <w:ind w:firstLine="720"/>
        <w:jc w:val="center"/>
        <w:rPr>
          <w:rFonts w:ascii="Book Antiqua" w:eastAsiaTheme="minorEastAsia" w:hAnsi="Book Antiqua"/>
          <w:b/>
          <w:bCs/>
        </w:rPr>
      </w:pPr>
      <w:r w:rsidRPr="009A5150">
        <w:rPr>
          <w:rFonts w:ascii="Book Antiqua" w:eastAsiaTheme="minorEastAsia" w:hAnsi="Book Antiqua"/>
          <w:b/>
          <w:bCs/>
          <w:lang w:val="id-ID"/>
        </w:rPr>
        <w:t>Figure 1</w:t>
      </w:r>
      <w:r>
        <w:rPr>
          <w:rFonts w:ascii="Book Antiqua" w:eastAsiaTheme="minorEastAsia" w:hAnsi="Book Antiqua"/>
          <w:b/>
          <w:bCs/>
          <w:lang w:val="id-ID"/>
        </w:rPr>
        <w:t>.</w:t>
      </w:r>
      <w:r w:rsidRPr="009A5150">
        <w:rPr>
          <w:rFonts w:ascii="Book Antiqua" w:eastAsiaTheme="minorEastAsia" w:hAnsi="Book Antiqua"/>
          <w:b/>
          <w:bCs/>
          <w:lang w:val="id-ID"/>
        </w:rPr>
        <w:t xml:space="preserve"> Number of Effects</w:t>
      </w:r>
    </w:p>
    <w:p w14:paraId="3BC2DBDA" w14:textId="7FDE8763" w:rsidR="00EE4555" w:rsidRDefault="00035B42" w:rsidP="009A5150">
      <w:pPr>
        <w:spacing w:before="120" w:after="120" w:line="240" w:lineRule="auto"/>
        <w:ind w:left="426" w:firstLine="720"/>
        <w:rPr>
          <w:rFonts w:ascii="Book Antiqua" w:eastAsiaTheme="minorEastAsia" w:hAnsi="Book Antiqua"/>
          <w:sz w:val="24"/>
          <w:szCs w:val="24"/>
        </w:rPr>
      </w:pPr>
      <w:r w:rsidRPr="004D596A">
        <w:rPr>
          <w:rFonts w:ascii="Book Antiqua" w:eastAsiaTheme="minorEastAsia" w:hAnsi="Book Antiqua"/>
          <w:sz w:val="24"/>
          <w:szCs w:val="24"/>
        </w:rPr>
        <w:t>The graph above shows the number of securities issuances (as of August 10, 2023) promoted on SCF funding services. Securities offerings in the form of debt crowdfunding (DCF) consist of 10 DCF offerings from issuers. Next, the offerings consist of sukuk, with a total of 59 sukuk from issuers. Furthermore, the majority of securities offerings in crowdfunding services are equity crowdfunding (ECF) or ownership securities, with a total of 199 securities issuances. This data illustrates that a significant portion of the securities offerings in crowdfunding services are equity or ownership shares.</w:t>
      </w:r>
    </w:p>
    <w:p w14:paraId="6B2B86C8" w14:textId="7B772179" w:rsidR="00035B42" w:rsidRDefault="00EE4555" w:rsidP="00EE4555">
      <w:pPr>
        <w:spacing w:after="160" w:line="259" w:lineRule="auto"/>
        <w:jc w:val="left"/>
        <w:rPr>
          <w:rFonts w:ascii="Book Antiqua" w:eastAsiaTheme="minorEastAsia" w:hAnsi="Book Antiqua"/>
          <w:sz w:val="24"/>
          <w:szCs w:val="24"/>
        </w:rPr>
      </w:pPr>
      <w:r>
        <w:rPr>
          <w:rFonts w:ascii="Book Antiqua" w:eastAsiaTheme="minorEastAsia" w:hAnsi="Book Antiqua"/>
          <w:sz w:val="24"/>
          <w:szCs w:val="24"/>
        </w:rPr>
        <w:br w:type="page"/>
      </w:r>
    </w:p>
    <w:p w14:paraId="01304A5B" w14:textId="42251AF7" w:rsidR="009A5150" w:rsidRPr="004D596A" w:rsidRDefault="009A5150" w:rsidP="009A5150">
      <w:pPr>
        <w:spacing w:before="120" w:after="120" w:line="240" w:lineRule="auto"/>
        <w:ind w:left="426" w:firstLine="720"/>
        <w:rPr>
          <w:rFonts w:ascii="Book Antiqua" w:eastAsiaTheme="minorEastAsia" w:hAnsi="Book Antiqua"/>
          <w:sz w:val="24"/>
          <w:szCs w:val="24"/>
          <w:lang w:val="id-ID"/>
        </w:rPr>
      </w:pPr>
      <w:r w:rsidRPr="004D596A">
        <w:rPr>
          <w:rFonts w:ascii="Book Antiqua" w:eastAsiaTheme="minorEastAsia" w:hAnsi="Book Antiqua"/>
          <w:noProof/>
          <w:sz w:val="24"/>
          <w:szCs w:val="24"/>
        </w:rPr>
        <w:lastRenderedPageBreak/>
        <w:drawing>
          <wp:anchor distT="0" distB="0" distL="114300" distR="114300" simplePos="0" relativeHeight="251668480" behindDoc="1" locked="0" layoutInCell="1" allowOverlap="1" wp14:anchorId="5166A908" wp14:editId="3F42F248">
            <wp:simplePos x="0" y="0"/>
            <wp:positionH relativeFrom="column">
              <wp:posOffset>1667759</wp:posOffset>
            </wp:positionH>
            <wp:positionV relativeFrom="paragraph">
              <wp:posOffset>134620</wp:posOffset>
            </wp:positionV>
            <wp:extent cx="2838615" cy="1904985"/>
            <wp:effectExtent l="0" t="0" r="0" b="635"/>
            <wp:wrapNone/>
            <wp:docPr id="14965639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615" cy="190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96A">
        <w:rPr>
          <w:rFonts w:ascii="Book Antiqua" w:eastAsiaTheme="minorEastAsia" w:hAnsi="Book Antiqua"/>
          <w:noProof/>
          <w:sz w:val="24"/>
          <w:szCs w:val="24"/>
        </w:rPr>
        <mc:AlternateContent>
          <mc:Choice Requires="wps">
            <w:drawing>
              <wp:anchor distT="0" distB="0" distL="114300" distR="114300" simplePos="0" relativeHeight="251651072" behindDoc="0" locked="0" layoutInCell="1" allowOverlap="1" wp14:anchorId="4EA5527E" wp14:editId="1EA69AE2">
                <wp:simplePos x="0" y="0"/>
                <wp:positionH relativeFrom="column">
                  <wp:posOffset>3670300</wp:posOffset>
                </wp:positionH>
                <wp:positionV relativeFrom="paragraph">
                  <wp:posOffset>242570</wp:posOffset>
                </wp:positionV>
                <wp:extent cx="635000" cy="387350"/>
                <wp:effectExtent l="0" t="0" r="12700" b="12700"/>
                <wp:wrapNone/>
                <wp:docPr id="12850856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387350"/>
                        </a:xfrm>
                        <a:prstGeom prst="rect">
                          <a:avLst/>
                        </a:prstGeom>
                        <a:solidFill>
                          <a:srgbClr val="FFFFFF"/>
                        </a:solidFill>
                        <a:ln w="25400" cap="flat" cmpd="sng">
                          <a:solidFill>
                            <a:srgbClr val="FFFFFF"/>
                          </a:solidFill>
                          <a:prstDash val="solid"/>
                          <a:round/>
                          <a:headEnd type="none" w="sm" len="sm"/>
                          <a:tailEnd type="none" w="sm" len="sm"/>
                        </a:ln>
                      </wps:spPr>
                      <wps:txbx>
                        <w:txbxContent>
                          <w:p w14:paraId="4F855F9A" w14:textId="77777777" w:rsidR="00035B42" w:rsidRPr="00F058A7" w:rsidRDefault="00035B42" w:rsidP="00035B42">
                            <w:pPr>
                              <w:spacing w:line="275" w:lineRule="auto"/>
                              <w:jc w:val="center"/>
                              <w:textDirection w:val="btLr"/>
                              <w:rPr>
                                <w:lang w:val="id-ID"/>
                              </w:rPr>
                            </w:pPr>
                            <w:r>
                              <w:rPr>
                                <w:rFonts w:ascii="Times New Roman" w:eastAsia="Times New Roman" w:hAnsi="Times New Roman" w:cs="Times New Roman"/>
                                <w:color w:val="00B050"/>
                              </w:rPr>
                              <w:t>22 %</w:t>
                            </w:r>
                          </w:p>
                          <w:p w14:paraId="4AB18743" w14:textId="77777777" w:rsidR="00035B42" w:rsidRDefault="00035B42" w:rsidP="00035B42">
                            <w:pPr>
                              <w:spacing w:line="275" w:lineRule="auto"/>
                              <w:textDirection w:val="btLr"/>
                            </w:pP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EA5527E" id="Rectangle 10" o:spid="_x0000_s1026" style="position:absolute;left:0;text-align:left;margin-left:289pt;margin-top:19.1pt;width:50pt;height: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" strokecolor="white" strokeweight="2pt">
                <v:stroke startarrowwidth="narrow" startarrowlength="short" endarrowwidth="narrow" endarrowlength="short" joinstyle="round"/>
                <v:path arrowok="t"/>
                <v:textbox inset="2.53958mm,1.2694mm,2.53958mm,1.2694mm">
                  <w:txbxContent>
                    <w:p w14:paraId="4F855F9A" w14:textId="77777777" w:rsidR="00035B42" w:rsidRPr="00F058A7" w:rsidRDefault="00035B42" w:rsidP="00035B42">
                      <w:pPr>
                        <w:spacing w:line="275" w:lineRule="auto"/>
                        <w:jc w:val="center"/>
                        <w:textDirection w:val="btLr"/>
                        <w:rPr>
                          <w:lang w:val="id-ID"/>
                        </w:rPr>
                      </w:pPr>
                      <w:r>
                        <w:rPr>
                          <w:rFonts w:ascii="Times New Roman" w:eastAsia="Times New Roman" w:hAnsi="Times New Roman" w:cs="Times New Roman"/>
                          <w:color w:val="00B050"/>
                        </w:rPr>
                        <w:t>22 %</w:t>
                      </w:r>
                    </w:p>
                    <w:p w14:paraId="4AB18743" w14:textId="77777777" w:rsidR="00035B42" w:rsidRDefault="00035B42" w:rsidP="00035B42">
                      <w:pPr>
                        <w:spacing w:line="275" w:lineRule="auto"/>
                        <w:textDirection w:val="btLr"/>
                      </w:pPr>
                    </w:p>
                  </w:txbxContent>
                </v:textbox>
              </v:rect>
            </w:pict>
          </mc:Fallback>
        </mc:AlternateContent>
      </w:r>
    </w:p>
    <w:p w14:paraId="1B854A6A" w14:textId="065597E4" w:rsidR="009A5150" w:rsidRDefault="009A5150" w:rsidP="009A5150">
      <w:pPr>
        <w:tabs>
          <w:tab w:val="left" w:pos="5247"/>
        </w:tabs>
        <w:spacing w:after="0" w:line="240" w:lineRule="auto"/>
        <w:ind w:firstLine="426"/>
        <w:jc w:val="left"/>
        <w:rPr>
          <w:rFonts w:ascii="Book Antiqua" w:eastAsiaTheme="minorEastAsia" w:hAnsi="Book Antiqua"/>
          <w:sz w:val="24"/>
          <w:szCs w:val="24"/>
        </w:rPr>
      </w:pPr>
      <w:r>
        <w:rPr>
          <w:rFonts w:ascii="Book Antiqua" w:eastAsiaTheme="minorEastAsia" w:hAnsi="Book Antiqua"/>
          <w:sz w:val="24"/>
          <w:szCs w:val="24"/>
        </w:rPr>
        <w:tab/>
      </w:r>
    </w:p>
    <w:p w14:paraId="6B329945" w14:textId="0B392CF5" w:rsidR="009A5150" w:rsidRDefault="009A5150" w:rsidP="009A5150">
      <w:pPr>
        <w:spacing w:after="0" w:line="240" w:lineRule="auto"/>
        <w:ind w:firstLine="426"/>
        <w:jc w:val="center"/>
        <w:rPr>
          <w:rFonts w:ascii="Book Antiqua" w:eastAsiaTheme="minorEastAsia" w:hAnsi="Book Antiqua"/>
          <w:sz w:val="24"/>
          <w:szCs w:val="24"/>
        </w:rPr>
      </w:pPr>
    </w:p>
    <w:p w14:paraId="13568568" w14:textId="3722192F" w:rsidR="009A5150" w:rsidRDefault="009A5150" w:rsidP="009A5150">
      <w:pPr>
        <w:spacing w:after="0" w:line="240" w:lineRule="auto"/>
        <w:ind w:firstLine="426"/>
        <w:jc w:val="center"/>
        <w:rPr>
          <w:rFonts w:ascii="Book Antiqua" w:eastAsiaTheme="minorEastAsia" w:hAnsi="Book Antiqua"/>
          <w:sz w:val="24"/>
          <w:szCs w:val="24"/>
        </w:rPr>
      </w:pPr>
    </w:p>
    <w:p w14:paraId="72B437BD" w14:textId="230882CF" w:rsidR="009A5150" w:rsidRDefault="009A5150" w:rsidP="009A5150">
      <w:pPr>
        <w:spacing w:after="0" w:line="240" w:lineRule="auto"/>
        <w:ind w:firstLine="426"/>
        <w:jc w:val="center"/>
        <w:rPr>
          <w:rFonts w:ascii="Book Antiqua" w:eastAsiaTheme="minorEastAsia" w:hAnsi="Book Antiqua"/>
          <w:sz w:val="24"/>
          <w:szCs w:val="24"/>
        </w:rPr>
      </w:pPr>
    </w:p>
    <w:p w14:paraId="3F2F37C7" w14:textId="2C896929" w:rsidR="009A5150" w:rsidRDefault="009A5150" w:rsidP="009A5150">
      <w:pPr>
        <w:spacing w:after="0" w:line="240" w:lineRule="auto"/>
        <w:ind w:firstLine="426"/>
        <w:jc w:val="center"/>
        <w:rPr>
          <w:rFonts w:ascii="Book Antiqua" w:eastAsiaTheme="minorEastAsia" w:hAnsi="Book Antiqua"/>
          <w:sz w:val="24"/>
          <w:szCs w:val="24"/>
        </w:rPr>
      </w:pPr>
    </w:p>
    <w:p w14:paraId="4C6C1BB1" w14:textId="1678BC7D" w:rsidR="009A5150" w:rsidRDefault="009A5150" w:rsidP="009A5150">
      <w:pPr>
        <w:spacing w:after="0" w:line="240" w:lineRule="auto"/>
        <w:ind w:firstLine="426"/>
        <w:jc w:val="center"/>
        <w:rPr>
          <w:rFonts w:ascii="Book Antiqua" w:eastAsiaTheme="minorEastAsia" w:hAnsi="Book Antiqua"/>
          <w:sz w:val="24"/>
          <w:szCs w:val="24"/>
        </w:rPr>
      </w:pPr>
    </w:p>
    <w:p w14:paraId="470E62A3" w14:textId="5B95896A" w:rsidR="009A5150" w:rsidRDefault="009A5150" w:rsidP="009A5150">
      <w:pPr>
        <w:spacing w:after="0" w:line="240" w:lineRule="auto"/>
        <w:ind w:firstLine="426"/>
        <w:jc w:val="center"/>
        <w:rPr>
          <w:rFonts w:ascii="Book Antiqua" w:eastAsiaTheme="minorEastAsia" w:hAnsi="Book Antiqua"/>
          <w:sz w:val="24"/>
          <w:szCs w:val="24"/>
        </w:rPr>
      </w:pPr>
      <w:r w:rsidRPr="004D596A">
        <w:rPr>
          <w:rFonts w:ascii="Book Antiqua" w:eastAsiaTheme="minorEastAsia" w:hAnsi="Book Antiqua"/>
          <w:noProof/>
          <w:sz w:val="24"/>
          <w:szCs w:val="24"/>
        </w:rPr>
        <mc:AlternateContent>
          <mc:Choice Requires="wps">
            <w:drawing>
              <wp:anchor distT="0" distB="0" distL="114300" distR="114300" simplePos="0" relativeHeight="251660288" behindDoc="0" locked="0" layoutInCell="1" allowOverlap="1" wp14:anchorId="44E98685" wp14:editId="126B2C00">
                <wp:simplePos x="0" y="0"/>
                <wp:positionH relativeFrom="column">
                  <wp:posOffset>3833937</wp:posOffset>
                </wp:positionH>
                <wp:positionV relativeFrom="paragraph">
                  <wp:posOffset>144449</wp:posOffset>
                </wp:positionV>
                <wp:extent cx="628650" cy="316865"/>
                <wp:effectExtent l="0" t="0" r="19050" b="26035"/>
                <wp:wrapNone/>
                <wp:docPr id="1000307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16865"/>
                        </a:xfrm>
                        <a:prstGeom prst="rect">
                          <a:avLst/>
                        </a:prstGeom>
                        <a:solidFill>
                          <a:srgbClr val="FFFFFF"/>
                        </a:solidFill>
                        <a:ln w="25400" cap="flat" cmpd="sng">
                          <a:solidFill>
                            <a:srgbClr val="FFFFFF"/>
                          </a:solidFill>
                          <a:prstDash val="solid"/>
                          <a:round/>
                          <a:headEnd type="none" w="sm" len="sm"/>
                          <a:tailEnd type="none" w="sm" len="sm"/>
                        </a:ln>
                      </wps:spPr>
                      <wps:txbx>
                        <w:txbxContent>
                          <w:p w14:paraId="5CAB7F0F" w14:textId="77777777" w:rsidR="00035B42" w:rsidRPr="000B6612" w:rsidRDefault="00035B42" w:rsidP="00035B42">
                            <w:pPr>
                              <w:spacing w:line="275" w:lineRule="auto"/>
                              <w:jc w:val="center"/>
                              <w:textDirection w:val="btLr"/>
                              <w:rPr>
                                <w:color w:val="00B0F0"/>
                              </w:rPr>
                            </w:pPr>
                            <w:r w:rsidRPr="000B6612">
                              <w:rPr>
                                <w:rFonts w:ascii="Times New Roman" w:eastAsia="Times New Roman" w:hAnsi="Times New Roman" w:cs="Times New Roman"/>
                                <w:color w:val="00B0F0"/>
                                <w:lang w:val="id-ID"/>
                              </w:rPr>
                              <w:t>78</w:t>
                            </w:r>
                            <w:r w:rsidRPr="000B6612">
                              <w:rPr>
                                <w:rFonts w:ascii="Times New Roman" w:eastAsia="Times New Roman" w:hAnsi="Times New Roman" w:cs="Times New Roman"/>
                                <w:color w:val="00B0F0"/>
                              </w:rPr>
                              <w:t xml:space="preserve"> %</w:t>
                            </w:r>
                          </w:p>
                          <w:p w14:paraId="3A36486D" w14:textId="77777777" w:rsidR="00035B42" w:rsidRPr="000B6612" w:rsidRDefault="00035B42" w:rsidP="00035B42">
                            <w:pPr>
                              <w:spacing w:line="275" w:lineRule="auto"/>
                              <w:textDirection w:val="btLr"/>
                              <w:rPr>
                                <w:color w:val="00B0F0"/>
                              </w:rPr>
                            </w:pP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4E98685" id="Rectangle 11" o:spid="_x0000_s1027" style="position:absolute;left:0;text-align:left;margin-left:301.9pt;margin-top:11.35pt;width:49.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" strokecolor="white" strokeweight="2pt">
                <v:stroke startarrowwidth="narrow" startarrowlength="short" endarrowwidth="narrow" endarrowlength="short" joinstyle="round"/>
                <v:path arrowok="t"/>
                <v:textbox inset="2.53958mm,1.2694mm,2.53958mm,1.2694mm">
                  <w:txbxContent>
                    <w:p w14:paraId="5CAB7F0F" w14:textId="77777777" w:rsidR="00035B42" w:rsidRPr="000B6612" w:rsidRDefault="00035B42" w:rsidP="00035B42">
                      <w:pPr>
                        <w:spacing w:line="275" w:lineRule="auto"/>
                        <w:jc w:val="center"/>
                        <w:textDirection w:val="btLr"/>
                        <w:rPr>
                          <w:color w:val="00B0F0"/>
                        </w:rPr>
                      </w:pPr>
                      <w:r w:rsidRPr="000B6612">
                        <w:rPr>
                          <w:rFonts w:ascii="Times New Roman" w:eastAsia="Times New Roman" w:hAnsi="Times New Roman" w:cs="Times New Roman"/>
                          <w:color w:val="00B0F0"/>
                          <w:lang w:val="id-ID"/>
                        </w:rPr>
                        <w:t>78</w:t>
                      </w:r>
                      <w:r w:rsidRPr="000B6612">
                        <w:rPr>
                          <w:rFonts w:ascii="Times New Roman" w:eastAsia="Times New Roman" w:hAnsi="Times New Roman" w:cs="Times New Roman"/>
                          <w:color w:val="00B0F0"/>
                        </w:rPr>
                        <w:t xml:space="preserve"> %</w:t>
                      </w:r>
                    </w:p>
                    <w:p w14:paraId="3A36486D" w14:textId="77777777" w:rsidR="00035B42" w:rsidRPr="000B6612" w:rsidRDefault="00035B42" w:rsidP="00035B42">
                      <w:pPr>
                        <w:spacing w:line="275" w:lineRule="auto"/>
                        <w:textDirection w:val="btLr"/>
                        <w:rPr>
                          <w:color w:val="00B0F0"/>
                        </w:rPr>
                      </w:pPr>
                    </w:p>
                  </w:txbxContent>
                </v:textbox>
              </v:rect>
            </w:pict>
          </mc:Fallback>
        </mc:AlternateContent>
      </w:r>
    </w:p>
    <w:p w14:paraId="5B06A4F6" w14:textId="7D7CE3D3" w:rsidR="009A5150" w:rsidRDefault="009A5150" w:rsidP="009A5150">
      <w:pPr>
        <w:spacing w:after="0" w:line="240" w:lineRule="auto"/>
        <w:ind w:firstLine="426"/>
        <w:jc w:val="center"/>
        <w:rPr>
          <w:rFonts w:ascii="Book Antiqua" w:eastAsiaTheme="minorEastAsia" w:hAnsi="Book Antiqua"/>
          <w:sz w:val="24"/>
          <w:szCs w:val="24"/>
        </w:rPr>
      </w:pPr>
    </w:p>
    <w:p w14:paraId="493B9B2C" w14:textId="02FFF9A5" w:rsidR="009A5150" w:rsidRDefault="009A5150" w:rsidP="009A5150">
      <w:pPr>
        <w:spacing w:after="0" w:line="240" w:lineRule="auto"/>
        <w:ind w:firstLine="426"/>
        <w:jc w:val="center"/>
        <w:rPr>
          <w:rFonts w:ascii="Book Antiqua" w:eastAsiaTheme="minorEastAsia" w:hAnsi="Book Antiqua"/>
          <w:sz w:val="24"/>
          <w:szCs w:val="24"/>
        </w:rPr>
      </w:pPr>
    </w:p>
    <w:p w14:paraId="655C475B" w14:textId="19689129" w:rsidR="00035B42" w:rsidRPr="004D596A" w:rsidRDefault="00035B42" w:rsidP="00EE4555">
      <w:pPr>
        <w:spacing w:after="0" w:line="240" w:lineRule="auto"/>
        <w:ind w:firstLine="426"/>
        <w:contextualSpacing/>
        <w:jc w:val="center"/>
        <w:rPr>
          <w:rFonts w:ascii="Book Antiqua" w:eastAsiaTheme="minorEastAsia" w:hAnsi="Book Antiqua"/>
          <w:sz w:val="24"/>
          <w:szCs w:val="24"/>
        </w:rPr>
      </w:pPr>
    </w:p>
    <w:p w14:paraId="202A65A5" w14:textId="6DF1927D" w:rsidR="00035B42" w:rsidRPr="00EE4555" w:rsidRDefault="00035B42" w:rsidP="00EE4555">
      <w:pPr>
        <w:spacing w:after="0" w:line="240" w:lineRule="auto"/>
        <w:ind w:left="2268" w:firstLine="426"/>
        <w:contextualSpacing/>
        <w:rPr>
          <w:rFonts w:ascii="Book Antiqua" w:eastAsiaTheme="minorEastAsia" w:hAnsi="Book Antiqua"/>
          <w:i/>
          <w:iCs/>
          <w:sz w:val="20"/>
          <w:szCs w:val="20"/>
          <w:lang w:val="id-ID"/>
        </w:rPr>
      </w:pPr>
      <w:r w:rsidRPr="00EE4555">
        <w:rPr>
          <w:rFonts w:ascii="Book Antiqua" w:eastAsiaTheme="minorEastAsia" w:hAnsi="Book Antiqua"/>
          <w:i/>
          <w:iCs/>
          <w:sz w:val="20"/>
          <w:szCs w:val="20"/>
          <w:lang w:val="id-ID"/>
        </w:rPr>
        <w:t>Source: Otoritas Jasa Keuangan</w:t>
      </w:r>
    </w:p>
    <w:p w14:paraId="4B5F9CF4" w14:textId="332838B8" w:rsidR="009A5150" w:rsidRDefault="009A5150" w:rsidP="009A5150">
      <w:pPr>
        <w:spacing w:before="120" w:after="120" w:line="240" w:lineRule="auto"/>
        <w:ind w:firstLine="426"/>
        <w:jc w:val="center"/>
        <w:rPr>
          <w:rFonts w:ascii="Book Antiqua" w:eastAsiaTheme="minorEastAsia" w:hAnsi="Book Antiqua"/>
          <w:b/>
          <w:bCs/>
        </w:rPr>
      </w:pPr>
      <w:r w:rsidRPr="009A5150">
        <w:rPr>
          <w:rFonts w:ascii="Book Antiqua" w:eastAsiaTheme="minorEastAsia" w:hAnsi="Book Antiqua"/>
          <w:b/>
          <w:bCs/>
          <w:lang w:val="id-ID"/>
        </w:rPr>
        <w:t xml:space="preserve">Figure </w:t>
      </w:r>
      <w:r>
        <w:rPr>
          <w:rFonts w:ascii="Book Antiqua" w:eastAsiaTheme="minorEastAsia" w:hAnsi="Book Antiqua"/>
          <w:b/>
          <w:bCs/>
          <w:lang w:val="id-ID"/>
        </w:rPr>
        <w:t>2.</w:t>
      </w:r>
      <w:r w:rsidRPr="009A5150">
        <w:rPr>
          <w:rFonts w:ascii="Book Antiqua" w:eastAsiaTheme="minorEastAsia" w:hAnsi="Book Antiqua"/>
          <w:b/>
          <w:bCs/>
          <w:lang w:val="id-ID"/>
        </w:rPr>
        <w:t xml:space="preserve"> Distribution of Effects</w:t>
      </w:r>
    </w:p>
    <w:p w14:paraId="1B576FEF" w14:textId="77777777" w:rsidR="009A5150" w:rsidRPr="009A5150" w:rsidRDefault="009A5150" w:rsidP="009A5150">
      <w:pPr>
        <w:spacing w:before="120" w:after="120" w:line="240" w:lineRule="auto"/>
        <w:ind w:firstLine="426"/>
        <w:jc w:val="center"/>
        <w:rPr>
          <w:rFonts w:ascii="Book Antiqua" w:eastAsiaTheme="minorEastAsia" w:hAnsi="Book Antiqua"/>
          <w:b/>
          <w:bCs/>
        </w:rPr>
      </w:pPr>
    </w:p>
    <w:p w14:paraId="158A40E3" w14:textId="1E1E3827" w:rsidR="00035B42" w:rsidRPr="004D596A" w:rsidRDefault="00035B42" w:rsidP="009A5150">
      <w:pPr>
        <w:spacing w:before="120" w:after="120" w:line="240" w:lineRule="auto"/>
        <w:ind w:left="426" w:firstLine="720"/>
        <w:rPr>
          <w:rFonts w:ascii="Book Antiqua" w:eastAsiaTheme="minorEastAsia" w:hAnsi="Book Antiqua"/>
          <w:iCs/>
          <w:sz w:val="24"/>
          <w:szCs w:val="24"/>
          <w:lang w:val="en-GB"/>
        </w:rPr>
      </w:pPr>
      <w:r w:rsidRPr="004D596A">
        <w:rPr>
          <w:rFonts w:ascii="Book Antiqua" w:eastAsiaTheme="minorEastAsia" w:hAnsi="Book Antiqua"/>
          <w:sz w:val="24"/>
          <w:szCs w:val="24"/>
        </w:rPr>
        <w:t>The distribution of securities is obtained by combining the total number of securities from each registered issuer (as of August 10, 2023), which is then calculated by converting it into percentages. Securities issued by issuers in the conventional sector dominate crowdfunding services with a percentage of 78%, while securities issued by issuers in the Shariah sector account for 22%. However, this is limited to the number of securities issued by issuers and does not encompass the overall market capitalization value. From all the data presented, it can provide an overview of the growth and development of securities crowdfunding services.</w:t>
      </w:r>
    </w:p>
    <w:p w14:paraId="73E8050D" w14:textId="6536A99C" w:rsidR="00035B42" w:rsidRPr="004D596A" w:rsidRDefault="00DE699D" w:rsidP="009A5150">
      <w:pPr>
        <w:spacing w:before="120" w:after="120" w:line="240" w:lineRule="auto"/>
        <w:ind w:left="426"/>
        <w:rPr>
          <w:rFonts w:ascii="Book Antiqua" w:eastAsiaTheme="minorEastAsia" w:hAnsi="Book Antiqua"/>
          <w:b/>
          <w:sz w:val="24"/>
          <w:szCs w:val="24"/>
          <w:lang w:val="en-ID"/>
        </w:rPr>
      </w:pPr>
      <w:r w:rsidRPr="004D596A">
        <w:rPr>
          <w:rFonts w:ascii="Book Antiqua" w:eastAsiaTheme="minorEastAsia" w:hAnsi="Book Antiqua"/>
          <w:b/>
          <w:sz w:val="24"/>
          <w:szCs w:val="24"/>
          <w:lang w:val="en-ID"/>
        </w:rPr>
        <w:t xml:space="preserve">D.2. </w:t>
      </w:r>
      <w:r w:rsidR="00035B42" w:rsidRPr="004D596A">
        <w:rPr>
          <w:rFonts w:ascii="Book Antiqua" w:eastAsiaTheme="minorEastAsia" w:hAnsi="Book Antiqua"/>
          <w:b/>
          <w:sz w:val="24"/>
          <w:szCs w:val="24"/>
          <w:lang w:val="en-ID"/>
        </w:rPr>
        <w:t>Analysis of Standard Screening for MSMEs in Securities Crowdfunding Services</w:t>
      </w:r>
    </w:p>
    <w:p w14:paraId="2716B398" w14:textId="7203729B" w:rsidR="00035B42" w:rsidRPr="004D596A" w:rsidRDefault="00035B42" w:rsidP="009A5150">
      <w:pPr>
        <w:spacing w:before="120" w:after="120" w:line="240" w:lineRule="auto"/>
        <w:ind w:left="426"/>
        <w:rPr>
          <w:rFonts w:ascii="Book Antiqua" w:eastAsiaTheme="minorEastAsia" w:hAnsi="Book Antiqua"/>
          <w:vanish/>
          <w:sz w:val="24"/>
          <w:szCs w:val="24"/>
        </w:rPr>
      </w:pPr>
      <w:r w:rsidRPr="004D596A">
        <w:rPr>
          <w:rFonts w:ascii="Book Antiqua" w:eastAsiaTheme="minorEastAsia" w:hAnsi="Book Antiqua"/>
          <w:sz w:val="24"/>
          <w:szCs w:val="24"/>
          <w:lang w:val="en-GB"/>
        </w:rPr>
        <w:t>Organisers, as entities authorised to engage in funding activities by offering securities through their provided services, must have legal standing as legal entities and obtain operational permits to conduct financial services from the Financial Services Authority. Therefore, the number of entities capable of operating in the crowdfunding service sector is expected to increase in the future, with currently 10 organisers registered with the Financial Services Authority</w:t>
      </w:r>
      <w:r w:rsidR="00C03D96" w:rsidRPr="004D596A">
        <w:rPr>
          <w:rFonts w:ascii="Book Antiqua" w:eastAsiaTheme="minorEastAsia" w:hAnsi="Book Antiqua"/>
          <w:sz w:val="24"/>
          <w:szCs w:val="24"/>
          <w:lang w:val="en-GB"/>
        </w:rPr>
        <w:t xml:space="preserve"> (</w:t>
      </w:r>
      <w:r w:rsidR="00C03D96" w:rsidRPr="004D596A">
        <w:rPr>
          <w:rFonts w:ascii="Book Antiqua" w:hAnsi="Book Antiqua" w:cs="Times New Roman"/>
          <w:sz w:val="24"/>
          <w:szCs w:val="24"/>
        </w:rPr>
        <w:t>Chapter 5 &amp; 8, POJK 57/2020)</w:t>
      </w:r>
      <w:r w:rsidRPr="004D596A">
        <w:rPr>
          <w:rFonts w:ascii="Book Antiqua" w:eastAsiaTheme="minorEastAsia" w:hAnsi="Book Antiqua"/>
          <w:vanish/>
          <w:sz w:val="24"/>
          <w:szCs w:val="24"/>
        </w:rPr>
        <w:t xml:space="preserve"> </w:t>
      </w:r>
    </w:p>
    <w:p w14:paraId="585A664C" w14:textId="77777777" w:rsidR="00C03D96" w:rsidRPr="004D596A" w:rsidRDefault="00035B42" w:rsidP="009A5150">
      <w:pPr>
        <w:spacing w:before="120" w:after="120" w:line="240" w:lineRule="auto"/>
        <w:ind w:left="426"/>
        <w:rPr>
          <w:rFonts w:ascii="Book Antiqua" w:eastAsiaTheme="minorEastAsia" w:hAnsi="Book Antiqua"/>
          <w:sz w:val="24"/>
          <w:szCs w:val="24"/>
          <w:lang w:val="id-ID"/>
        </w:rPr>
      </w:pPr>
      <w:r w:rsidRPr="004D596A">
        <w:rPr>
          <w:rFonts w:ascii="Book Antiqua" w:eastAsiaTheme="minorEastAsia" w:hAnsi="Book Antiqua"/>
          <w:sz w:val="24"/>
          <w:szCs w:val="24"/>
        </w:rPr>
        <w:t xml:space="preserve">. </w:t>
      </w:r>
      <w:r w:rsidRPr="004D596A">
        <w:rPr>
          <w:rFonts w:ascii="Book Antiqua" w:eastAsiaTheme="minorEastAsia" w:hAnsi="Book Antiqua"/>
          <w:sz w:val="24"/>
          <w:szCs w:val="24"/>
          <w:lang w:val="en-GB"/>
        </w:rPr>
        <w:t>This is different from the offering of securities on the Indonesia Stock Exchange, where a single entity conducts the securities offering activities, namely PT. Indonesia Stock Exchange</w:t>
      </w:r>
      <w:r w:rsidRPr="004D596A">
        <w:rPr>
          <w:rFonts w:ascii="Book Antiqua" w:eastAsiaTheme="minorEastAsia" w:hAnsi="Book Antiqua"/>
          <w:sz w:val="24"/>
          <w:szCs w:val="24"/>
        </w:rPr>
        <w:t xml:space="preserve">. </w:t>
      </w:r>
    </w:p>
    <w:p w14:paraId="040660DD" w14:textId="77777777" w:rsidR="009A5150" w:rsidRDefault="009A5150">
      <w:pPr>
        <w:spacing w:after="160" w:line="259" w:lineRule="auto"/>
        <w:jc w:val="left"/>
        <w:rPr>
          <w:rFonts w:ascii="Book Antiqua" w:eastAsiaTheme="minorEastAsia" w:hAnsi="Book Antiqua"/>
          <w:sz w:val="24"/>
          <w:szCs w:val="24"/>
          <w:lang w:val="en-GB"/>
        </w:rPr>
      </w:pPr>
      <w:r>
        <w:rPr>
          <w:rFonts w:ascii="Book Antiqua" w:eastAsiaTheme="minorEastAsia" w:hAnsi="Book Antiqua"/>
          <w:sz w:val="24"/>
          <w:szCs w:val="24"/>
          <w:lang w:val="en-GB"/>
        </w:rPr>
        <w:br w:type="page"/>
      </w:r>
    </w:p>
    <w:p w14:paraId="2C1E9969" w14:textId="77777777" w:rsidR="009A5150" w:rsidRDefault="00035B42" w:rsidP="009A5150">
      <w:pPr>
        <w:spacing w:before="120" w:after="120" w:line="240" w:lineRule="auto"/>
        <w:ind w:left="426" w:firstLine="720"/>
        <w:rPr>
          <w:rFonts w:ascii="Book Antiqua" w:eastAsiaTheme="minorEastAsia" w:hAnsi="Book Antiqua"/>
          <w:sz w:val="24"/>
          <w:szCs w:val="24"/>
          <w:lang w:val="id-ID"/>
        </w:rPr>
      </w:pPr>
      <w:r w:rsidRPr="004D596A">
        <w:rPr>
          <w:rFonts w:ascii="Book Antiqua" w:eastAsiaTheme="minorEastAsia" w:hAnsi="Book Antiqua"/>
          <w:sz w:val="24"/>
          <w:szCs w:val="24"/>
          <w:lang w:val="en-GB"/>
        </w:rPr>
        <w:lastRenderedPageBreak/>
        <w:t>The Financial Services Authority performs supervisory roles in the two sectors mentioned above, as well as serving as a regulator</w:t>
      </w:r>
      <w:r w:rsidR="00C03D96" w:rsidRPr="004D596A">
        <w:rPr>
          <w:rFonts w:ascii="Book Antiqua" w:eastAsiaTheme="minorEastAsia" w:hAnsi="Book Antiqua"/>
          <w:sz w:val="24"/>
          <w:szCs w:val="24"/>
          <w:lang w:val="en-GB"/>
        </w:rPr>
        <w:t xml:space="preserve"> (</w:t>
      </w:r>
      <w:r w:rsidR="00C03D96" w:rsidRPr="004D596A">
        <w:rPr>
          <w:rFonts w:ascii="Book Antiqua" w:hAnsi="Book Antiqua" w:cs="Times New Roman"/>
          <w:sz w:val="24"/>
          <w:szCs w:val="24"/>
        </w:rPr>
        <w:t>Chapter 5, UU 21/2011)</w:t>
      </w:r>
      <w:r w:rsidRPr="004D596A">
        <w:rPr>
          <w:rFonts w:ascii="Book Antiqua" w:eastAsiaTheme="minorEastAsia" w:hAnsi="Book Antiqua"/>
          <w:sz w:val="24"/>
          <w:szCs w:val="24"/>
        </w:rPr>
        <w:t xml:space="preserve">. </w:t>
      </w:r>
      <w:r w:rsidRPr="004D596A">
        <w:rPr>
          <w:rFonts w:ascii="Book Antiqua" w:eastAsiaTheme="minorEastAsia" w:hAnsi="Book Antiqua"/>
          <w:sz w:val="24"/>
          <w:szCs w:val="24"/>
          <w:lang w:val="en-GB"/>
        </w:rPr>
        <w:t>In the mechanism of offering securities through registered organisers, they also perform supervisory and control functions over the issuer's securities (projects) held by investors. Meanwhile, the Indonesia Stock Exchange (IDX) also plays a supervisory role over issuers in both pre-market and post-market activities. In addition to supervision, it also acts as a punisher, imposing administrative sanctions as well as technical trading sanctions such as suspension, freezing, and delisting</w:t>
      </w:r>
      <w:r w:rsidRPr="004D596A">
        <w:rPr>
          <w:rFonts w:ascii="Book Antiqua" w:eastAsiaTheme="minorEastAsia" w:hAnsi="Book Antiqua"/>
          <w:i/>
          <w:sz w:val="24"/>
          <w:szCs w:val="24"/>
          <w:lang w:val="id-ID"/>
        </w:rPr>
        <w:t>.</w:t>
      </w:r>
    </w:p>
    <w:p w14:paraId="38EE38EF" w14:textId="77777777" w:rsidR="009A5150" w:rsidRDefault="00035B42" w:rsidP="009A5150">
      <w:pPr>
        <w:spacing w:before="120" w:after="120" w:line="240" w:lineRule="auto"/>
        <w:ind w:left="426" w:firstLine="720"/>
        <w:rPr>
          <w:rFonts w:ascii="Book Antiqua" w:eastAsiaTheme="minorEastAsia" w:hAnsi="Book Antiqua"/>
          <w:sz w:val="24"/>
          <w:szCs w:val="24"/>
          <w:lang w:val="id-ID"/>
        </w:rPr>
      </w:pPr>
      <w:r w:rsidRPr="004D596A">
        <w:rPr>
          <w:rFonts w:ascii="Book Antiqua" w:eastAsiaTheme="minorEastAsia" w:hAnsi="Book Antiqua"/>
          <w:sz w:val="24"/>
          <w:szCs w:val="24"/>
        </w:rPr>
        <w:t>When issuers offer their securities through crowdfunding services, it cannot be categorized as a public offering similar to offering securities in the capital market mechanism. This categorization is based on the crowdfunding service mechanism being conducted by financial institutions with operational permits obtained for crowdfunding service providers. Furthermore, the offering period is limited to a maximum of 12 months, with a maximum fund-raising amount of Rp10,000,000,000.00 (ten billion Indonesian Rupiah). In contrast, for issuers in the capital market, it is required that the company have a minimum paid-up capital of Rp3,000,000,000.00 (three billion Indonesian Rupiah), with ownership by at least 300 investors</w:t>
      </w:r>
      <w:r w:rsidR="00C03D96" w:rsidRPr="004D596A">
        <w:rPr>
          <w:rFonts w:ascii="Book Antiqua" w:eastAsiaTheme="minorEastAsia" w:hAnsi="Book Antiqua"/>
          <w:sz w:val="24"/>
          <w:szCs w:val="24"/>
        </w:rPr>
        <w:t xml:space="preserve"> (</w:t>
      </w:r>
      <w:r w:rsidR="00C03D96" w:rsidRPr="004D596A">
        <w:rPr>
          <w:rFonts w:ascii="Book Antiqua" w:hAnsi="Book Antiqua" w:cs="Times New Roman"/>
          <w:sz w:val="24"/>
          <w:szCs w:val="24"/>
        </w:rPr>
        <w:t>Chapter 1, Verse 22, UU 8/1995)</w:t>
      </w:r>
      <w:r w:rsidRPr="004D596A">
        <w:rPr>
          <w:rFonts w:ascii="Book Antiqua" w:eastAsiaTheme="minorEastAsia" w:hAnsi="Book Antiqua"/>
          <w:vanish/>
          <w:sz w:val="24"/>
          <w:szCs w:val="24"/>
        </w:rPr>
        <w:t xml:space="preserve"> </w:t>
      </w:r>
      <w:r w:rsidR="009A5150">
        <w:rPr>
          <w:rFonts w:ascii="Book Antiqua" w:eastAsiaTheme="minorEastAsia" w:hAnsi="Book Antiqua"/>
          <w:sz w:val="24"/>
          <w:szCs w:val="24"/>
          <w:lang w:val="id-ID"/>
        </w:rPr>
        <w:t>.</w:t>
      </w:r>
    </w:p>
    <w:p w14:paraId="3806BDA2" w14:textId="77777777" w:rsidR="009A5150" w:rsidRDefault="00035B42" w:rsidP="009A5150">
      <w:pPr>
        <w:spacing w:before="120" w:after="120" w:line="240" w:lineRule="auto"/>
        <w:ind w:left="426" w:firstLine="720"/>
        <w:rPr>
          <w:rFonts w:ascii="Book Antiqua" w:eastAsiaTheme="minorEastAsia" w:hAnsi="Book Antiqua"/>
          <w:sz w:val="24"/>
          <w:szCs w:val="24"/>
          <w:lang w:val="id-ID"/>
        </w:rPr>
      </w:pPr>
      <w:r w:rsidRPr="004D596A">
        <w:rPr>
          <w:rFonts w:ascii="Book Antiqua" w:eastAsiaTheme="minorEastAsia" w:hAnsi="Book Antiqua"/>
          <w:sz w:val="24"/>
          <w:szCs w:val="24"/>
          <w:lang w:val="en-GB"/>
        </w:rPr>
        <w:t>The initial public offering (IPO) conducted by the Indonesia Stock Exchange (IDX) is classified as an IPO that transforms a private company into a public company through the mechanism of going public, or initial public offering (IPO). However, in the initial public offering of crowdfunding service providers or securities crowdfunding, the equity securities offered do not change the status of the company from private to public. This is based on regulations that do not stipulate a change in the company's status or minimum requirements for fundraising in the issuer's securities offering process</w:t>
      </w:r>
      <w:r w:rsidR="00C97BBA" w:rsidRPr="004D596A">
        <w:rPr>
          <w:rFonts w:ascii="Book Antiqua" w:eastAsiaTheme="minorEastAsia" w:hAnsi="Book Antiqua"/>
          <w:sz w:val="24"/>
          <w:szCs w:val="24"/>
          <w:lang w:val="en-GB"/>
        </w:rPr>
        <w:t xml:space="preserve"> (</w:t>
      </w:r>
      <w:r w:rsidR="00C97BBA" w:rsidRPr="004D596A">
        <w:rPr>
          <w:rFonts w:ascii="Book Antiqua" w:hAnsi="Book Antiqua" w:cs="Times New Roman"/>
          <w:sz w:val="24"/>
          <w:szCs w:val="24"/>
        </w:rPr>
        <w:t>Chapter 3, Verse 1 UU 57/2020</w:t>
      </w:r>
      <w:r w:rsidR="00C97BBA" w:rsidRPr="004D596A">
        <w:rPr>
          <w:rFonts w:ascii="Book Antiqua" w:eastAsiaTheme="minorEastAsia" w:hAnsi="Book Antiqua"/>
          <w:sz w:val="24"/>
          <w:szCs w:val="24"/>
          <w:lang w:val="en-GB"/>
        </w:rPr>
        <w:t>)</w:t>
      </w:r>
      <w:r w:rsidRPr="004D596A">
        <w:rPr>
          <w:rFonts w:ascii="Book Antiqua" w:eastAsiaTheme="minorEastAsia" w:hAnsi="Book Antiqua"/>
          <w:sz w:val="24"/>
          <w:szCs w:val="24"/>
        </w:rPr>
        <w:t>.</w:t>
      </w:r>
    </w:p>
    <w:p w14:paraId="29126D45" w14:textId="77777777" w:rsidR="009A5150" w:rsidRDefault="00035B42" w:rsidP="009A5150">
      <w:pPr>
        <w:spacing w:before="120" w:after="120" w:line="240" w:lineRule="auto"/>
        <w:ind w:left="426" w:firstLine="720"/>
        <w:rPr>
          <w:rFonts w:ascii="Book Antiqua" w:eastAsiaTheme="minorEastAsia" w:hAnsi="Book Antiqua"/>
          <w:sz w:val="24"/>
          <w:szCs w:val="24"/>
          <w:lang w:val="id-ID"/>
        </w:rPr>
      </w:pPr>
      <w:r w:rsidRPr="004D596A">
        <w:rPr>
          <w:rFonts w:ascii="Book Antiqua" w:eastAsiaTheme="minorEastAsia" w:hAnsi="Book Antiqua"/>
          <w:sz w:val="24"/>
          <w:szCs w:val="24"/>
          <w:lang w:val="en-GB"/>
        </w:rPr>
        <w:t>In the process of issuing securities through the issuer's registration application to the provider, documents and prospectuses are submitted. Then, the provider screens the issuer. When the issuer meets the criteria, the securities proposed by the issuer will be offered to investors and distributed to investors when the offering is completed. The allocation of securities received by investors will correspond to the securities ordered by investors during the offering period</w:t>
      </w:r>
      <w:r w:rsidRPr="004D596A">
        <w:rPr>
          <w:rFonts w:ascii="Book Antiqua" w:eastAsiaTheme="minorEastAsia" w:hAnsi="Book Antiqua"/>
          <w:sz w:val="24"/>
          <w:szCs w:val="24"/>
        </w:rPr>
        <w:t>.</w:t>
      </w:r>
    </w:p>
    <w:p w14:paraId="3F00AD7F" w14:textId="77777777" w:rsidR="009A5150" w:rsidRDefault="00035B42" w:rsidP="009A5150">
      <w:pPr>
        <w:spacing w:before="120" w:after="120" w:line="240" w:lineRule="auto"/>
        <w:ind w:left="426" w:firstLine="720"/>
        <w:rPr>
          <w:rFonts w:ascii="Book Antiqua" w:eastAsiaTheme="minorEastAsia" w:hAnsi="Book Antiqua"/>
          <w:sz w:val="24"/>
          <w:szCs w:val="24"/>
          <w:lang w:val="id-ID"/>
        </w:rPr>
      </w:pPr>
      <w:r w:rsidRPr="004D596A">
        <w:rPr>
          <w:rFonts w:ascii="Book Antiqua" w:eastAsiaTheme="minorEastAsia" w:hAnsi="Book Antiqua"/>
          <w:sz w:val="24"/>
          <w:szCs w:val="24"/>
          <w:lang w:val="en-GB"/>
        </w:rPr>
        <w:t>Meanwhile, in the initial public offering process, the stages involved include submitting a registration application along with a prospectus. Screening is conducted by the IDX. After successfully passing the previous two stages, the issuer enters the initial offering period, during which investors can negotiate the price of securities within the predetermined price range. After the initial offering period is over, a public offering is made to investors at the predetermined price, and negotiation of prices is not allowed (the offering period is called the primary market). After the initial offering period and public offering are completed, investors receive an allocation of securities from the ordered securities, which may be less or more than the ordered amount. Investors who receive an allocation of securities are entitled to receive distributions of these securities</w:t>
      </w:r>
      <w:r w:rsidRPr="004D596A">
        <w:rPr>
          <w:rFonts w:ascii="Book Antiqua" w:eastAsiaTheme="minorEastAsia" w:hAnsi="Book Antiqua"/>
          <w:sz w:val="24"/>
          <w:szCs w:val="24"/>
        </w:rPr>
        <w:t xml:space="preserve">. </w:t>
      </w:r>
    </w:p>
    <w:p w14:paraId="1504F179" w14:textId="101CE16C" w:rsidR="00035B42" w:rsidRPr="009A5150" w:rsidRDefault="00035B42" w:rsidP="009A5150">
      <w:pPr>
        <w:spacing w:before="240" w:after="240" w:line="240" w:lineRule="auto"/>
        <w:ind w:left="425" w:firstLine="720"/>
        <w:rPr>
          <w:rFonts w:ascii="Book Antiqua" w:eastAsiaTheme="minorEastAsia" w:hAnsi="Book Antiqua"/>
          <w:sz w:val="24"/>
          <w:szCs w:val="24"/>
          <w:lang w:val="id-ID"/>
        </w:rPr>
      </w:pPr>
      <w:r w:rsidRPr="004D596A">
        <w:rPr>
          <w:rFonts w:ascii="Book Antiqua" w:eastAsiaTheme="minorEastAsia" w:hAnsi="Book Antiqua"/>
          <w:sz w:val="24"/>
          <w:szCs w:val="24"/>
          <w:lang w:val="en-GB"/>
        </w:rPr>
        <w:lastRenderedPageBreak/>
        <w:t>Securities received by investors from primary trading can be traded on the secondary market provided by the issuer. Trading of securities can be done when the securities held by investors are at least one year old and can only be transacted between investors twice a year with a minimum trading period of six months</w:t>
      </w:r>
      <w:r w:rsidRPr="004D596A">
        <w:rPr>
          <w:rFonts w:ascii="Book Antiqua" w:eastAsiaTheme="minorEastAsia" w:hAnsi="Book Antiqua"/>
          <w:sz w:val="24"/>
          <w:szCs w:val="24"/>
        </w:rPr>
        <w:t xml:space="preserve">. </w:t>
      </w:r>
      <w:r w:rsidRPr="004D596A">
        <w:rPr>
          <w:rFonts w:ascii="Book Antiqua" w:eastAsiaTheme="minorEastAsia" w:hAnsi="Book Antiqua"/>
          <w:sz w:val="24"/>
          <w:szCs w:val="24"/>
          <w:lang w:val="en-GB"/>
        </w:rPr>
        <w:t>Meanwhile, trading of securities on the Indonesia Stock Exchange (IDX) can occur once they have been listed on the secondary market, and there are no restrictions on trading intensity for investors</w:t>
      </w:r>
      <w:r w:rsidRPr="004D596A">
        <w:rPr>
          <w:rFonts w:ascii="Book Antiqua" w:eastAsiaTheme="minorEastAsia" w:hAnsi="Book Antiqua"/>
          <w:sz w:val="24"/>
          <w:szCs w:val="24"/>
        </w:rPr>
        <w:t>.</w:t>
      </w:r>
    </w:p>
    <w:p w14:paraId="7573B82D" w14:textId="18F789D4" w:rsidR="009A5150" w:rsidRPr="009A5150" w:rsidRDefault="009A5150" w:rsidP="001B1AFB">
      <w:pPr>
        <w:spacing w:before="120" w:after="120" w:line="240" w:lineRule="auto"/>
        <w:ind w:firstLine="425"/>
        <w:jc w:val="center"/>
        <w:rPr>
          <w:rFonts w:ascii="Book Antiqua" w:eastAsiaTheme="minorEastAsia" w:hAnsi="Book Antiqua"/>
          <w:b/>
          <w:bCs/>
        </w:rPr>
      </w:pPr>
      <w:r w:rsidRPr="00262774">
        <w:rPr>
          <w:rFonts w:ascii="Book Antiqua" w:eastAsiaTheme="minorEastAsia" w:hAnsi="Book Antiqua"/>
          <w:b/>
          <w:bCs/>
        </w:rPr>
        <w:t xml:space="preserve">Tabel </w:t>
      </w:r>
      <w:r>
        <w:rPr>
          <w:rFonts w:ascii="Book Antiqua" w:eastAsiaTheme="minorEastAsia" w:hAnsi="Book Antiqua"/>
          <w:b/>
          <w:bCs/>
          <w:lang w:val="id-ID"/>
        </w:rPr>
        <w:t>3.</w:t>
      </w:r>
      <w:r w:rsidRPr="00262774">
        <w:rPr>
          <w:rFonts w:ascii="Book Antiqua" w:eastAsiaTheme="minorEastAsia" w:hAnsi="Book Antiqua"/>
          <w:b/>
          <w:bCs/>
          <w:lang w:val="id-ID"/>
        </w:rPr>
        <w:t xml:space="preserve"> </w:t>
      </w:r>
      <w:r w:rsidRPr="009A5150">
        <w:rPr>
          <w:rFonts w:ascii="Book Antiqua" w:eastAsiaTheme="minorEastAsia" w:hAnsi="Book Antiqua"/>
          <w:b/>
          <w:bCs/>
        </w:rPr>
        <w:t xml:space="preserve">The Comparation of </w:t>
      </w:r>
      <w:proofErr w:type="spellStart"/>
      <w:r w:rsidRPr="009A5150">
        <w:rPr>
          <w:rFonts w:ascii="Book Antiqua" w:eastAsiaTheme="minorEastAsia" w:hAnsi="Book Antiqua"/>
          <w:b/>
          <w:bCs/>
        </w:rPr>
        <w:t>Mechanisme</w:t>
      </w:r>
      <w:proofErr w:type="spellEnd"/>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01"/>
        <w:gridCol w:w="3118"/>
        <w:gridCol w:w="3260"/>
      </w:tblGrid>
      <w:tr w:rsidR="00035B42" w:rsidRPr="009A5150" w14:paraId="086FAE33" w14:textId="77777777" w:rsidTr="009A5150">
        <w:tc>
          <w:tcPr>
            <w:tcW w:w="567" w:type="dxa"/>
            <w:shd w:val="clear" w:color="auto" w:fill="D9D9D9"/>
            <w:vAlign w:val="center"/>
          </w:tcPr>
          <w:p w14:paraId="02CD9F2F" w14:textId="77777777" w:rsidR="00035B42" w:rsidRPr="009A5150" w:rsidRDefault="00035B42" w:rsidP="009A5150">
            <w:pPr>
              <w:spacing w:after="0" w:line="240" w:lineRule="auto"/>
              <w:jc w:val="center"/>
              <w:rPr>
                <w:rFonts w:ascii="Book Antiqua" w:eastAsiaTheme="minorEastAsia" w:hAnsi="Book Antiqua"/>
                <w:b/>
                <w:bCs/>
                <w:lang w:val="id-ID"/>
              </w:rPr>
            </w:pPr>
            <w:r w:rsidRPr="009A5150">
              <w:rPr>
                <w:rFonts w:ascii="Book Antiqua" w:eastAsiaTheme="minorEastAsia" w:hAnsi="Book Antiqua"/>
                <w:b/>
                <w:bCs/>
              </w:rPr>
              <w:t>No</w:t>
            </w:r>
          </w:p>
        </w:tc>
        <w:tc>
          <w:tcPr>
            <w:tcW w:w="1701" w:type="dxa"/>
            <w:shd w:val="clear" w:color="auto" w:fill="D9D9D9"/>
            <w:vAlign w:val="center"/>
          </w:tcPr>
          <w:p w14:paraId="25608573" w14:textId="77777777" w:rsidR="00035B42" w:rsidRPr="009A5150" w:rsidRDefault="00035B42" w:rsidP="009A5150">
            <w:pPr>
              <w:spacing w:after="0" w:line="240" w:lineRule="auto"/>
              <w:jc w:val="center"/>
              <w:rPr>
                <w:rFonts w:ascii="Book Antiqua" w:eastAsiaTheme="minorEastAsia" w:hAnsi="Book Antiqua"/>
                <w:b/>
                <w:bCs/>
                <w:lang w:val="id-ID"/>
              </w:rPr>
            </w:pPr>
            <w:r w:rsidRPr="009A5150">
              <w:rPr>
                <w:rFonts w:ascii="Book Antiqua" w:eastAsiaTheme="minorEastAsia" w:hAnsi="Book Antiqua"/>
                <w:b/>
                <w:bCs/>
                <w:lang w:val="id-ID"/>
              </w:rPr>
              <w:t>Indicator</w:t>
            </w:r>
          </w:p>
        </w:tc>
        <w:tc>
          <w:tcPr>
            <w:tcW w:w="3118" w:type="dxa"/>
            <w:shd w:val="clear" w:color="auto" w:fill="D9D9D9"/>
            <w:vAlign w:val="center"/>
          </w:tcPr>
          <w:p w14:paraId="02EC492D" w14:textId="77777777" w:rsidR="00035B42" w:rsidRPr="009A5150" w:rsidRDefault="00035B42" w:rsidP="009A5150">
            <w:pPr>
              <w:spacing w:after="0" w:line="240" w:lineRule="auto"/>
              <w:jc w:val="center"/>
              <w:rPr>
                <w:rFonts w:ascii="Book Antiqua" w:eastAsiaTheme="minorEastAsia" w:hAnsi="Book Antiqua"/>
                <w:b/>
                <w:bCs/>
                <w:lang w:val="id-ID"/>
              </w:rPr>
            </w:pPr>
            <w:r w:rsidRPr="009A5150">
              <w:rPr>
                <w:rFonts w:ascii="Book Antiqua" w:eastAsiaTheme="minorEastAsia" w:hAnsi="Book Antiqua"/>
                <w:b/>
                <w:bCs/>
                <w:lang w:val="id-ID"/>
              </w:rPr>
              <w:t>Capital Market</w:t>
            </w:r>
          </w:p>
        </w:tc>
        <w:tc>
          <w:tcPr>
            <w:tcW w:w="3260" w:type="dxa"/>
            <w:shd w:val="clear" w:color="auto" w:fill="D9D9D9"/>
            <w:vAlign w:val="center"/>
          </w:tcPr>
          <w:p w14:paraId="3DBFF6E6" w14:textId="77777777" w:rsidR="00035B42" w:rsidRPr="009A5150" w:rsidRDefault="00035B42" w:rsidP="009A5150">
            <w:pPr>
              <w:spacing w:after="0" w:line="240" w:lineRule="auto"/>
              <w:jc w:val="center"/>
              <w:rPr>
                <w:rFonts w:ascii="Book Antiqua" w:eastAsiaTheme="minorEastAsia" w:hAnsi="Book Antiqua"/>
                <w:b/>
                <w:bCs/>
              </w:rPr>
            </w:pPr>
            <w:r w:rsidRPr="009A5150">
              <w:rPr>
                <w:rFonts w:ascii="Book Antiqua" w:eastAsiaTheme="minorEastAsia" w:hAnsi="Book Antiqua"/>
                <w:b/>
                <w:bCs/>
              </w:rPr>
              <w:t>Securities Crowdfunding</w:t>
            </w:r>
          </w:p>
        </w:tc>
      </w:tr>
      <w:tr w:rsidR="00035B42" w:rsidRPr="009A5150" w14:paraId="79B39949" w14:textId="77777777" w:rsidTr="009A5150">
        <w:tc>
          <w:tcPr>
            <w:tcW w:w="567" w:type="dxa"/>
            <w:shd w:val="clear" w:color="auto" w:fill="auto"/>
            <w:vAlign w:val="center"/>
          </w:tcPr>
          <w:p w14:paraId="3F7AA070"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1</w:t>
            </w:r>
          </w:p>
        </w:tc>
        <w:tc>
          <w:tcPr>
            <w:tcW w:w="1701" w:type="dxa"/>
            <w:shd w:val="clear" w:color="auto" w:fill="auto"/>
            <w:vAlign w:val="center"/>
          </w:tcPr>
          <w:p w14:paraId="5E69AE38" w14:textId="77777777" w:rsidR="00035B42" w:rsidRPr="009A5150" w:rsidRDefault="00035B42" w:rsidP="009A5150">
            <w:pPr>
              <w:spacing w:after="0" w:line="240" w:lineRule="auto"/>
              <w:jc w:val="left"/>
              <w:rPr>
                <w:rFonts w:ascii="Book Antiqua" w:eastAsiaTheme="minorEastAsia" w:hAnsi="Book Antiqua"/>
                <w:lang w:val="id-ID"/>
              </w:rPr>
            </w:pPr>
            <w:r w:rsidRPr="009A5150">
              <w:rPr>
                <w:rFonts w:ascii="Book Antiqua" w:eastAsiaTheme="minorEastAsia" w:hAnsi="Book Antiqua"/>
                <w:lang w:val="id-ID"/>
              </w:rPr>
              <w:t>Provider</w:t>
            </w:r>
          </w:p>
        </w:tc>
        <w:tc>
          <w:tcPr>
            <w:tcW w:w="3118" w:type="dxa"/>
            <w:shd w:val="clear" w:color="auto" w:fill="auto"/>
            <w:vAlign w:val="center"/>
          </w:tcPr>
          <w:p w14:paraId="174D89C4"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lang w:val="id-ID"/>
              </w:rPr>
              <w:t>Indonesia Stock Exchange</w:t>
            </w:r>
            <w:r w:rsidRPr="009A5150">
              <w:rPr>
                <w:rFonts w:ascii="Book Antiqua" w:eastAsiaTheme="minorEastAsia" w:hAnsi="Book Antiqua"/>
              </w:rPr>
              <w:t xml:space="preserve"> (BEI/IDX)</w:t>
            </w:r>
          </w:p>
        </w:tc>
        <w:tc>
          <w:tcPr>
            <w:tcW w:w="3260" w:type="dxa"/>
            <w:shd w:val="clear" w:color="auto" w:fill="auto"/>
            <w:vAlign w:val="center"/>
          </w:tcPr>
          <w:p w14:paraId="14AADB81" w14:textId="77777777" w:rsidR="00035B42" w:rsidRPr="009A5150" w:rsidRDefault="00035B42" w:rsidP="009A5150">
            <w:pPr>
              <w:spacing w:after="0" w:line="240" w:lineRule="auto"/>
              <w:rPr>
                <w:rFonts w:ascii="Book Antiqua" w:eastAsiaTheme="minorEastAsia" w:hAnsi="Book Antiqua"/>
                <w:lang w:val="id-ID"/>
              </w:rPr>
            </w:pPr>
            <w:r w:rsidRPr="009A5150">
              <w:rPr>
                <w:rFonts w:ascii="Book Antiqua" w:eastAsiaTheme="minorEastAsia" w:hAnsi="Book Antiqua"/>
                <w:lang w:val="id-ID"/>
              </w:rPr>
              <w:t>Financial Service Provider Company</w:t>
            </w:r>
          </w:p>
        </w:tc>
      </w:tr>
      <w:tr w:rsidR="00035B42" w:rsidRPr="009A5150" w14:paraId="288E2A02" w14:textId="77777777" w:rsidTr="009A5150">
        <w:tc>
          <w:tcPr>
            <w:tcW w:w="567" w:type="dxa"/>
            <w:shd w:val="clear" w:color="auto" w:fill="auto"/>
            <w:vAlign w:val="center"/>
          </w:tcPr>
          <w:p w14:paraId="7A0C72E9"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2</w:t>
            </w:r>
          </w:p>
        </w:tc>
        <w:tc>
          <w:tcPr>
            <w:tcW w:w="1701" w:type="dxa"/>
            <w:shd w:val="clear" w:color="auto" w:fill="auto"/>
            <w:vAlign w:val="center"/>
          </w:tcPr>
          <w:p w14:paraId="4AA15C57" w14:textId="77777777" w:rsidR="00035B42" w:rsidRPr="009A5150" w:rsidRDefault="00035B42" w:rsidP="009A5150">
            <w:pPr>
              <w:spacing w:after="0" w:line="240" w:lineRule="auto"/>
              <w:jc w:val="left"/>
              <w:rPr>
                <w:rFonts w:ascii="Book Antiqua" w:eastAsiaTheme="minorEastAsia" w:hAnsi="Book Antiqua"/>
                <w:lang w:val="id-ID"/>
              </w:rPr>
            </w:pPr>
            <w:r w:rsidRPr="009A5150">
              <w:rPr>
                <w:rFonts w:ascii="Book Antiqua" w:eastAsiaTheme="minorEastAsia" w:hAnsi="Book Antiqua"/>
                <w:lang w:val="id-ID"/>
              </w:rPr>
              <w:t>Number of Provider</w:t>
            </w:r>
          </w:p>
        </w:tc>
        <w:tc>
          <w:tcPr>
            <w:tcW w:w="3118" w:type="dxa"/>
            <w:shd w:val="clear" w:color="auto" w:fill="auto"/>
            <w:vAlign w:val="center"/>
          </w:tcPr>
          <w:p w14:paraId="2B604DA6"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lang w:val="id-ID"/>
              </w:rPr>
              <w:t>Single</w:t>
            </w:r>
            <w:r w:rsidRPr="009A5150">
              <w:rPr>
                <w:rFonts w:ascii="Book Antiqua" w:eastAsiaTheme="minorEastAsia" w:hAnsi="Book Antiqua"/>
              </w:rPr>
              <w:t xml:space="preserve"> (PT </w:t>
            </w:r>
            <w:r w:rsidRPr="009A5150">
              <w:rPr>
                <w:rFonts w:ascii="Book Antiqua" w:eastAsiaTheme="minorEastAsia" w:hAnsi="Book Antiqua"/>
                <w:lang w:val="id-ID"/>
              </w:rPr>
              <w:t>Indonesia Stock Exchange</w:t>
            </w:r>
            <w:r w:rsidRPr="009A5150">
              <w:rPr>
                <w:rFonts w:ascii="Book Antiqua" w:eastAsiaTheme="minorEastAsia" w:hAnsi="Book Antiqua"/>
              </w:rPr>
              <w:t>)</w:t>
            </w:r>
          </w:p>
        </w:tc>
        <w:tc>
          <w:tcPr>
            <w:tcW w:w="3260" w:type="dxa"/>
            <w:shd w:val="clear" w:color="auto" w:fill="auto"/>
            <w:vAlign w:val="center"/>
          </w:tcPr>
          <w:p w14:paraId="288F9D31"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10 (</w:t>
            </w:r>
            <w:r w:rsidRPr="009A5150">
              <w:rPr>
                <w:rFonts w:ascii="Book Antiqua" w:eastAsiaTheme="minorEastAsia" w:hAnsi="Book Antiqua"/>
                <w:lang w:val="id-ID"/>
              </w:rPr>
              <w:t>Can Increase</w:t>
            </w:r>
            <w:r w:rsidRPr="009A5150">
              <w:rPr>
                <w:rFonts w:ascii="Book Antiqua" w:eastAsiaTheme="minorEastAsia" w:hAnsi="Book Antiqua"/>
              </w:rPr>
              <w:t>)</w:t>
            </w:r>
          </w:p>
        </w:tc>
      </w:tr>
      <w:tr w:rsidR="00035B42" w:rsidRPr="009A5150" w14:paraId="01292A80" w14:textId="77777777" w:rsidTr="009A5150">
        <w:tc>
          <w:tcPr>
            <w:tcW w:w="567" w:type="dxa"/>
            <w:shd w:val="clear" w:color="auto" w:fill="auto"/>
            <w:vAlign w:val="center"/>
          </w:tcPr>
          <w:p w14:paraId="70EE53F5"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3</w:t>
            </w:r>
          </w:p>
        </w:tc>
        <w:tc>
          <w:tcPr>
            <w:tcW w:w="1701" w:type="dxa"/>
            <w:shd w:val="clear" w:color="auto" w:fill="auto"/>
            <w:vAlign w:val="center"/>
          </w:tcPr>
          <w:p w14:paraId="0217D7EB" w14:textId="77777777" w:rsidR="00035B42" w:rsidRPr="009A5150" w:rsidRDefault="00035B42" w:rsidP="009A5150">
            <w:pPr>
              <w:spacing w:after="0" w:line="240" w:lineRule="auto"/>
              <w:jc w:val="left"/>
              <w:rPr>
                <w:rFonts w:ascii="Book Antiqua" w:eastAsiaTheme="minorEastAsia" w:hAnsi="Book Antiqua"/>
              </w:rPr>
            </w:pPr>
            <w:r w:rsidRPr="009A5150">
              <w:rPr>
                <w:rFonts w:ascii="Book Antiqua" w:eastAsiaTheme="minorEastAsia" w:hAnsi="Book Antiqua"/>
              </w:rPr>
              <w:t>Supervisors and Regulators</w:t>
            </w:r>
          </w:p>
        </w:tc>
        <w:tc>
          <w:tcPr>
            <w:tcW w:w="3118" w:type="dxa"/>
            <w:shd w:val="clear" w:color="auto" w:fill="auto"/>
            <w:vAlign w:val="center"/>
          </w:tcPr>
          <w:p w14:paraId="67C2F3DD"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 xml:space="preserve">PT Indonesia Stock Exchange </w:t>
            </w:r>
            <w:r w:rsidRPr="009A5150">
              <w:rPr>
                <w:rFonts w:ascii="Book Antiqua" w:eastAsiaTheme="minorEastAsia" w:hAnsi="Book Antiqua"/>
                <w:lang w:val="id-ID"/>
              </w:rPr>
              <w:t>and</w:t>
            </w:r>
            <w:r w:rsidRPr="009A5150">
              <w:rPr>
                <w:rFonts w:ascii="Book Antiqua" w:eastAsiaTheme="minorEastAsia" w:hAnsi="Book Antiqua"/>
              </w:rPr>
              <w:t xml:space="preserve"> </w:t>
            </w:r>
            <w:proofErr w:type="spellStart"/>
            <w:r w:rsidRPr="009A5150">
              <w:rPr>
                <w:rFonts w:ascii="Book Antiqua" w:eastAsiaTheme="minorEastAsia" w:hAnsi="Book Antiqua"/>
              </w:rPr>
              <w:t>Otoritas</w:t>
            </w:r>
            <w:proofErr w:type="spellEnd"/>
            <w:r w:rsidRPr="009A5150">
              <w:rPr>
                <w:rFonts w:ascii="Book Antiqua" w:eastAsiaTheme="minorEastAsia" w:hAnsi="Book Antiqua"/>
              </w:rPr>
              <w:t xml:space="preserve"> Jasa </w:t>
            </w:r>
            <w:proofErr w:type="spellStart"/>
            <w:r w:rsidRPr="009A5150">
              <w:rPr>
                <w:rFonts w:ascii="Book Antiqua" w:eastAsiaTheme="minorEastAsia" w:hAnsi="Book Antiqua"/>
              </w:rPr>
              <w:t>Keuangan</w:t>
            </w:r>
            <w:proofErr w:type="spellEnd"/>
          </w:p>
        </w:tc>
        <w:tc>
          <w:tcPr>
            <w:tcW w:w="3260" w:type="dxa"/>
            <w:shd w:val="clear" w:color="auto" w:fill="auto"/>
            <w:vAlign w:val="center"/>
          </w:tcPr>
          <w:p w14:paraId="3D12468C"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lang w:val="id-ID"/>
              </w:rPr>
              <w:t>Provider</w:t>
            </w:r>
            <w:r w:rsidRPr="009A5150">
              <w:rPr>
                <w:rFonts w:ascii="Book Antiqua" w:eastAsiaTheme="minorEastAsia" w:hAnsi="Book Antiqua"/>
              </w:rPr>
              <w:t xml:space="preserve"> (Supervises the Securities Held by Investors) OJK (Supervises the Organizer)</w:t>
            </w:r>
          </w:p>
        </w:tc>
      </w:tr>
      <w:tr w:rsidR="00035B42" w:rsidRPr="009A5150" w14:paraId="4C67AC17" w14:textId="77777777" w:rsidTr="009A5150">
        <w:tc>
          <w:tcPr>
            <w:tcW w:w="567" w:type="dxa"/>
            <w:shd w:val="clear" w:color="auto" w:fill="auto"/>
            <w:vAlign w:val="center"/>
          </w:tcPr>
          <w:p w14:paraId="23502879"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4</w:t>
            </w:r>
          </w:p>
        </w:tc>
        <w:tc>
          <w:tcPr>
            <w:tcW w:w="1701" w:type="dxa"/>
            <w:shd w:val="clear" w:color="auto" w:fill="auto"/>
            <w:vAlign w:val="center"/>
          </w:tcPr>
          <w:p w14:paraId="552D77BC" w14:textId="77777777" w:rsidR="00035B42" w:rsidRPr="009A5150" w:rsidRDefault="00035B42" w:rsidP="009A5150">
            <w:pPr>
              <w:spacing w:after="0" w:line="240" w:lineRule="auto"/>
              <w:jc w:val="left"/>
              <w:rPr>
                <w:rFonts w:ascii="Book Antiqua" w:eastAsiaTheme="minorEastAsia" w:hAnsi="Book Antiqua"/>
              </w:rPr>
            </w:pPr>
            <w:r w:rsidRPr="009A5150">
              <w:rPr>
                <w:rFonts w:ascii="Book Antiqua" w:eastAsiaTheme="minorEastAsia" w:hAnsi="Book Antiqua"/>
              </w:rPr>
              <w:t>Mechanism Type</w:t>
            </w:r>
          </w:p>
        </w:tc>
        <w:tc>
          <w:tcPr>
            <w:tcW w:w="3118" w:type="dxa"/>
            <w:shd w:val="clear" w:color="auto" w:fill="auto"/>
            <w:vAlign w:val="center"/>
          </w:tcPr>
          <w:p w14:paraId="4C573B1B"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i/>
              </w:rPr>
              <w:t xml:space="preserve">Go Public </w:t>
            </w:r>
            <w:r w:rsidRPr="009A5150">
              <w:rPr>
                <w:rFonts w:ascii="Book Antiqua" w:eastAsiaTheme="minorEastAsia" w:hAnsi="Book Antiqua"/>
                <w:lang w:val="id-ID"/>
              </w:rPr>
              <w:t>or</w:t>
            </w:r>
            <w:r w:rsidRPr="009A5150">
              <w:rPr>
                <w:rFonts w:ascii="Book Antiqua" w:eastAsiaTheme="minorEastAsia" w:hAnsi="Book Antiqua"/>
              </w:rPr>
              <w:t xml:space="preserve"> Initial Public Offering (IPO)</w:t>
            </w:r>
          </w:p>
        </w:tc>
        <w:tc>
          <w:tcPr>
            <w:tcW w:w="3260" w:type="dxa"/>
            <w:shd w:val="clear" w:color="auto" w:fill="auto"/>
            <w:vAlign w:val="center"/>
          </w:tcPr>
          <w:p w14:paraId="498347D6" w14:textId="77777777" w:rsidR="00035B42" w:rsidRPr="009A5150" w:rsidRDefault="00035B42" w:rsidP="009A5150">
            <w:pPr>
              <w:spacing w:after="0" w:line="240" w:lineRule="auto"/>
              <w:rPr>
                <w:rFonts w:ascii="Book Antiqua" w:eastAsiaTheme="minorEastAsia" w:hAnsi="Book Antiqua"/>
                <w:lang w:val="id-ID"/>
              </w:rPr>
            </w:pPr>
            <w:r w:rsidRPr="009A5150">
              <w:rPr>
                <w:rFonts w:ascii="Book Antiqua" w:eastAsiaTheme="minorEastAsia" w:hAnsi="Book Antiqua"/>
              </w:rPr>
              <w:t>Securities Offering</w:t>
            </w:r>
          </w:p>
        </w:tc>
      </w:tr>
      <w:tr w:rsidR="00035B42" w:rsidRPr="009A5150" w14:paraId="19CED20C" w14:textId="77777777" w:rsidTr="009A5150">
        <w:tc>
          <w:tcPr>
            <w:tcW w:w="567" w:type="dxa"/>
            <w:shd w:val="clear" w:color="auto" w:fill="auto"/>
            <w:vAlign w:val="center"/>
          </w:tcPr>
          <w:p w14:paraId="4041D5E8"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5</w:t>
            </w:r>
          </w:p>
        </w:tc>
        <w:tc>
          <w:tcPr>
            <w:tcW w:w="1701" w:type="dxa"/>
            <w:shd w:val="clear" w:color="auto" w:fill="auto"/>
            <w:vAlign w:val="center"/>
          </w:tcPr>
          <w:p w14:paraId="38B8002C" w14:textId="77777777" w:rsidR="00035B42" w:rsidRPr="009A5150" w:rsidRDefault="00035B42" w:rsidP="009A5150">
            <w:pPr>
              <w:spacing w:after="0" w:line="240" w:lineRule="auto"/>
              <w:jc w:val="left"/>
              <w:rPr>
                <w:rFonts w:ascii="Book Antiqua" w:eastAsiaTheme="minorEastAsia" w:hAnsi="Book Antiqua"/>
              </w:rPr>
            </w:pPr>
            <w:r w:rsidRPr="009A5150">
              <w:rPr>
                <w:rFonts w:ascii="Book Antiqua" w:eastAsiaTheme="minorEastAsia" w:hAnsi="Book Antiqua"/>
              </w:rPr>
              <w:t>Offer Flow</w:t>
            </w:r>
          </w:p>
        </w:tc>
        <w:tc>
          <w:tcPr>
            <w:tcW w:w="3118" w:type="dxa"/>
            <w:shd w:val="clear" w:color="auto" w:fill="auto"/>
          </w:tcPr>
          <w:p w14:paraId="05EB5820"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Application for Registration, Screening, Initial Offering, Public Offering, Securities Allotment, Share Distribution and IPO</w:t>
            </w:r>
          </w:p>
        </w:tc>
        <w:tc>
          <w:tcPr>
            <w:tcW w:w="3260" w:type="dxa"/>
            <w:shd w:val="clear" w:color="auto" w:fill="auto"/>
            <w:vAlign w:val="center"/>
          </w:tcPr>
          <w:p w14:paraId="30A089AF"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Application for Registration, Screening, Offering and Distribution of Securities</w:t>
            </w:r>
          </w:p>
        </w:tc>
      </w:tr>
      <w:tr w:rsidR="00035B42" w:rsidRPr="009A5150" w14:paraId="20DFF018" w14:textId="77777777" w:rsidTr="009A5150">
        <w:tc>
          <w:tcPr>
            <w:tcW w:w="567" w:type="dxa"/>
            <w:shd w:val="clear" w:color="auto" w:fill="auto"/>
            <w:vAlign w:val="center"/>
          </w:tcPr>
          <w:p w14:paraId="2E5CD72C"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6</w:t>
            </w:r>
          </w:p>
        </w:tc>
        <w:tc>
          <w:tcPr>
            <w:tcW w:w="1701" w:type="dxa"/>
            <w:shd w:val="clear" w:color="auto" w:fill="auto"/>
            <w:vAlign w:val="center"/>
          </w:tcPr>
          <w:p w14:paraId="3AB79165" w14:textId="77777777" w:rsidR="00035B42" w:rsidRPr="009A5150" w:rsidRDefault="00035B42" w:rsidP="009A5150">
            <w:pPr>
              <w:spacing w:after="0" w:line="240" w:lineRule="auto"/>
              <w:jc w:val="left"/>
              <w:rPr>
                <w:rFonts w:ascii="Book Antiqua" w:eastAsiaTheme="minorEastAsia" w:hAnsi="Book Antiqua"/>
              </w:rPr>
            </w:pPr>
            <w:r w:rsidRPr="009A5150">
              <w:rPr>
                <w:rFonts w:ascii="Book Antiqua" w:eastAsiaTheme="minorEastAsia" w:hAnsi="Book Antiqua"/>
              </w:rPr>
              <w:t>Issuer Status</w:t>
            </w:r>
          </w:p>
        </w:tc>
        <w:tc>
          <w:tcPr>
            <w:tcW w:w="3118" w:type="dxa"/>
            <w:shd w:val="clear" w:color="auto" w:fill="auto"/>
            <w:vAlign w:val="center"/>
          </w:tcPr>
          <w:p w14:paraId="2F51A470" w14:textId="77777777" w:rsidR="00035B42" w:rsidRPr="009A5150" w:rsidRDefault="00035B42" w:rsidP="009A5150">
            <w:pPr>
              <w:spacing w:after="0" w:line="240" w:lineRule="auto"/>
              <w:rPr>
                <w:rFonts w:ascii="Book Antiqua" w:eastAsiaTheme="minorEastAsia" w:hAnsi="Book Antiqua"/>
              </w:rPr>
            </w:pPr>
            <w:proofErr w:type="spellStart"/>
            <w:r w:rsidRPr="009A5150">
              <w:rPr>
                <w:rFonts w:ascii="Book Antiqua" w:eastAsiaTheme="minorEastAsia" w:hAnsi="Book Antiqua"/>
              </w:rPr>
              <w:t>Publi</w:t>
            </w:r>
            <w:proofErr w:type="spellEnd"/>
            <w:r w:rsidRPr="009A5150">
              <w:rPr>
                <w:rFonts w:ascii="Book Antiqua" w:eastAsiaTheme="minorEastAsia" w:hAnsi="Book Antiqua"/>
                <w:lang w:val="id-ID"/>
              </w:rPr>
              <w:t>c</w:t>
            </w:r>
            <w:r w:rsidRPr="009A5150">
              <w:rPr>
                <w:rFonts w:ascii="Book Antiqua" w:eastAsiaTheme="minorEastAsia" w:hAnsi="Book Antiqua"/>
              </w:rPr>
              <w:t xml:space="preserve"> (</w:t>
            </w:r>
            <w:proofErr w:type="spellStart"/>
            <w:r w:rsidRPr="009A5150">
              <w:rPr>
                <w:rFonts w:ascii="Book Antiqua" w:eastAsiaTheme="minorEastAsia" w:hAnsi="Book Antiqua"/>
              </w:rPr>
              <w:t>Tbk</w:t>
            </w:r>
            <w:proofErr w:type="spellEnd"/>
            <w:r w:rsidRPr="009A5150">
              <w:rPr>
                <w:rFonts w:ascii="Book Antiqua" w:eastAsiaTheme="minorEastAsia" w:hAnsi="Book Antiqua"/>
              </w:rPr>
              <w:t>)</w:t>
            </w:r>
          </w:p>
        </w:tc>
        <w:tc>
          <w:tcPr>
            <w:tcW w:w="3260" w:type="dxa"/>
            <w:shd w:val="clear" w:color="auto" w:fill="auto"/>
            <w:vAlign w:val="center"/>
          </w:tcPr>
          <w:p w14:paraId="6A1E20DF" w14:textId="77777777" w:rsidR="00035B42" w:rsidRPr="009A5150" w:rsidRDefault="00035B42" w:rsidP="009A5150">
            <w:pPr>
              <w:spacing w:after="0" w:line="240" w:lineRule="auto"/>
              <w:rPr>
                <w:rFonts w:ascii="Book Antiqua" w:eastAsiaTheme="minorEastAsia" w:hAnsi="Book Antiqua"/>
                <w:lang w:val="id-ID"/>
              </w:rPr>
            </w:pPr>
            <w:r w:rsidRPr="009A5150">
              <w:rPr>
                <w:rFonts w:ascii="Book Antiqua" w:eastAsiaTheme="minorEastAsia" w:hAnsi="Book Antiqua"/>
                <w:lang w:val="id-ID"/>
              </w:rPr>
              <w:t>Private</w:t>
            </w:r>
          </w:p>
        </w:tc>
      </w:tr>
      <w:tr w:rsidR="00035B42" w:rsidRPr="009A5150" w14:paraId="0ACA1ECB" w14:textId="77777777" w:rsidTr="009A5150">
        <w:tc>
          <w:tcPr>
            <w:tcW w:w="567" w:type="dxa"/>
            <w:shd w:val="clear" w:color="auto" w:fill="auto"/>
            <w:vAlign w:val="center"/>
          </w:tcPr>
          <w:p w14:paraId="4A0A7D78"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7</w:t>
            </w:r>
          </w:p>
        </w:tc>
        <w:tc>
          <w:tcPr>
            <w:tcW w:w="1701" w:type="dxa"/>
            <w:shd w:val="clear" w:color="auto" w:fill="auto"/>
            <w:vAlign w:val="center"/>
          </w:tcPr>
          <w:p w14:paraId="0F7C39A4" w14:textId="77777777" w:rsidR="00035B42" w:rsidRPr="009A5150" w:rsidRDefault="00035B42" w:rsidP="009A5150">
            <w:pPr>
              <w:spacing w:after="0" w:line="240" w:lineRule="auto"/>
              <w:jc w:val="left"/>
              <w:rPr>
                <w:rFonts w:ascii="Book Antiqua" w:eastAsiaTheme="minorEastAsia" w:hAnsi="Book Antiqua"/>
              </w:rPr>
            </w:pPr>
            <w:r w:rsidRPr="009A5150">
              <w:rPr>
                <w:rFonts w:ascii="Book Antiqua" w:eastAsiaTheme="minorEastAsia" w:hAnsi="Book Antiqua"/>
              </w:rPr>
              <w:t>Minimum Value</w:t>
            </w:r>
          </w:p>
        </w:tc>
        <w:tc>
          <w:tcPr>
            <w:tcW w:w="3118" w:type="dxa"/>
            <w:shd w:val="clear" w:color="auto" w:fill="auto"/>
            <w:vAlign w:val="center"/>
          </w:tcPr>
          <w:p w14:paraId="2BBC0246"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Rp3.000.000.000,00</w:t>
            </w:r>
          </w:p>
        </w:tc>
        <w:tc>
          <w:tcPr>
            <w:tcW w:w="3260" w:type="dxa"/>
            <w:shd w:val="clear" w:color="auto" w:fill="auto"/>
            <w:vAlign w:val="center"/>
          </w:tcPr>
          <w:p w14:paraId="66B00C06"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w:t>
            </w:r>
          </w:p>
        </w:tc>
      </w:tr>
      <w:tr w:rsidR="00035B42" w:rsidRPr="009A5150" w14:paraId="0E3C1D0C" w14:textId="77777777" w:rsidTr="009A5150">
        <w:tc>
          <w:tcPr>
            <w:tcW w:w="567" w:type="dxa"/>
            <w:shd w:val="clear" w:color="auto" w:fill="auto"/>
            <w:vAlign w:val="center"/>
          </w:tcPr>
          <w:p w14:paraId="070C18B5"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8</w:t>
            </w:r>
          </w:p>
        </w:tc>
        <w:tc>
          <w:tcPr>
            <w:tcW w:w="1701" w:type="dxa"/>
            <w:shd w:val="clear" w:color="auto" w:fill="auto"/>
            <w:vAlign w:val="center"/>
          </w:tcPr>
          <w:p w14:paraId="761C8BC0" w14:textId="77777777" w:rsidR="00035B42" w:rsidRPr="009A5150" w:rsidRDefault="00035B42" w:rsidP="009A5150">
            <w:pPr>
              <w:spacing w:after="0" w:line="240" w:lineRule="auto"/>
              <w:jc w:val="left"/>
              <w:rPr>
                <w:rFonts w:ascii="Book Antiqua" w:eastAsiaTheme="minorEastAsia" w:hAnsi="Book Antiqua"/>
              </w:rPr>
            </w:pPr>
            <w:r w:rsidRPr="009A5150">
              <w:rPr>
                <w:rFonts w:ascii="Book Antiqua" w:eastAsiaTheme="minorEastAsia" w:hAnsi="Book Antiqua"/>
              </w:rPr>
              <w:t>Maximum Value</w:t>
            </w:r>
          </w:p>
        </w:tc>
        <w:tc>
          <w:tcPr>
            <w:tcW w:w="3118" w:type="dxa"/>
            <w:shd w:val="clear" w:color="auto" w:fill="auto"/>
            <w:vAlign w:val="center"/>
          </w:tcPr>
          <w:p w14:paraId="402A4733"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w:t>
            </w:r>
          </w:p>
        </w:tc>
        <w:tc>
          <w:tcPr>
            <w:tcW w:w="3260" w:type="dxa"/>
            <w:shd w:val="clear" w:color="auto" w:fill="auto"/>
            <w:vAlign w:val="center"/>
          </w:tcPr>
          <w:p w14:paraId="30FA5282"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Rp. 10.000.000.000,00</w:t>
            </w:r>
          </w:p>
        </w:tc>
      </w:tr>
      <w:tr w:rsidR="00035B42" w:rsidRPr="009A5150" w14:paraId="7D9A2544" w14:textId="77777777" w:rsidTr="009A5150">
        <w:tc>
          <w:tcPr>
            <w:tcW w:w="567" w:type="dxa"/>
            <w:shd w:val="clear" w:color="auto" w:fill="auto"/>
            <w:vAlign w:val="center"/>
          </w:tcPr>
          <w:p w14:paraId="33330457"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9</w:t>
            </w:r>
          </w:p>
        </w:tc>
        <w:tc>
          <w:tcPr>
            <w:tcW w:w="1701" w:type="dxa"/>
            <w:shd w:val="clear" w:color="auto" w:fill="auto"/>
            <w:vAlign w:val="center"/>
          </w:tcPr>
          <w:p w14:paraId="473A532C" w14:textId="77777777" w:rsidR="00035B42" w:rsidRPr="009A5150" w:rsidRDefault="00035B42" w:rsidP="009A5150">
            <w:pPr>
              <w:spacing w:after="0" w:line="240" w:lineRule="auto"/>
              <w:jc w:val="left"/>
              <w:rPr>
                <w:rFonts w:ascii="Book Antiqua" w:eastAsiaTheme="minorEastAsia" w:hAnsi="Book Antiqua"/>
              </w:rPr>
            </w:pPr>
            <w:r w:rsidRPr="009A5150">
              <w:rPr>
                <w:rFonts w:ascii="Book Antiqua" w:eastAsiaTheme="minorEastAsia" w:hAnsi="Book Antiqua"/>
              </w:rPr>
              <w:t>Trading System</w:t>
            </w:r>
          </w:p>
        </w:tc>
        <w:tc>
          <w:tcPr>
            <w:tcW w:w="3118" w:type="dxa"/>
            <w:shd w:val="clear" w:color="auto" w:fill="auto"/>
            <w:vAlign w:val="center"/>
          </w:tcPr>
          <w:p w14:paraId="2395A976"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 xml:space="preserve">Regular, Negotiated </w:t>
            </w:r>
            <w:proofErr w:type="gramStart"/>
            <w:r w:rsidRPr="009A5150">
              <w:rPr>
                <w:rFonts w:ascii="Book Antiqua" w:eastAsiaTheme="minorEastAsia" w:hAnsi="Book Antiqua"/>
              </w:rPr>
              <w:t>And</w:t>
            </w:r>
            <w:proofErr w:type="gramEnd"/>
            <w:r w:rsidRPr="009A5150">
              <w:rPr>
                <w:rFonts w:ascii="Book Antiqua" w:eastAsiaTheme="minorEastAsia" w:hAnsi="Book Antiqua"/>
              </w:rPr>
              <w:t xml:space="preserve"> Cash</w:t>
            </w:r>
          </w:p>
        </w:tc>
        <w:tc>
          <w:tcPr>
            <w:tcW w:w="3260" w:type="dxa"/>
            <w:shd w:val="clear" w:color="auto" w:fill="auto"/>
            <w:vAlign w:val="center"/>
          </w:tcPr>
          <w:p w14:paraId="3F92CB9D" w14:textId="77777777" w:rsidR="00035B42" w:rsidRPr="009A5150" w:rsidRDefault="00035B42" w:rsidP="009A5150">
            <w:pPr>
              <w:spacing w:after="0" w:line="240" w:lineRule="auto"/>
              <w:rPr>
                <w:rFonts w:ascii="Book Antiqua" w:eastAsiaTheme="minorEastAsia" w:hAnsi="Book Antiqua"/>
              </w:rPr>
            </w:pPr>
            <w:proofErr w:type="spellStart"/>
            <w:r w:rsidRPr="009A5150">
              <w:rPr>
                <w:rFonts w:ascii="Book Antiqua" w:eastAsiaTheme="minorEastAsia" w:hAnsi="Book Antiqua"/>
              </w:rPr>
              <w:t>Reguler</w:t>
            </w:r>
            <w:proofErr w:type="spellEnd"/>
          </w:p>
        </w:tc>
      </w:tr>
      <w:tr w:rsidR="00035B42" w:rsidRPr="009A5150" w14:paraId="420F690D" w14:textId="77777777" w:rsidTr="009A5150">
        <w:tc>
          <w:tcPr>
            <w:tcW w:w="567" w:type="dxa"/>
            <w:shd w:val="clear" w:color="auto" w:fill="auto"/>
            <w:vAlign w:val="center"/>
          </w:tcPr>
          <w:p w14:paraId="1D949CBD" w14:textId="77777777" w:rsidR="00035B42" w:rsidRPr="009A5150" w:rsidRDefault="00035B42" w:rsidP="009A5150">
            <w:pPr>
              <w:spacing w:after="0" w:line="240" w:lineRule="auto"/>
              <w:jc w:val="center"/>
              <w:rPr>
                <w:rFonts w:ascii="Book Antiqua" w:eastAsiaTheme="minorEastAsia" w:hAnsi="Book Antiqua"/>
              </w:rPr>
            </w:pPr>
            <w:r w:rsidRPr="009A5150">
              <w:rPr>
                <w:rFonts w:ascii="Book Antiqua" w:eastAsiaTheme="minorEastAsia" w:hAnsi="Book Antiqua"/>
              </w:rPr>
              <w:t>10</w:t>
            </w:r>
          </w:p>
        </w:tc>
        <w:tc>
          <w:tcPr>
            <w:tcW w:w="1701" w:type="dxa"/>
            <w:shd w:val="clear" w:color="auto" w:fill="auto"/>
            <w:vAlign w:val="center"/>
          </w:tcPr>
          <w:p w14:paraId="694DBC06" w14:textId="77777777" w:rsidR="00035B42" w:rsidRPr="009A5150" w:rsidRDefault="00035B42" w:rsidP="009A5150">
            <w:pPr>
              <w:spacing w:after="0" w:line="240" w:lineRule="auto"/>
              <w:jc w:val="left"/>
              <w:rPr>
                <w:rFonts w:ascii="Book Antiqua" w:eastAsiaTheme="minorEastAsia" w:hAnsi="Book Antiqua"/>
              </w:rPr>
            </w:pPr>
            <w:r w:rsidRPr="009A5150">
              <w:rPr>
                <w:rFonts w:ascii="Book Antiqua" w:eastAsiaTheme="minorEastAsia" w:hAnsi="Book Antiqua"/>
              </w:rPr>
              <w:t>Trading Intensity</w:t>
            </w:r>
          </w:p>
        </w:tc>
        <w:tc>
          <w:tcPr>
            <w:tcW w:w="3118" w:type="dxa"/>
            <w:shd w:val="clear" w:color="auto" w:fill="auto"/>
            <w:vAlign w:val="center"/>
          </w:tcPr>
          <w:p w14:paraId="66332950"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Traded During Post-IPO Exchange Hours</w:t>
            </w:r>
          </w:p>
        </w:tc>
        <w:tc>
          <w:tcPr>
            <w:tcW w:w="3260" w:type="dxa"/>
            <w:shd w:val="clear" w:color="auto" w:fill="auto"/>
            <w:vAlign w:val="center"/>
          </w:tcPr>
          <w:p w14:paraId="53C4DAEC" w14:textId="77777777" w:rsidR="00035B42" w:rsidRPr="009A5150" w:rsidRDefault="00035B42" w:rsidP="009A5150">
            <w:pPr>
              <w:spacing w:after="0" w:line="240" w:lineRule="auto"/>
              <w:rPr>
                <w:rFonts w:ascii="Book Antiqua" w:eastAsiaTheme="minorEastAsia" w:hAnsi="Book Antiqua"/>
              </w:rPr>
            </w:pPr>
            <w:r w:rsidRPr="009A5150">
              <w:rPr>
                <w:rFonts w:ascii="Book Antiqua" w:eastAsiaTheme="minorEastAsia" w:hAnsi="Book Antiqua"/>
              </w:rPr>
              <w:t>Traded Twice in One Year</w:t>
            </w:r>
          </w:p>
        </w:tc>
      </w:tr>
    </w:tbl>
    <w:p w14:paraId="643DDEFA" w14:textId="77777777" w:rsidR="00035B42" w:rsidRPr="00EE4555" w:rsidRDefault="00035B42" w:rsidP="00EE4555">
      <w:pPr>
        <w:spacing w:after="240" w:line="240" w:lineRule="auto"/>
        <w:ind w:left="567"/>
        <w:rPr>
          <w:rFonts w:ascii="Book Antiqua" w:eastAsiaTheme="minorEastAsia" w:hAnsi="Book Antiqua"/>
          <w:bCs/>
          <w:i/>
          <w:sz w:val="20"/>
          <w:szCs w:val="20"/>
          <w:lang w:val="id-ID"/>
        </w:rPr>
      </w:pPr>
      <w:r w:rsidRPr="00EE4555">
        <w:rPr>
          <w:rFonts w:ascii="Book Antiqua" w:eastAsiaTheme="minorEastAsia" w:hAnsi="Book Antiqua"/>
          <w:bCs/>
          <w:i/>
          <w:sz w:val="20"/>
          <w:szCs w:val="20"/>
        </w:rPr>
        <w:t xml:space="preserve">Source: </w:t>
      </w:r>
      <w:r w:rsidRPr="00EE4555">
        <w:rPr>
          <w:rFonts w:ascii="Book Antiqua" w:eastAsiaTheme="minorEastAsia" w:hAnsi="Book Antiqua"/>
          <w:bCs/>
          <w:i/>
          <w:sz w:val="20"/>
          <w:szCs w:val="20"/>
          <w:lang w:val="id-ID"/>
        </w:rPr>
        <w:t xml:space="preserve">Undang-Undang Pasar Modal Nomor 8 Tahun 1995, </w:t>
      </w:r>
      <w:proofErr w:type="spellStart"/>
      <w:r w:rsidRPr="00EE4555">
        <w:rPr>
          <w:rFonts w:ascii="Book Antiqua" w:eastAsiaTheme="minorEastAsia" w:hAnsi="Book Antiqua"/>
          <w:bCs/>
          <w:i/>
          <w:sz w:val="20"/>
          <w:szCs w:val="20"/>
        </w:rPr>
        <w:t>Peraturan</w:t>
      </w:r>
      <w:proofErr w:type="spellEnd"/>
      <w:r w:rsidRPr="00EE4555">
        <w:rPr>
          <w:rFonts w:ascii="Book Antiqua" w:eastAsiaTheme="minorEastAsia" w:hAnsi="Book Antiqua"/>
          <w:bCs/>
          <w:i/>
          <w:sz w:val="20"/>
          <w:szCs w:val="20"/>
        </w:rPr>
        <w:t xml:space="preserve"> </w:t>
      </w:r>
      <w:proofErr w:type="spellStart"/>
      <w:r w:rsidRPr="00EE4555">
        <w:rPr>
          <w:rFonts w:ascii="Book Antiqua" w:eastAsiaTheme="minorEastAsia" w:hAnsi="Book Antiqua"/>
          <w:bCs/>
          <w:i/>
          <w:sz w:val="20"/>
          <w:szCs w:val="20"/>
        </w:rPr>
        <w:t>Otoritas</w:t>
      </w:r>
      <w:proofErr w:type="spellEnd"/>
      <w:r w:rsidRPr="00EE4555">
        <w:rPr>
          <w:rFonts w:ascii="Book Antiqua" w:eastAsiaTheme="minorEastAsia" w:hAnsi="Book Antiqua"/>
          <w:bCs/>
          <w:i/>
          <w:sz w:val="20"/>
          <w:szCs w:val="20"/>
        </w:rPr>
        <w:t xml:space="preserve"> Jasa </w:t>
      </w:r>
      <w:proofErr w:type="spellStart"/>
      <w:r w:rsidRPr="00EE4555">
        <w:rPr>
          <w:rFonts w:ascii="Book Antiqua" w:eastAsiaTheme="minorEastAsia" w:hAnsi="Book Antiqua"/>
          <w:bCs/>
          <w:i/>
          <w:sz w:val="20"/>
          <w:szCs w:val="20"/>
        </w:rPr>
        <w:t>Nomor</w:t>
      </w:r>
      <w:proofErr w:type="spellEnd"/>
      <w:r w:rsidRPr="00EE4555">
        <w:rPr>
          <w:rFonts w:ascii="Book Antiqua" w:eastAsiaTheme="minorEastAsia" w:hAnsi="Book Antiqua"/>
          <w:bCs/>
          <w:i/>
          <w:sz w:val="20"/>
          <w:szCs w:val="20"/>
        </w:rPr>
        <w:t xml:space="preserve"> 16 </w:t>
      </w:r>
      <w:proofErr w:type="spellStart"/>
      <w:r w:rsidRPr="00EE4555">
        <w:rPr>
          <w:rFonts w:ascii="Book Antiqua" w:eastAsiaTheme="minorEastAsia" w:hAnsi="Book Antiqua"/>
          <w:bCs/>
          <w:i/>
          <w:sz w:val="20"/>
          <w:szCs w:val="20"/>
        </w:rPr>
        <w:t>Tahun</w:t>
      </w:r>
      <w:proofErr w:type="spellEnd"/>
      <w:r w:rsidRPr="00EE4555">
        <w:rPr>
          <w:rFonts w:ascii="Book Antiqua" w:eastAsiaTheme="minorEastAsia" w:hAnsi="Book Antiqua"/>
          <w:bCs/>
          <w:i/>
          <w:sz w:val="20"/>
          <w:szCs w:val="20"/>
        </w:rPr>
        <w:t xml:space="preserve"> 2021 Perubahan Atas </w:t>
      </w:r>
      <w:proofErr w:type="spellStart"/>
      <w:r w:rsidRPr="00EE4555">
        <w:rPr>
          <w:rFonts w:ascii="Book Antiqua" w:eastAsiaTheme="minorEastAsia" w:hAnsi="Book Antiqua"/>
          <w:bCs/>
          <w:i/>
          <w:sz w:val="20"/>
          <w:szCs w:val="20"/>
        </w:rPr>
        <w:t>Peraturan</w:t>
      </w:r>
      <w:proofErr w:type="spellEnd"/>
      <w:r w:rsidRPr="00EE4555">
        <w:rPr>
          <w:rFonts w:ascii="Book Antiqua" w:eastAsiaTheme="minorEastAsia" w:hAnsi="Book Antiqua"/>
          <w:bCs/>
          <w:i/>
          <w:sz w:val="20"/>
          <w:szCs w:val="20"/>
        </w:rPr>
        <w:t xml:space="preserve"> </w:t>
      </w:r>
      <w:proofErr w:type="spellStart"/>
      <w:r w:rsidRPr="00EE4555">
        <w:rPr>
          <w:rFonts w:ascii="Book Antiqua" w:eastAsiaTheme="minorEastAsia" w:hAnsi="Book Antiqua"/>
          <w:bCs/>
          <w:i/>
          <w:sz w:val="20"/>
          <w:szCs w:val="20"/>
        </w:rPr>
        <w:t>Otoritas</w:t>
      </w:r>
      <w:proofErr w:type="spellEnd"/>
      <w:r w:rsidRPr="00EE4555">
        <w:rPr>
          <w:rFonts w:ascii="Book Antiqua" w:eastAsiaTheme="minorEastAsia" w:hAnsi="Book Antiqua"/>
          <w:bCs/>
          <w:i/>
          <w:sz w:val="20"/>
          <w:szCs w:val="20"/>
        </w:rPr>
        <w:t xml:space="preserve"> Jasa </w:t>
      </w:r>
      <w:proofErr w:type="spellStart"/>
      <w:r w:rsidRPr="00EE4555">
        <w:rPr>
          <w:rFonts w:ascii="Book Antiqua" w:eastAsiaTheme="minorEastAsia" w:hAnsi="Book Antiqua"/>
          <w:bCs/>
          <w:i/>
          <w:sz w:val="20"/>
          <w:szCs w:val="20"/>
        </w:rPr>
        <w:t>Keuangan</w:t>
      </w:r>
      <w:proofErr w:type="spellEnd"/>
      <w:r w:rsidRPr="00EE4555">
        <w:rPr>
          <w:rFonts w:ascii="Book Antiqua" w:eastAsiaTheme="minorEastAsia" w:hAnsi="Book Antiqua"/>
          <w:bCs/>
          <w:i/>
          <w:sz w:val="20"/>
          <w:szCs w:val="20"/>
        </w:rPr>
        <w:t xml:space="preserve"> </w:t>
      </w:r>
      <w:proofErr w:type="spellStart"/>
      <w:r w:rsidRPr="00EE4555">
        <w:rPr>
          <w:rFonts w:ascii="Book Antiqua" w:eastAsiaTheme="minorEastAsia" w:hAnsi="Book Antiqua"/>
          <w:bCs/>
          <w:i/>
          <w:sz w:val="20"/>
          <w:szCs w:val="20"/>
        </w:rPr>
        <w:t>Nomor</w:t>
      </w:r>
      <w:proofErr w:type="spellEnd"/>
      <w:r w:rsidRPr="00EE4555">
        <w:rPr>
          <w:rFonts w:ascii="Book Antiqua" w:eastAsiaTheme="minorEastAsia" w:hAnsi="Book Antiqua"/>
          <w:bCs/>
          <w:i/>
          <w:sz w:val="20"/>
          <w:szCs w:val="20"/>
        </w:rPr>
        <w:t xml:space="preserve"> 57/POJK.04/2020</w:t>
      </w:r>
      <w:r w:rsidRPr="00EE4555">
        <w:rPr>
          <w:rFonts w:ascii="Book Antiqua" w:eastAsiaTheme="minorEastAsia" w:hAnsi="Book Antiqua"/>
          <w:bCs/>
          <w:i/>
          <w:sz w:val="20"/>
          <w:szCs w:val="20"/>
          <w:lang w:val="id-ID"/>
        </w:rPr>
        <w:t>.</w:t>
      </w:r>
    </w:p>
    <w:p w14:paraId="50492B95" w14:textId="77777777" w:rsidR="009A5150" w:rsidRDefault="00035B42" w:rsidP="009A5150">
      <w:pPr>
        <w:spacing w:before="120" w:after="120" w:line="240" w:lineRule="auto"/>
        <w:ind w:left="426" w:firstLine="720"/>
        <w:rPr>
          <w:rFonts w:ascii="Book Antiqua" w:eastAsiaTheme="minorEastAsia" w:hAnsi="Book Antiqua"/>
          <w:sz w:val="24"/>
          <w:szCs w:val="24"/>
          <w:lang w:val="id-ID"/>
        </w:rPr>
      </w:pPr>
      <w:r w:rsidRPr="004D596A">
        <w:rPr>
          <w:rFonts w:ascii="Book Antiqua" w:eastAsiaTheme="minorEastAsia" w:hAnsi="Book Antiqua"/>
          <w:sz w:val="24"/>
          <w:szCs w:val="24"/>
          <w:lang w:val="en-GB"/>
        </w:rPr>
        <w:t>In the securities crowdfunding scheme, investors can invest in sectors or types of securities they are interested in. Investors go through a registration process on the crowdfunding service provider's platform. The Indonesian Central Securities Depository (KSEI) accepts registration of securities conducted by the issuer as part of securities in the form of equity and debt, or sukuk. Subsequently, the service provider connects investors with issuers by providing information about the securities in the form of a prospectus</w:t>
      </w:r>
      <w:r w:rsidR="00E7257B" w:rsidRPr="004D596A">
        <w:rPr>
          <w:rFonts w:ascii="Book Antiqua" w:eastAsiaTheme="minorEastAsia" w:hAnsi="Book Antiqua"/>
          <w:sz w:val="24"/>
          <w:szCs w:val="24"/>
          <w:lang w:val="en-GB"/>
        </w:rPr>
        <w:t xml:space="preserve"> (Prabowo, 2023</w:t>
      </w:r>
      <w:r w:rsidRPr="004D596A">
        <w:rPr>
          <w:rFonts w:ascii="Book Antiqua" w:eastAsiaTheme="minorEastAsia" w:hAnsi="Book Antiqua"/>
          <w:sz w:val="24"/>
          <w:szCs w:val="24"/>
        </w:rPr>
        <w:t>.</w:t>
      </w:r>
    </w:p>
    <w:p w14:paraId="5320F488" w14:textId="77777777" w:rsidR="009A5150" w:rsidRDefault="009A5150">
      <w:pPr>
        <w:spacing w:after="160" w:line="259" w:lineRule="auto"/>
        <w:jc w:val="left"/>
        <w:rPr>
          <w:rFonts w:ascii="Book Antiqua" w:eastAsiaTheme="minorEastAsia" w:hAnsi="Book Antiqua"/>
          <w:sz w:val="24"/>
          <w:szCs w:val="24"/>
          <w:lang w:val="id-ID"/>
        </w:rPr>
      </w:pPr>
      <w:r>
        <w:rPr>
          <w:rFonts w:ascii="Book Antiqua" w:eastAsiaTheme="minorEastAsia" w:hAnsi="Book Antiqua"/>
          <w:sz w:val="24"/>
          <w:szCs w:val="24"/>
          <w:lang w:val="id-ID"/>
        </w:rPr>
        <w:br w:type="page"/>
      </w:r>
    </w:p>
    <w:p w14:paraId="0895C18B" w14:textId="2219CED8" w:rsidR="002374E0" w:rsidRPr="009A5150" w:rsidRDefault="00035B42" w:rsidP="009A5150">
      <w:pPr>
        <w:spacing w:before="120" w:after="120" w:line="240" w:lineRule="auto"/>
        <w:ind w:left="425" w:firstLine="720"/>
        <w:rPr>
          <w:rFonts w:ascii="Book Antiqua" w:eastAsiaTheme="minorEastAsia" w:hAnsi="Book Antiqua"/>
          <w:sz w:val="24"/>
          <w:szCs w:val="24"/>
          <w:lang w:val="id-ID"/>
        </w:rPr>
      </w:pPr>
      <w:r w:rsidRPr="004D596A">
        <w:rPr>
          <w:rFonts w:ascii="Book Antiqua" w:eastAsiaTheme="minorEastAsia" w:hAnsi="Book Antiqua"/>
          <w:sz w:val="24"/>
          <w:szCs w:val="24"/>
          <w:lang w:val="en-GB"/>
        </w:rPr>
        <w:lastRenderedPageBreak/>
        <w:t>The operational process of securities crowdfunding is straightforward. After selecting the crowdfunding platform, the issuer submits a proposal. Once the proposal is approved, the issuer starts offering its securities through the platform. Investors then choose the issuer they want to finance after studying the issuer's prospectus. If the funding target is met by investors, the collected funds will be distributed to the issuer to be used according to the needs stated in the prospectus. Upon disbursement of the funds, investors are entitled to receive the securities they purchased as evidence of participation in ownership and have the right to receive returns as stated in the prospectus</w:t>
      </w:r>
      <w:r w:rsidR="00E7257B" w:rsidRPr="004D596A">
        <w:rPr>
          <w:rFonts w:ascii="Book Antiqua" w:eastAsiaTheme="minorEastAsia" w:hAnsi="Book Antiqua"/>
          <w:sz w:val="24"/>
          <w:szCs w:val="24"/>
          <w:lang w:val="en-GB"/>
        </w:rPr>
        <w:t xml:space="preserve"> (Muhammad, 2023)</w:t>
      </w:r>
      <w:r w:rsidRPr="004D596A">
        <w:rPr>
          <w:rFonts w:ascii="Book Antiqua" w:eastAsiaTheme="minorEastAsia" w:hAnsi="Book Antiqua"/>
          <w:sz w:val="24"/>
          <w:szCs w:val="24"/>
        </w:rPr>
        <w:t>.</w:t>
      </w:r>
    </w:p>
    <w:p w14:paraId="4B889552" w14:textId="74F516CD" w:rsidR="00DE699D" w:rsidRPr="004D596A" w:rsidRDefault="00DE699D" w:rsidP="009A5150">
      <w:pPr>
        <w:spacing w:before="120" w:after="120" w:line="240" w:lineRule="auto"/>
        <w:ind w:left="426"/>
        <w:rPr>
          <w:rFonts w:ascii="Book Antiqua" w:hAnsi="Book Antiqua" w:cs="Times New Roman"/>
          <w:b/>
          <w:bCs/>
          <w:sz w:val="24"/>
          <w:szCs w:val="24"/>
        </w:rPr>
      </w:pPr>
      <w:r w:rsidRPr="004D596A">
        <w:rPr>
          <w:rFonts w:ascii="Book Antiqua" w:hAnsi="Book Antiqua" w:cs="Times New Roman"/>
          <w:b/>
          <w:bCs/>
          <w:sz w:val="24"/>
          <w:szCs w:val="24"/>
          <w:lang w:val="en-GB"/>
        </w:rPr>
        <w:t>D.3. Financial Ratio Screening for SME Funding on Securities Crowdfunding Platforms</w:t>
      </w:r>
    </w:p>
    <w:p w14:paraId="51D53651" w14:textId="2CE756F1" w:rsidR="00DE699D" w:rsidRPr="004D596A" w:rsidRDefault="00DE699D" w:rsidP="009A5150">
      <w:pPr>
        <w:spacing w:before="120" w:after="120" w:line="240" w:lineRule="auto"/>
        <w:ind w:left="426"/>
        <w:rPr>
          <w:rFonts w:ascii="Book Antiqua" w:hAnsi="Book Antiqua" w:cs="Times New Roman"/>
          <w:iCs/>
          <w:sz w:val="24"/>
          <w:szCs w:val="24"/>
        </w:rPr>
      </w:pPr>
      <w:r w:rsidRPr="004D596A">
        <w:rPr>
          <w:rFonts w:ascii="Book Antiqua" w:hAnsi="Book Antiqua" w:cs="Times New Roman"/>
          <w:iCs/>
          <w:sz w:val="24"/>
          <w:szCs w:val="24"/>
          <w:lang w:val="en-GB"/>
        </w:rPr>
        <w:t xml:space="preserve">Financial ratio screening is a screening process involving the screening of issuer securities using financial ratio indicators. Screening is conducted based on several financial statements of the company along with its financial ratios. According to regulations issued by the Financial Services Authority regarding criteria and the list of Shariah-compliant securities, it includes standardised financial ratios that issuers must have when applying for Shariah-compliant securities. These ratios should not exceed 45% in terms of the accumulation of </w:t>
      </w:r>
      <w:proofErr w:type="spellStart"/>
      <w:r w:rsidRPr="004D596A">
        <w:rPr>
          <w:rFonts w:ascii="Book Antiqua" w:hAnsi="Book Antiqua" w:cs="Times New Roman"/>
          <w:iCs/>
          <w:sz w:val="24"/>
          <w:szCs w:val="24"/>
          <w:lang w:val="en-GB"/>
        </w:rPr>
        <w:t>ribawi</w:t>
      </w:r>
      <w:proofErr w:type="spellEnd"/>
      <w:r w:rsidRPr="004D596A">
        <w:rPr>
          <w:rFonts w:ascii="Book Antiqua" w:hAnsi="Book Antiqua" w:cs="Times New Roman"/>
          <w:iCs/>
          <w:sz w:val="24"/>
          <w:szCs w:val="24"/>
          <w:lang w:val="en-GB"/>
        </w:rPr>
        <w:t xml:space="preserve"> debt components from the total assets. Additionally, the revenue earned by the issuer in conducting its business or activities should be 10%, meaning non-halal income and interest compared to the overall income of the company and other revenues</w:t>
      </w:r>
      <w:r w:rsidR="00E7257B" w:rsidRPr="004D596A">
        <w:rPr>
          <w:rFonts w:ascii="Book Antiqua" w:hAnsi="Book Antiqua" w:cs="Times New Roman"/>
          <w:iCs/>
          <w:sz w:val="24"/>
          <w:szCs w:val="24"/>
          <w:lang w:val="en-GB"/>
        </w:rPr>
        <w:t xml:space="preserve"> (</w:t>
      </w:r>
      <w:r w:rsidR="00E7257B" w:rsidRPr="004D596A">
        <w:rPr>
          <w:rFonts w:ascii="Book Antiqua" w:hAnsi="Book Antiqua" w:cs="Times New Roman"/>
          <w:sz w:val="24"/>
          <w:szCs w:val="24"/>
        </w:rPr>
        <w:t>Chapter 2, Verse 3, POJK 35/2017</w:t>
      </w:r>
      <w:r w:rsidR="00E7257B" w:rsidRPr="004D596A">
        <w:rPr>
          <w:rFonts w:ascii="Book Antiqua" w:hAnsi="Book Antiqua" w:cs="Times New Roman"/>
          <w:iCs/>
          <w:sz w:val="24"/>
          <w:szCs w:val="24"/>
          <w:lang w:val="en-GB"/>
        </w:rPr>
        <w:t>)</w:t>
      </w:r>
      <w:r w:rsidRPr="004D596A">
        <w:rPr>
          <w:rFonts w:ascii="Book Antiqua" w:hAnsi="Book Antiqua" w:cs="Times New Roman"/>
          <w:iCs/>
          <w:sz w:val="24"/>
          <w:szCs w:val="24"/>
        </w:rPr>
        <w:t>.</w:t>
      </w:r>
    </w:p>
    <w:p w14:paraId="7B919EDC" w14:textId="029FE554" w:rsidR="00DE699D" w:rsidRPr="004D596A" w:rsidRDefault="00DE699D" w:rsidP="009A5150">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lang w:val="en-GB"/>
        </w:rPr>
        <w:t>There are several variations in financial ratio screening referring to the examination of financial ratios in Malaysia. In Malaysia, different limits are set, including 5% for business activities that are explicitly not allowed according to Shariah principles, such as interest-based bank loans, alcoholic beverages, gambling, and pork-related products; 10% specifically for business models that are not allowed but difficult to avoid, such as margins on deposits from conventional banking deposits and cigarette products; and 20% specifically for revenue from casinos, intoxicants, pork-related products, hospitality, and non-compliant stock transactions</w:t>
      </w:r>
      <w:r w:rsidR="00E7257B" w:rsidRPr="004D596A">
        <w:rPr>
          <w:rFonts w:ascii="Book Antiqua" w:hAnsi="Book Antiqua" w:cs="Times New Roman"/>
          <w:sz w:val="24"/>
          <w:szCs w:val="24"/>
          <w:lang w:val="en-GB"/>
        </w:rPr>
        <w:t xml:space="preserve"> </w:t>
      </w:r>
      <w:r w:rsidR="00E7257B" w:rsidRPr="004D596A">
        <w:rPr>
          <w:rFonts w:ascii="Book Antiqua" w:hAnsi="Book Antiqua" w:cs="Times New Roman"/>
          <w:sz w:val="24"/>
          <w:szCs w:val="24"/>
          <w:lang w:val="en-GB"/>
        </w:rPr>
        <w:fldChar w:fldCharType="begin" w:fldLock="1"/>
      </w:r>
      <w:r w:rsidR="00FC55F4" w:rsidRPr="004D596A">
        <w:rPr>
          <w:rFonts w:ascii="Book Antiqua" w:hAnsi="Book Antiqua" w:cs="Times New Roman"/>
          <w:sz w:val="24"/>
          <w:szCs w:val="24"/>
          <w:lang w:val="en-GB"/>
        </w:rPr>
        <w:instrText>ADDIN CSL_CITATION {"citationItems":[{"id":"ITEM-1","itemData":{"author":[{"dropping-particle":"","family":"Bakar","given":"Noor Latiffah Adam dan Nordin Abu","non-dropping-particle":"","parse-names":false,"suffix":""}],"container-title":"Journal Procedia - Social and Behavioral Sciences","id":"ITEM-1","issue":"121","issued":{"date-parts":[["2014"]]},"page":"116","title":"Shariah Screening Process in Malaysia","type":"article-journal"},"uris":["http://www.mendeley.com/documents/?uuid=78346d2e-f366-4e7a-bfb0-e528df349dd3"]}],"mendeley":{"formattedCitation":"(Bakar, 2014)","plainTextFormattedCitation":"(Bakar, 2014)","previouslyFormattedCitation":"(Bakar, 2014)"},"properties":{"noteIndex":0},"schema":"https://github.com/citation-style-language/schema/raw/master/csl-citation.json"}</w:instrText>
      </w:r>
      <w:r w:rsidR="00E7257B" w:rsidRPr="004D596A">
        <w:rPr>
          <w:rFonts w:ascii="Book Antiqua" w:hAnsi="Book Antiqua" w:cs="Times New Roman"/>
          <w:sz w:val="24"/>
          <w:szCs w:val="24"/>
          <w:lang w:val="en-GB"/>
        </w:rPr>
        <w:fldChar w:fldCharType="separate"/>
      </w:r>
      <w:r w:rsidR="00E7257B" w:rsidRPr="004D596A">
        <w:rPr>
          <w:rFonts w:ascii="Book Antiqua" w:hAnsi="Book Antiqua" w:cs="Times New Roman"/>
          <w:noProof/>
          <w:sz w:val="24"/>
          <w:szCs w:val="24"/>
          <w:lang w:val="en-GB"/>
        </w:rPr>
        <w:t>(Bakar, 2014)</w:t>
      </w:r>
      <w:r w:rsidR="00E7257B" w:rsidRPr="004D596A">
        <w:rPr>
          <w:rFonts w:ascii="Book Antiqua" w:hAnsi="Book Antiqua" w:cs="Times New Roman"/>
          <w:sz w:val="24"/>
          <w:szCs w:val="24"/>
          <w:lang w:val="en-GB"/>
        </w:rPr>
        <w:fldChar w:fldCharType="end"/>
      </w:r>
      <w:r w:rsidRPr="004D596A">
        <w:rPr>
          <w:rFonts w:ascii="Book Antiqua" w:hAnsi="Book Antiqua" w:cs="Times New Roman"/>
          <w:sz w:val="24"/>
          <w:szCs w:val="24"/>
        </w:rPr>
        <w:t>.</w:t>
      </w:r>
    </w:p>
    <w:p w14:paraId="1C884B2B" w14:textId="77777777" w:rsidR="00DE699D" w:rsidRPr="004D596A" w:rsidRDefault="00DE699D" w:rsidP="009A5150">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lang w:val="en-GB"/>
        </w:rPr>
        <w:t xml:space="preserve">The standards set by the Financial Services Authority in issuing the list of Shariah-compliant securities with a maximum percentage of 45% for total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 from the total assets in the compiler's review are an effort to maintain the orderliness of the national financial circulation. This policy certainly refers to the organisation of the capital market based on the Capital Market Law, where a public company can conduct an initial public offering with a minimum paid-up capital of IDR 3,000,000,000.00 (three billion Indonesian Rupiah) and above</w:t>
      </w:r>
      <w:r w:rsidRPr="004D596A">
        <w:rPr>
          <w:rFonts w:ascii="Book Antiqua" w:hAnsi="Book Antiqua" w:cs="Times New Roman"/>
          <w:sz w:val="24"/>
          <w:szCs w:val="24"/>
        </w:rPr>
        <w:t>.</w:t>
      </w:r>
    </w:p>
    <w:p w14:paraId="439DFFE6" w14:textId="77777777" w:rsidR="009A5150" w:rsidRDefault="009A5150">
      <w:pPr>
        <w:spacing w:after="160" w:line="259" w:lineRule="auto"/>
        <w:jc w:val="left"/>
        <w:rPr>
          <w:rFonts w:ascii="Book Antiqua" w:hAnsi="Book Antiqua" w:cs="Times New Roman"/>
          <w:b/>
          <w:bCs/>
        </w:rPr>
      </w:pPr>
      <w:r>
        <w:rPr>
          <w:rFonts w:ascii="Book Antiqua" w:hAnsi="Book Antiqua" w:cs="Times New Roman"/>
          <w:b/>
          <w:bCs/>
        </w:rPr>
        <w:br w:type="page"/>
      </w:r>
    </w:p>
    <w:p w14:paraId="33B8842B" w14:textId="43A8F3CE" w:rsidR="00DE699D" w:rsidRPr="009A5150" w:rsidRDefault="00DE699D" w:rsidP="00DE699D">
      <w:pPr>
        <w:spacing w:before="120" w:after="120" w:line="240" w:lineRule="auto"/>
        <w:jc w:val="center"/>
        <w:rPr>
          <w:rFonts w:ascii="Book Antiqua" w:hAnsi="Book Antiqua" w:cs="Times New Roman"/>
          <w:b/>
          <w:bCs/>
        </w:rPr>
      </w:pPr>
      <w:r w:rsidRPr="009A5150">
        <w:rPr>
          <w:rFonts w:ascii="Book Antiqua" w:hAnsi="Book Antiqua" w:cs="Times New Roman"/>
          <w:b/>
          <w:bCs/>
        </w:rPr>
        <w:lastRenderedPageBreak/>
        <w:t xml:space="preserve">Tabel </w:t>
      </w:r>
      <w:r w:rsidR="009A5150">
        <w:rPr>
          <w:rFonts w:ascii="Book Antiqua" w:hAnsi="Book Antiqua" w:cs="Times New Roman"/>
          <w:b/>
          <w:bCs/>
          <w:lang w:val="id-ID"/>
        </w:rPr>
        <w:t>4.</w:t>
      </w:r>
      <w:r w:rsidRPr="009A5150">
        <w:rPr>
          <w:rFonts w:ascii="Book Antiqua" w:hAnsi="Book Antiqua" w:cs="Times New Roman"/>
          <w:b/>
          <w:bCs/>
          <w:lang w:val="id-ID"/>
        </w:rPr>
        <w:t xml:space="preserve"> </w:t>
      </w:r>
      <w:r w:rsidRPr="009A5150">
        <w:rPr>
          <w:rFonts w:ascii="Book Antiqua" w:hAnsi="Book Antiqua" w:cs="Times New Roman"/>
          <w:b/>
          <w:bCs/>
        </w:rPr>
        <w:t xml:space="preserve">List </w:t>
      </w:r>
      <w:r w:rsidRPr="009A5150">
        <w:rPr>
          <w:rFonts w:ascii="Book Antiqua" w:hAnsi="Book Antiqua" w:cs="Times New Roman"/>
          <w:b/>
          <w:bCs/>
          <w:lang w:val="id-ID"/>
        </w:rPr>
        <w:t>o</w:t>
      </w:r>
      <w:r w:rsidRPr="009A5150">
        <w:rPr>
          <w:rFonts w:ascii="Book Antiqua" w:hAnsi="Book Antiqua" w:cs="Times New Roman"/>
          <w:b/>
          <w:bCs/>
        </w:rPr>
        <w:t>f Sharia Issuers</w:t>
      </w:r>
      <w:r w:rsidRPr="009A5150">
        <w:rPr>
          <w:rFonts w:ascii="Book Antiqua" w:hAnsi="Book Antiqua" w:cs="Times New Roman"/>
          <w:b/>
          <w:bCs/>
          <w:i/>
          <w:iCs/>
        </w:rPr>
        <w:t xml:space="preserve"> (Per 13 Oktober 2023)</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59"/>
        <w:gridCol w:w="4678"/>
        <w:gridCol w:w="1842"/>
      </w:tblGrid>
      <w:tr w:rsidR="00DE699D" w:rsidRPr="009A5150" w14:paraId="1588D81C" w14:textId="77777777" w:rsidTr="00124AC5">
        <w:trPr>
          <w:trHeight w:val="389"/>
        </w:trPr>
        <w:tc>
          <w:tcPr>
            <w:tcW w:w="567" w:type="dxa"/>
            <w:shd w:val="clear" w:color="auto" w:fill="D9D9D9"/>
            <w:vAlign w:val="center"/>
          </w:tcPr>
          <w:p w14:paraId="48B32D67"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No</w:t>
            </w:r>
          </w:p>
        </w:tc>
        <w:tc>
          <w:tcPr>
            <w:tcW w:w="1559" w:type="dxa"/>
            <w:shd w:val="clear" w:color="auto" w:fill="D9D9D9"/>
            <w:vAlign w:val="center"/>
          </w:tcPr>
          <w:p w14:paraId="1CE1A2B6" w14:textId="77777777" w:rsidR="00DE699D" w:rsidRPr="009A5150" w:rsidRDefault="00DE699D" w:rsidP="009A5150">
            <w:pPr>
              <w:spacing w:after="0" w:line="240" w:lineRule="auto"/>
              <w:jc w:val="center"/>
              <w:rPr>
                <w:rFonts w:ascii="Book Antiqua" w:hAnsi="Book Antiqua" w:cs="Times New Roman"/>
                <w:lang w:val="id-ID"/>
              </w:rPr>
            </w:pPr>
            <w:r w:rsidRPr="009A5150">
              <w:rPr>
                <w:rFonts w:ascii="Book Antiqua" w:hAnsi="Book Antiqua" w:cs="Times New Roman"/>
              </w:rPr>
              <w:t>Issuers</w:t>
            </w:r>
            <w:r w:rsidRPr="009A5150">
              <w:rPr>
                <w:rFonts w:ascii="Book Antiqua" w:hAnsi="Book Antiqua" w:cs="Times New Roman"/>
                <w:lang w:val="id-ID"/>
              </w:rPr>
              <w:t xml:space="preserve"> Code</w:t>
            </w:r>
          </w:p>
        </w:tc>
        <w:tc>
          <w:tcPr>
            <w:tcW w:w="4678" w:type="dxa"/>
            <w:shd w:val="clear" w:color="auto" w:fill="D9D9D9"/>
            <w:vAlign w:val="center"/>
          </w:tcPr>
          <w:p w14:paraId="172BCEE0" w14:textId="77777777" w:rsidR="00DE699D" w:rsidRPr="009A5150" w:rsidRDefault="00DE699D" w:rsidP="009A5150">
            <w:pPr>
              <w:spacing w:after="0" w:line="240" w:lineRule="auto"/>
              <w:jc w:val="center"/>
              <w:rPr>
                <w:rFonts w:ascii="Book Antiqua" w:hAnsi="Book Antiqua" w:cs="Times New Roman"/>
                <w:lang w:val="id-ID"/>
              </w:rPr>
            </w:pPr>
            <w:r w:rsidRPr="009A5150">
              <w:rPr>
                <w:rFonts w:ascii="Book Antiqua" w:hAnsi="Book Antiqua" w:cs="Times New Roman"/>
                <w:lang w:val="id-ID"/>
              </w:rPr>
              <w:t>Company</w:t>
            </w:r>
          </w:p>
        </w:tc>
        <w:tc>
          <w:tcPr>
            <w:tcW w:w="1842" w:type="dxa"/>
            <w:shd w:val="clear" w:color="auto" w:fill="D9D9D9"/>
            <w:vAlign w:val="center"/>
          </w:tcPr>
          <w:p w14:paraId="06AC280B"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Market Capitalization</w:t>
            </w:r>
          </w:p>
        </w:tc>
      </w:tr>
      <w:tr w:rsidR="00DE699D" w:rsidRPr="009A5150" w14:paraId="71F8E2B7" w14:textId="77777777" w:rsidTr="00124AC5">
        <w:trPr>
          <w:trHeight w:val="389"/>
        </w:trPr>
        <w:tc>
          <w:tcPr>
            <w:tcW w:w="567" w:type="dxa"/>
            <w:shd w:val="clear" w:color="auto" w:fill="auto"/>
            <w:vAlign w:val="center"/>
          </w:tcPr>
          <w:p w14:paraId="3DD760CC"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1</w:t>
            </w:r>
          </w:p>
        </w:tc>
        <w:tc>
          <w:tcPr>
            <w:tcW w:w="1559" w:type="dxa"/>
            <w:shd w:val="clear" w:color="auto" w:fill="auto"/>
            <w:vAlign w:val="center"/>
          </w:tcPr>
          <w:p w14:paraId="0AA9358C"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TLKM</w:t>
            </w:r>
          </w:p>
        </w:tc>
        <w:tc>
          <w:tcPr>
            <w:tcW w:w="4678" w:type="dxa"/>
            <w:shd w:val="clear" w:color="auto" w:fill="auto"/>
            <w:vAlign w:val="center"/>
          </w:tcPr>
          <w:p w14:paraId="1878019F"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 xml:space="preserve">PT. Telkom Indonesia </w:t>
            </w:r>
            <w:proofErr w:type="spellStart"/>
            <w:r w:rsidRPr="009A5150">
              <w:rPr>
                <w:rFonts w:ascii="Book Antiqua" w:hAnsi="Book Antiqua" w:cs="Times New Roman"/>
              </w:rPr>
              <w:t>Tbk</w:t>
            </w:r>
            <w:proofErr w:type="spellEnd"/>
          </w:p>
        </w:tc>
        <w:tc>
          <w:tcPr>
            <w:tcW w:w="1842" w:type="dxa"/>
            <w:shd w:val="clear" w:color="auto" w:fill="auto"/>
            <w:vAlign w:val="center"/>
          </w:tcPr>
          <w:p w14:paraId="4EE2E85C"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381 T</w:t>
            </w:r>
          </w:p>
        </w:tc>
      </w:tr>
      <w:tr w:rsidR="00DE699D" w:rsidRPr="009A5150" w14:paraId="48D99497" w14:textId="77777777" w:rsidTr="00124AC5">
        <w:trPr>
          <w:trHeight w:val="389"/>
        </w:trPr>
        <w:tc>
          <w:tcPr>
            <w:tcW w:w="567" w:type="dxa"/>
            <w:shd w:val="clear" w:color="auto" w:fill="auto"/>
            <w:vAlign w:val="center"/>
          </w:tcPr>
          <w:p w14:paraId="741E89C1"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2</w:t>
            </w:r>
          </w:p>
        </w:tc>
        <w:tc>
          <w:tcPr>
            <w:tcW w:w="1559" w:type="dxa"/>
            <w:shd w:val="clear" w:color="auto" w:fill="auto"/>
            <w:vAlign w:val="center"/>
          </w:tcPr>
          <w:p w14:paraId="529793F1"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ASSI</w:t>
            </w:r>
          </w:p>
        </w:tc>
        <w:tc>
          <w:tcPr>
            <w:tcW w:w="4678" w:type="dxa"/>
            <w:shd w:val="clear" w:color="auto" w:fill="auto"/>
            <w:vAlign w:val="center"/>
          </w:tcPr>
          <w:p w14:paraId="1C1374DF"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PT. Astra International Indonesia</w:t>
            </w:r>
          </w:p>
        </w:tc>
        <w:tc>
          <w:tcPr>
            <w:tcW w:w="1842" w:type="dxa"/>
            <w:shd w:val="clear" w:color="auto" w:fill="auto"/>
            <w:vAlign w:val="center"/>
          </w:tcPr>
          <w:p w14:paraId="31774D34"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240 T</w:t>
            </w:r>
          </w:p>
        </w:tc>
      </w:tr>
      <w:tr w:rsidR="00DE699D" w:rsidRPr="009A5150" w14:paraId="4E0C2C5B" w14:textId="77777777" w:rsidTr="00124AC5">
        <w:tc>
          <w:tcPr>
            <w:tcW w:w="567" w:type="dxa"/>
            <w:shd w:val="clear" w:color="auto" w:fill="auto"/>
            <w:vAlign w:val="center"/>
          </w:tcPr>
          <w:p w14:paraId="5E263062"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3</w:t>
            </w:r>
          </w:p>
        </w:tc>
        <w:tc>
          <w:tcPr>
            <w:tcW w:w="1559" w:type="dxa"/>
            <w:shd w:val="clear" w:color="auto" w:fill="auto"/>
            <w:vAlign w:val="center"/>
          </w:tcPr>
          <w:p w14:paraId="7A1AFD09"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UNVR</w:t>
            </w:r>
          </w:p>
        </w:tc>
        <w:tc>
          <w:tcPr>
            <w:tcW w:w="4678" w:type="dxa"/>
            <w:shd w:val="clear" w:color="auto" w:fill="auto"/>
            <w:vAlign w:val="center"/>
          </w:tcPr>
          <w:p w14:paraId="786A2F83"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 xml:space="preserve">PT. Unilever Indonesia </w:t>
            </w:r>
            <w:proofErr w:type="spellStart"/>
            <w:r w:rsidRPr="009A5150">
              <w:rPr>
                <w:rFonts w:ascii="Book Antiqua" w:hAnsi="Book Antiqua" w:cs="Times New Roman"/>
              </w:rPr>
              <w:t>Tbk</w:t>
            </w:r>
            <w:proofErr w:type="spellEnd"/>
          </w:p>
        </w:tc>
        <w:tc>
          <w:tcPr>
            <w:tcW w:w="1842" w:type="dxa"/>
            <w:shd w:val="clear" w:color="auto" w:fill="auto"/>
            <w:vAlign w:val="center"/>
          </w:tcPr>
          <w:p w14:paraId="1CADAE80"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139 T</w:t>
            </w:r>
          </w:p>
        </w:tc>
      </w:tr>
      <w:tr w:rsidR="00DE699D" w:rsidRPr="009A5150" w14:paraId="32BCD601" w14:textId="77777777" w:rsidTr="00124AC5">
        <w:tc>
          <w:tcPr>
            <w:tcW w:w="567" w:type="dxa"/>
            <w:shd w:val="clear" w:color="auto" w:fill="auto"/>
            <w:vAlign w:val="center"/>
          </w:tcPr>
          <w:p w14:paraId="440E8051"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4</w:t>
            </w:r>
          </w:p>
        </w:tc>
        <w:tc>
          <w:tcPr>
            <w:tcW w:w="1559" w:type="dxa"/>
            <w:shd w:val="clear" w:color="auto" w:fill="auto"/>
            <w:vAlign w:val="center"/>
          </w:tcPr>
          <w:p w14:paraId="7B5D746C"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ICBP</w:t>
            </w:r>
          </w:p>
        </w:tc>
        <w:tc>
          <w:tcPr>
            <w:tcW w:w="4678" w:type="dxa"/>
            <w:shd w:val="clear" w:color="auto" w:fill="auto"/>
            <w:vAlign w:val="center"/>
          </w:tcPr>
          <w:p w14:paraId="4B483AA3"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 xml:space="preserve">PT. Indofood CBP </w:t>
            </w:r>
            <w:proofErr w:type="spellStart"/>
            <w:r w:rsidRPr="009A5150">
              <w:rPr>
                <w:rFonts w:ascii="Book Antiqua" w:hAnsi="Book Antiqua" w:cs="Times New Roman"/>
              </w:rPr>
              <w:t>Sukses</w:t>
            </w:r>
            <w:proofErr w:type="spellEnd"/>
            <w:r w:rsidRPr="009A5150">
              <w:rPr>
                <w:rFonts w:ascii="Book Antiqua" w:hAnsi="Book Antiqua" w:cs="Times New Roman"/>
              </w:rPr>
              <w:t xml:space="preserve"> Makmur </w:t>
            </w:r>
            <w:proofErr w:type="spellStart"/>
            <w:r w:rsidRPr="009A5150">
              <w:rPr>
                <w:rFonts w:ascii="Book Antiqua" w:hAnsi="Book Antiqua" w:cs="Times New Roman"/>
              </w:rPr>
              <w:t>Tbk</w:t>
            </w:r>
            <w:proofErr w:type="spellEnd"/>
          </w:p>
        </w:tc>
        <w:tc>
          <w:tcPr>
            <w:tcW w:w="1842" w:type="dxa"/>
            <w:shd w:val="clear" w:color="auto" w:fill="auto"/>
            <w:vAlign w:val="center"/>
          </w:tcPr>
          <w:p w14:paraId="2CFE4C2B"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127 T</w:t>
            </w:r>
          </w:p>
        </w:tc>
      </w:tr>
      <w:tr w:rsidR="00DE699D" w:rsidRPr="009A5150" w14:paraId="735A000B" w14:textId="77777777" w:rsidTr="00124AC5">
        <w:tc>
          <w:tcPr>
            <w:tcW w:w="567" w:type="dxa"/>
            <w:shd w:val="clear" w:color="auto" w:fill="auto"/>
            <w:vAlign w:val="center"/>
          </w:tcPr>
          <w:p w14:paraId="116AA9AD"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5</w:t>
            </w:r>
          </w:p>
        </w:tc>
        <w:tc>
          <w:tcPr>
            <w:tcW w:w="1559" w:type="dxa"/>
            <w:shd w:val="clear" w:color="auto" w:fill="auto"/>
            <w:vAlign w:val="center"/>
          </w:tcPr>
          <w:p w14:paraId="43FC05FF"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BRIS</w:t>
            </w:r>
          </w:p>
        </w:tc>
        <w:tc>
          <w:tcPr>
            <w:tcW w:w="4678" w:type="dxa"/>
            <w:shd w:val="clear" w:color="auto" w:fill="auto"/>
            <w:vAlign w:val="center"/>
          </w:tcPr>
          <w:p w14:paraId="367EF1A9"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 xml:space="preserve">PT. Bank Syariah Indonesia </w:t>
            </w:r>
            <w:proofErr w:type="spellStart"/>
            <w:r w:rsidRPr="009A5150">
              <w:rPr>
                <w:rFonts w:ascii="Book Antiqua" w:hAnsi="Book Antiqua" w:cs="Times New Roman"/>
              </w:rPr>
              <w:t>Tbk</w:t>
            </w:r>
            <w:proofErr w:type="spellEnd"/>
          </w:p>
        </w:tc>
        <w:tc>
          <w:tcPr>
            <w:tcW w:w="1842" w:type="dxa"/>
            <w:shd w:val="clear" w:color="auto" w:fill="auto"/>
            <w:vAlign w:val="center"/>
          </w:tcPr>
          <w:p w14:paraId="3F09BB0F"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71 T</w:t>
            </w:r>
          </w:p>
        </w:tc>
      </w:tr>
      <w:tr w:rsidR="00DE699D" w:rsidRPr="009A5150" w14:paraId="162739CF" w14:textId="77777777" w:rsidTr="00124AC5">
        <w:tc>
          <w:tcPr>
            <w:tcW w:w="567" w:type="dxa"/>
            <w:shd w:val="clear" w:color="auto" w:fill="auto"/>
            <w:vAlign w:val="center"/>
          </w:tcPr>
          <w:p w14:paraId="5EC09EC7"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6</w:t>
            </w:r>
          </w:p>
        </w:tc>
        <w:tc>
          <w:tcPr>
            <w:tcW w:w="1559" w:type="dxa"/>
            <w:shd w:val="clear" w:color="auto" w:fill="auto"/>
            <w:vAlign w:val="center"/>
          </w:tcPr>
          <w:p w14:paraId="1E983101"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ANTM</w:t>
            </w:r>
          </w:p>
        </w:tc>
        <w:tc>
          <w:tcPr>
            <w:tcW w:w="4678" w:type="dxa"/>
            <w:shd w:val="clear" w:color="auto" w:fill="auto"/>
            <w:vAlign w:val="center"/>
          </w:tcPr>
          <w:p w14:paraId="4F9CBEBE"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 xml:space="preserve">PT. Aneka Tambang </w:t>
            </w:r>
            <w:proofErr w:type="spellStart"/>
            <w:r w:rsidRPr="009A5150">
              <w:rPr>
                <w:rFonts w:ascii="Book Antiqua" w:hAnsi="Book Antiqua" w:cs="Times New Roman"/>
              </w:rPr>
              <w:t>Tbk</w:t>
            </w:r>
            <w:proofErr w:type="spellEnd"/>
          </w:p>
        </w:tc>
        <w:tc>
          <w:tcPr>
            <w:tcW w:w="1842" w:type="dxa"/>
            <w:shd w:val="clear" w:color="auto" w:fill="auto"/>
            <w:vAlign w:val="center"/>
          </w:tcPr>
          <w:p w14:paraId="4B4E4E86"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43 T</w:t>
            </w:r>
          </w:p>
        </w:tc>
      </w:tr>
      <w:tr w:rsidR="00DE699D" w:rsidRPr="009A5150" w14:paraId="78DB844A" w14:textId="77777777" w:rsidTr="00124AC5">
        <w:tc>
          <w:tcPr>
            <w:tcW w:w="567" w:type="dxa"/>
            <w:shd w:val="clear" w:color="auto" w:fill="auto"/>
            <w:vAlign w:val="center"/>
          </w:tcPr>
          <w:p w14:paraId="79E1667B"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7</w:t>
            </w:r>
          </w:p>
        </w:tc>
        <w:tc>
          <w:tcPr>
            <w:tcW w:w="1559" w:type="dxa"/>
            <w:shd w:val="clear" w:color="auto" w:fill="auto"/>
            <w:vAlign w:val="center"/>
          </w:tcPr>
          <w:p w14:paraId="572563EF"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PTBA</w:t>
            </w:r>
          </w:p>
        </w:tc>
        <w:tc>
          <w:tcPr>
            <w:tcW w:w="4678" w:type="dxa"/>
            <w:shd w:val="clear" w:color="auto" w:fill="auto"/>
            <w:vAlign w:val="center"/>
          </w:tcPr>
          <w:p w14:paraId="5077AD5A"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 xml:space="preserve">PT. Bukit Asam </w:t>
            </w:r>
            <w:proofErr w:type="spellStart"/>
            <w:r w:rsidRPr="009A5150">
              <w:rPr>
                <w:rFonts w:ascii="Book Antiqua" w:hAnsi="Book Antiqua" w:cs="Times New Roman"/>
              </w:rPr>
              <w:t>Tbk</w:t>
            </w:r>
            <w:proofErr w:type="spellEnd"/>
          </w:p>
        </w:tc>
        <w:tc>
          <w:tcPr>
            <w:tcW w:w="1842" w:type="dxa"/>
            <w:shd w:val="clear" w:color="auto" w:fill="auto"/>
            <w:vAlign w:val="center"/>
          </w:tcPr>
          <w:p w14:paraId="1A423442"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31 T</w:t>
            </w:r>
          </w:p>
        </w:tc>
      </w:tr>
      <w:tr w:rsidR="00DE699D" w:rsidRPr="009A5150" w14:paraId="2B370619" w14:textId="77777777" w:rsidTr="00124AC5">
        <w:tc>
          <w:tcPr>
            <w:tcW w:w="567" w:type="dxa"/>
            <w:shd w:val="clear" w:color="auto" w:fill="auto"/>
            <w:vAlign w:val="center"/>
          </w:tcPr>
          <w:p w14:paraId="186F138E"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8</w:t>
            </w:r>
          </w:p>
        </w:tc>
        <w:tc>
          <w:tcPr>
            <w:tcW w:w="1559" w:type="dxa"/>
            <w:shd w:val="clear" w:color="auto" w:fill="auto"/>
            <w:vAlign w:val="center"/>
          </w:tcPr>
          <w:p w14:paraId="784DEE0C"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ITMG</w:t>
            </w:r>
          </w:p>
        </w:tc>
        <w:tc>
          <w:tcPr>
            <w:tcW w:w="4678" w:type="dxa"/>
            <w:shd w:val="clear" w:color="auto" w:fill="auto"/>
            <w:vAlign w:val="center"/>
          </w:tcPr>
          <w:p w14:paraId="60B23CCA"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 xml:space="preserve">PT. Indo Tambang Raya </w:t>
            </w:r>
            <w:proofErr w:type="spellStart"/>
            <w:r w:rsidRPr="009A5150">
              <w:rPr>
                <w:rFonts w:ascii="Book Antiqua" w:hAnsi="Book Antiqua" w:cs="Times New Roman"/>
              </w:rPr>
              <w:t>Megah</w:t>
            </w:r>
            <w:proofErr w:type="spellEnd"/>
            <w:r w:rsidRPr="009A5150">
              <w:rPr>
                <w:rFonts w:ascii="Book Antiqua" w:hAnsi="Book Antiqua" w:cs="Times New Roman"/>
              </w:rPr>
              <w:t xml:space="preserve"> </w:t>
            </w:r>
            <w:proofErr w:type="spellStart"/>
            <w:r w:rsidRPr="009A5150">
              <w:rPr>
                <w:rFonts w:ascii="Book Antiqua" w:hAnsi="Book Antiqua" w:cs="Times New Roman"/>
              </w:rPr>
              <w:t>Tbk</w:t>
            </w:r>
            <w:proofErr w:type="spellEnd"/>
          </w:p>
        </w:tc>
        <w:tc>
          <w:tcPr>
            <w:tcW w:w="1842" w:type="dxa"/>
            <w:shd w:val="clear" w:color="auto" w:fill="auto"/>
            <w:vAlign w:val="center"/>
          </w:tcPr>
          <w:p w14:paraId="30D30A18"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30 T</w:t>
            </w:r>
          </w:p>
        </w:tc>
      </w:tr>
      <w:tr w:rsidR="00DE699D" w:rsidRPr="009A5150" w14:paraId="058F7053" w14:textId="77777777" w:rsidTr="00124AC5">
        <w:tc>
          <w:tcPr>
            <w:tcW w:w="567" w:type="dxa"/>
            <w:shd w:val="clear" w:color="auto" w:fill="auto"/>
            <w:vAlign w:val="center"/>
          </w:tcPr>
          <w:p w14:paraId="78F1BC94"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9</w:t>
            </w:r>
          </w:p>
        </w:tc>
        <w:tc>
          <w:tcPr>
            <w:tcW w:w="1559" w:type="dxa"/>
            <w:shd w:val="clear" w:color="auto" w:fill="auto"/>
            <w:vAlign w:val="center"/>
          </w:tcPr>
          <w:p w14:paraId="6CDC6F40"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SIDO</w:t>
            </w:r>
          </w:p>
        </w:tc>
        <w:tc>
          <w:tcPr>
            <w:tcW w:w="4678" w:type="dxa"/>
            <w:shd w:val="clear" w:color="auto" w:fill="auto"/>
            <w:vAlign w:val="center"/>
          </w:tcPr>
          <w:p w14:paraId="5FA4E342"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 xml:space="preserve">PT. </w:t>
            </w:r>
            <w:proofErr w:type="spellStart"/>
            <w:r w:rsidRPr="009A5150">
              <w:rPr>
                <w:rFonts w:ascii="Book Antiqua" w:hAnsi="Book Antiqua" w:cs="Times New Roman"/>
              </w:rPr>
              <w:t>Industri</w:t>
            </w:r>
            <w:proofErr w:type="spellEnd"/>
            <w:r w:rsidRPr="009A5150">
              <w:rPr>
                <w:rFonts w:ascii="Book Antiqua" w:hAnsi="Book Antiqua" w:cs="Times New Roman"/>
              </w:rPr>
              <w:t xml:space="preserve"> Jamu dan Farmasi Sd </w:t>
            </w:r>
            <w:proofErr w:type="spellStart"/>
            <w:r w:rsidRPr="009A5150">
              <w:rPr>
                <w:rFonts w:ascii="Book Antiqua" w:hAnsi="Book Antiqua" w:cs="Times New Roman"/>
              </w:rPr>
              <w:t>Mncl</w:t>
            </w:r>
            <w:proofErr w:type="spellEnd"/>
            <w:r w:rsidRPr="009A5150">
              <w:rPr>
                <w:rFonts w:ascii="Book Antiqua" w:hAnsi="Book Antiqua" w:cs="Times New Roman"/>
              </w:rPr>
              <w:t xml:space="preserve"> </w:t>
            </w:r>
            <w:proofErr w:type="spellStart"/>
            <w:r w:rsidRPr="009A5150">
              <w:rPr>
                <w:rFonts w:ascii="Book Antiqua" w:hAnsi="Book Antiqua" w:cs="Times New Roman"/>
              </w:rPr>
              <w:t>Tbk</w:t>
            </w:r>
            <w:proofErr w:type="spellEnd"/>
          </w:p>
        </w:tc>
        <w:tc>
          <w:tcPr>
            <w:tcW w:w="1842" w:type="dxa"/>
            <w:shd w:val="clear" w:color="auto" w:fill="auto"/>
            <w:vAlign w:val="center"/>
          </w:tcPr>
          <w:p w14:paraId="53AF424D"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17 T</w:t>
            </w:r>
          </w:p>
        </w:tc>
      </w:tr>
      <w:tr w:rsidR="00DE699D" w:rsidRPr="009A5150" w14:paraId="3A07FC54" w14:textId="77777777" w:rsidTr="00124AC5">
        <w:tc>
          <w:tcPr>
            <w:tcW w:w="567" w:type="dxa"/>
            <w:shd w:val="clear" w:color="auto" w:fill="auto"/>
            <w:vAlign w:val="center"/>
          </w:tcPr>
          <w:p w14:paraId="6AD4C64A"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10</w:t>
            </w:r>
          </w:p>
        </w:tc>
        <w:tc>
          <w:tcPr>
            <w:tcW w:w="1559" w:type="dxa"/>
            <w:shd w:val="clear" w:color="auto" w:fill="auto"/>
            <w:vAlign w:val="center"/>
          </w:tcPr>
          <w:p w14:paraId="7FC7F02D"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JPFA</w:t>
            </w:r>
          </w:p>
        </w:tc>
        <w:tc>
          <w:tcPr>
            <w:tcW w:w="4678" w:type="dxa"/>
            <w:shd w:val="clear" w:color="auto" w:fill="auto"/>
            <w:vAlign w:val="center"/>
          </w:tcPr>
          <w:p w14:paraId="3455F2BF"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 xml:space="preserve">PT. </w:t>
            </w:r>
            <w:proofErr w:type="spellStart"/>
            <w:r w:rsidRPr="009A5150">
              <w:rPr>
                <w:rFonts w:ascii="Book Antiqua" w:hAnsi="Book Antiqua" w:cs="Times New Roman"/>
              </w:rPr>
              <w:t>Japfa</w:t>
            </w:r>
            <w:proofErr w:type="spellEnd"/>
            <w:r w:rsidRPr="009A5150">
              <w:rPr>
                <w:rFonts w:ascii="Book Antiqua" w:hAnsi="Book Antiqua" w:cs="Times New Roman"/>
              </w:rPr>
              <w:t xml:space="preserve"> </w:t>
            </w:r>
            <w:proofErr w:type="spellStart"/>
            <w:r w:rsidRPr="009A5150">
              <w:rPr>
                <w:rFonts w:ascii="Book Antiqua" w:hAnsi="Book Antiqua" w:cs="Times New Roman"/>
              </w:rPr>
              <w:t>Comfeed</w:t>
            </w:r>
            <w:proofErr w:type="spellEnd"/>
            <w:r w:rsidRPr="009A5150">
              <w:rPr>
                <w:rFonts w:ascii="Book Antiqua" w:hAnsi="Book Antiqua" w:cs="Times New Roman"/>
              </w:rPr>
              <w:t xml:space="preserve"> Indonesia </w:t>
            </w:r>
            <w:proofErr w:type="spellStart"/>
            <w:r w:rsidRPr="009A5150">
              <w:rPr>
                <w:rFonts w:ascii="Book Antiqua" w:hAnsi="Book Antiqua" w:cs="Times New Roman"/>
              </w:rPr>
              <w:t>Tbk</w:t>
            </w:r>
            <w:proofErr w:type="spellEnd"/>
          </w:p>
        </w:tc>
        <w:tc>
          <w:tcPr>
            <w:tcW w:w="1842" w:type="dxa"/>
            <w:shd w:val="clear" w:color="auto" w:fill="auto"/>
            <w:vAlign w:val="center"/>
          </w:tcPr>
          <w:p w14:paraId="604E61BA" w14:textId="77777777" w:rsidR="00DE699D" w:rsidRPr="009A5150" w:rsidRDefault="00DE699D" w:rsidP="009A5150">
            <w:pPr>
              <w:spacing w:after="0" w:line="240" w:lineRule="auto"/>
              <w:jc w:val="center"/>
              <w:rPr>
                <w:rFonts w:ascii="Book Antiqua" w:hAnsi="Book Antiqua" w:cs="Times New Roman"/>
              </w:rPr>
            </w:pPr>
            <w:r w:rsidRPr="009A5150">
              <w:rPr>
                <w:rFonts w:ascii="Book Antiqua" w:hAnsi="Book Antiqua" w:cs="Times New Roman"/>
              </w:rPr>
              <w:t>15 T</w:t>
            </w:r>
          </w:p>
        </w:tc>
      </w:tr>
    </w:tbl>
    <w:p w14:paraId="0C2A7EBF" w14:textId="554D2B85" w:rsidR="00124AC5" w:rsidRPr="00EE4555" w:rsidRDefault="00DE699D" w:rsidP="00EE4555">
      <w:pPr>
        <w:spacing w:after="240" w:line="240" w:lineRule="auto"/>
        <w:ind w:firstLine="567"/>
        <w:rPr>
          <w:rFonts w:ascii="Book Antiqua" w:hAnsi="Book Antiqua" w:cs="Times New Roman"/>
          <w:i/>
          <w:sz w:val="20"/>
          <w:szCs w:val="20"/>
        </w:rPr>
      </w:pPr>
      <w:r w:rsidRPr="00EE4555">
        <w:rPr>
          <w:rFonts w:ascii="Book Antiqua" w:hAnsi="Book Antiqua" w:cs="Times New Roman"/>
          <w:i/>
          <w:sz w:val="20"/>
          <w:szCs w:val="20"/>
        </w:rPr>
        <w:t xml:space="preserve">Source: </w:t>
      </w:r>
      <w:r w:rsidRPr="00EE4555">
        <w:rPr>
          <w:rFonts w:ascii="Book Antiqua" w:hAnsi="Book Antiqua" w:cs="Times New Roman"/>
          <w:i/>
          <w:sz w:val="20"/>
          <w:szCs w:val="20"/>
          <w:lang w:val="id-ID"/>
        </w:rPr>
        <w:t>Indonesia Stock Exchange</w:t>
      </w:r>
    </w:p>
    <w:p w14:paraId="24E6AD79" w14:textId="77777777" w:rsidR="00124AC5" w:rsidRDefault="00DE699D" w:rsidP="00124AC5">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lang w:val="en-GB"/>
        </w:rPr>
        <w:t xml:space="preserve">The use of market capitalization for each issuer is based on the availability of capital for the existing issuers listed in the table. When these issuers undertake corporate actions requiring capital, the required operational capital is significant due to the large market reach of each issuer. For example, PT. Bank Syariah Indonesia </w:t>
      </w:r>
      <w:proofErr w:type="spellStart"/>
      <w:r w:rsidRPr="004D596A">
        <w:rPr>
          <w:rFonts w:ascii="Book Antiqua" w:hAnsi="Book Antiqua" w:cs="Times New Roman"/>
          <w:sz w:val="24"/>
          <w:szCs w:val="24"/>
          <w:lang w:val="en-GB"/>
        </w:rPr>
        <w:t>Tbk</w:t>
      </w:r>
      <w:proofErr w:type="spellEnd"/>
      <w:r w:rsidRPr="004D596A">
        <w:rPr>
          <w:rFonts w:ascii="Book Antiqua" w:hAnsi="Book Antiqua" w:cs="Times New Roman"/>
          <w:sz w:val="24"/>
          <w:szCs w:val="24"/>
          <w:lang w:val="en-GB"/>
        </w:rPr>
        <w:t xml:space="preserve"> has a market cap of 71 trillion with cash reserves of 4.9 trillion and assets of 313 trillion, along with liabilities of 277 trillion. Despite having substantial cash reserves, PT. Bank Syariah Indonesia </w:t>
      </w:r>
      <w:proofErr w:type="spellStart"/>
      <w:r w:rsidRPr="004D596A">
        <w:rPr>
          <w:rFonts w:ascii="Book Antiqua" w:hAnsi="Book Antiqua" w:cs="Times New Roman"/>
          <w:sz w:val="24"/>
          <w:szCs w:val="24"/>
          <w:lang w:val="en-GB"/>
        </w:rPr>
        <w:t>Tbk</w:t>
      </w:r>
      <w:proofErr w:type="spellEnd"/>
      <w:r w:rsidRPr="004D596A">
        <w:rPr>
          <w:rFonts w:ascii="Book Antiqua" w:hAnsi="Book Antiqua" w:cs="Times New Roman"/>
          <w:sz w:val="24"/>
          <w:szCs w:val="24"/>
          <w:lang w:val="en-GB"/>
        </w:rPr>
        <w:t xml:space="preserve"> (currently the largest Shariah bank in Southeast Asia by assets) may not be able to accommodate or mobilise capital when an issuer like PT. Telkom Indonesia requires operational capital for business expansion, especially given its highest market capitalization in the Shariah index. Therefore, the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 ratio with a maximum tolerable limit of 45% of total assets becomes a reasonable figure in the application of Shariah-compliant financial ratios, especially when compared across the entire set of Shariah issuers, which currently amounts to 558 Shariah issuers</w:t>
      </w:r>
      <w:r w:rsidRPr="004D596A">
        <w:rPr>
          <w:rFonts w:ascii="Book Antiqua" w:hAnsi="Book Antiqua" w:cs="Times New Roman"/>
          <w:sz w:val="24"/>
          <w:szCs w:val="24"/>
        </w:rPr>
        <w:t>.</w:t>
      </w:r>
    </w:p>
    <w:p w14:paraId="0BAFF1B0" w14:textId="77777777" w:rsidR="00124AC5" w:rsidRDefault="00DE699D" w:rsidP="00124AC5">
      <w:pPr>
        <w:spacing w:before="120" w:after="120" w:line="240" w:lineRule="auto"/>
        <w:ind w:left="426" w:firstLine="720"/>
        <w:rPr>
          <w:rFonts w:ascii="Book Antiqua" w:hAnsi="Book Antiqua" w:cs="Times New Roman"/>
          <w:iCs/>
          <w:sz w:val="24"/>
          <w:szCs w:val="24"/>
        </w:rPr>
      </w:pPr>
      <w:r w:rsidRPr="004D596A">
        <w:rPr>
          <w:rFonts w:ascii="Book Antiqua" w:hAnsi="Book Antiqua" w:cs="Times New Roman"/>
          <w:iCs/>
          <w:sz w:val="24"/>
          <w:szCs w:val="24"/>
          <w:lang w:val="en-GB"/>
        </w:rPr>
        <w:t>Financial ratio screening is aimed at securities in the public offering mechanism on the Indonesia Stock Exchange with a large market capitalization. Additionally, regulations issued by the Financial Services Authority regarding the standard issuance of Shariah-compliant securities explain that issuers permitted to issue securities must be public companies with a minimum paid-up capital of Rp. 3,000,000,000.00 (three billion Indonesian Rupiah). Unlike regulations governing the offering of securities through crowdfunding services, there are no provisions regarding financial ratio standards for issuers issuing their securities. This regulatory gap poses legal uncertainty for investors. The absence of these standards raises questions about which financial standards are used to screen issuer securities seeking registration. This is further reinforced by the Financial Services Authority's policy that offerings conducted through the Indonesia Stock Exchange, particularly those not intended for crowdfunding services as outlined in securities market laws</w:t>
      </w:r>
      <w:r w:rsidR="00E7257B" w:rsidRPr="004D596A">
        <w:rPr>
          <w:rFonts w:ascii="Book Antiqua" w:hAnsi="Book Antiqua" w:cs="Times New Roman"/>
          <w:iCs/>
          <w:sz w:val="24"/>
          <w:szCs w:val="24"/>
          <w:lang w:val="en-GB"/>
        </w:rPr>
        <w:t xml:space="preserve"> (</w:t>
      </w:r>
      <w:r w:rsidR="00E7257B" w:rsidRPr="004D596A">
        <w:rPr>
          <w:rFonts w:ascii="Book Antiqua" w:hAnsi="Book Antiqua" w:cs="Times New Roman"/>
          <w:sz w:val="24"/>
          <w:szCs w:val="24"/>
        </w:rPr>
        <w:t>Chapter 3, Verse 1, POJK 57/2020</w:t>
      </w:r>
      <w:r w:rsidR="00E7257B" w:rsidRPr="004D596A">
        <w:rPr>
          <w:rFonts w:ascii="Book Antiqua" w:hAnsi="Book Antiqua" w:cs="Times New Roman"/>
          <w:iCs/>
          <w:sz w:val="24"/>
          <w:szCs w:val="24"/>
          <w:lang w:val="en-GB"/>
        </w:rPr>
        <w:t>)</w:t>
      </w:r>
      <w:r w:rsidRPr="004D596A">
        <w:rPr>
          <w:rFonts w:ascii="Book Antiqua" w:hAnsi="Book Antiqua" w:cs="Times New Roman"/>
          <w:iCs/>
          <w:sz w:val="24"/>
          <w:szCs w:val="24"/>
        </w:rPr>
        <w:t>.</w:t>
      </w:r>
    </w:p>
    <w:p w14:paraId="28E0D546" w14:textId="77777777" w:rsidR="00124AC5" w:rsidRDefault="00124AC5">
      <w:pPr>
        <w:spacing w:after="160" w:line="259" w:lineRule="auto"/>
        <w:jc w:val="left"/>
        <w:rPr>
          <w:rFonts w:ascii="Book Antiqua" w:hAnsi="Book Antiqua" w:cs="Times New Roman"/>
          <w:iCs/>
          <w:sz w:val="24"/>
          <w:szCs w:val="24"/>
        </w:rPr>
      </w:pPr>
      <w:r>
        <w:rPr>
          <w:rFonts w:ascii="Book Antiqua" w:hAnsi="Book Antiqua" w:cs="Times New Roman"/>
          <w:iCs/>
          <w:sz w:val="24"/>
          <w:szCs w:val="24"/>
        </w:rPr>
        <w:br w:type="page"/>
      </w:r>
    </w:p>
    <w:p w14:paraId="51CEADFD" w14:textId="77777777" w:rsidR="00124AC5" w:rsidRDefault="00DE699D" w:rsidP="00124AC5">
      <w:pPr>
        <w:spacing w:before="120" w:after="120" w:line="240" w:lineRule="auto"/>
        <w:ind w:left="426" w:firstLine="720"/>
        <w:rPr>
          <w:rFonts w:ascii="Book Antiqua" w:hAnsi="Book Antiqua" w:cs="Times New Roman"/>
          <w:i/>
          <w:sz w:val="24"/>
          <w:szCs w:val="24"/>
        </w:rPr>
      </w:pPr>
      <w:r w:rsidRPr="004D596A">
        <w:rPr>
          <w:rFonts w:ascii="Book Antiqua" w:hAnsi="Book Antiqua" w:cs="Times New Roman"/>
          <w:sz w:val="24"/>
          <w:szCs w:val="24"/>
          <w:lang w:val="en-GB"/>
        </w:rPr>
        <w:lastRenderedPageBreak/>
        <w:t xml:space="preserve">The compiler evaluates the maximum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financial ratio standard of 45%, considering the overall market capitalization and available funding. Subsequently, it can be formulated into maximum financial ratio standards for Shariah crowdfunding services. Funding raised through securities crowdfunding schemes has reached a value of $1 trillion</w:t>
      </w:r>
      <w:r w:rsidR="000B2CDD" w:rsidRPr="004D596A">
        <w:rPr>
          <w:rFonts w:ascii="Book Antiqua" w:hAnsi="Book Antiqua" w:cs="Times New Roman"/>
          <w:sz w:val="24"/>
          <w:szCs w:val="24"/>
          <w:lang w:val="en-GB"/>
        </w:rPr>
        <w:t xml:space="preserve"> (PT Shafiq Digital Indonesia, 2023)</w:t>
      </w:r>
      <w:r w:rsidRPr="004D596A">
        <w:rPr>
          <w:rFonts w:ascii="Book Antiqua" w:hAnsi="Book Antiqua" w:cs="Times New Roman"/>
          <w:sz w:val="24"/>
          <w:szCs w:val="24"/>
        </w:rPr>
        <w:t xml:space="preserve">. </w:t>
      </w:r>
      <w:r w:rsidRPr="004D596A">
        <w:rPr>
          <w:rFonts w:ascii="Book Antiqua" w:hAnsi="Book Antiqua" w:cs="Times New Roman"/>
          <w:sz w:val="24"/>
          <w:szCs w:val="24"/>
          <w:lang w:val="en-GB"/>
        </w:rPr>
        <w:t xml:space="preserve">The accumulated funding value of the crowdfunding service provides a general overview of the market capitalization held by the Securities Crowdfunding Exchange. When calculating the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debt-funded cash ratio, it can be applied at a ratio of 10-15%, representing a small percentage compared to the availability of cash in conventional banking capitalization and other non-bank institutions. According to the financial ratio compiler, the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debt-funded cash ratio can be pushed down to 0%, meaning that 100% of the issuer's capital is Shariah-compliant, especially for Sukuk-based securities. This calculation, based on the assumption that the funding amount reached 1 trillion, converted with the available cash of PT. Bank Syariah Indonesia </w:t>
      </w:r>
      <w:proofErr w:type="spellStart"/>
      <w:r w:rsidRPr="004D596A">
        <w:rPr>
          <w:rFonts w:ascii="Book Antiqua" w:hAnsi="Book Antiqua" w:cs="Times New Roman"/>
          <w:sz w:val="24"/>
          <w:szCs w:val="24"/>
          <w:lang w:val="en-GB"/>
        </w:rPr>
        <w:t>Tbk</w:t>
      </w:r>
      <w:proofErr w:type="spellEnd"/>
      <w:r w:rsidRPr="004D596A">
        <w:rPr>
          <w:rFonts w:ascii="Book Antiqua" w:hAnsi="Book Antiqua" w:cs="Times New Roman"/>
          <w:sz w:val="24"/>
          <w:szCs w:val="24"/>
          <w:lang w:val="en-GB"/>
        </w:rPr>
        <w:t xml:space="preserve"> amounting to 4.9 trillion (not including market cap and assets), suggests that this capital can adequately cover the application of 0%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net capital (cash is still available from other Shariah banking and non-banking institutions). If the aim is to maintain national financial stability, the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financial ratio of 45% can be reduced to 10-15% for securities crowdfunding offerings</w:t>
      </w:r>
      <w:r w:rsidRPr="004D596A">
        <w:rPr>
          <w:rFonts w:ascii="Book Antiqua" w:hAnsi="Book Antiqua" w:cs="Times New Roman"/>
          <w:i/>
          <w:sz w:val="24"/>
          <w:szCs w:val="24"/>
        </w:rPr>
        <w:t>.</w:t>
      </w:r>
    </w:p>
    <w:p w14:paraId="1AD89780" w14:textId="77777777" w:rsidR="00124AC5" w:rsidRDefault="00DE699D" w:rsidP="00124AC5">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rPr>
        <w:t xml:space="preserve">Emphasis on the usurious debt ratio of 10-15% of total assets based on the maximum collection value and total assets, both of which are IDR. 10,000,000,000.00, is assumed to be small </w:t>
      </w:r>
      <w:proofErr w:type="spellStart"/>
      <w:r w:rsidRPr="004D596A">
        <w:rPr>
          <w:rFonts w:ascii="Book Antiqua" w:hAnsi="Book Antiqua" w:cs="Times New Roman"/>
          <w:sz w:val="24"/>
          <w:szCs w:val="24"/>
        </w:rPr>
        <w:t>capitalised</w:t>
      </w:r>
      <w:proofErr w:type="spellEnd"/>
      <w:r w:rsidRPr="004D596A">
        <w:rPr>
          <w:rFonts w:ascii="Book Antiqua" w:hAnsi="Book Antiqua" w:cs="Times New Roman"/>
          <w:sz w:val="24"/>
          <w:szCs w:val="24"/>
        </w:rPr>
        <w:t xml:space="preserve"> compared to the capitalization on the Indonesian Stock Exchange. Then, the availability of sharia capital to fund securities issuers in the crowdfunding service cycle can be accommodated well if the issuer carries out corporate actions that require operational capital for the purposes of expanding its business. The assumptions built are based on each issuing company being limited to raising funds through the crowdfunding service cycle at Rp. 10,000,000,000.00 and fund collection data published by PT. Shafiq Digital Indonesia as one of the crowdfunding service providers reaching Rp 1 trillion, this nominal amount if converted into PT cash. Bank Syariah Indonesia, which is worth 4.9 trillion, can certainly be </w:t>
      </w:r>
      <w:proofErr w:type="spellStart"/>
      <w:r w:rsidRPr="004D596A">
        <w:rPr>
          <w:rFonts w:ascii="Book Antiqua" w:hAnsi="Book Antiqua" w:cs="Times New Roman"/>
          <w:sz w:val="24"/>
          <w:szCs w:val="24"/>
        </w:rPr>
        <w:t>mobilised</w:t>
      </w:r>
      <w:proofErr w:type="spellEnd"/>
      <w:r w:rsidRPr="004D596A">
        <w:rPr>
          <w:rFonts w:ascii="Book Antiqua" w:hAnsi="Book Antiqua" w:cs="Times New Roman"/>
          <w:sz w:val="24"/>
          <w:szCs w:val="24"/>
        </w:rPr>
        <w:t xml:space="preserve"> in the sharia capital sector; this does not include sharia banking institutions and other sharia non-banking institutions. </w:t>
      </w:r>
    </w:p>
    <w:p w14:paraId="75AD8AC3" w14:textId="77777777" w:rsidR="00124AC5" w:rsidRDefault="00DE699D" w:rsidP="00124AC5">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lang w:val="en-GB"/>
        </w:rPr>
        <w:t xml:space="preserve">A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 ratio of 10-15% of total assets can also enhance the quality assurance of Shariah value in issuer Shariah securities companies with good corporate governance principles based on Shariah, where one of the aspects is minimizing the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 ratio, thereby increasing Shariah capital as a percentage compared to the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 ratio in the Indonesia Stock Exchange. Therefore, a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 ratio of 10-15% of total assets is a logical representation that can be fulfilled, not including the contribution of public investors in Shariah funding when the issuer undertakes corporate actions, but also as a form of religious spirit actualized in the economic cycle with Shariah values that are increasingly prominent in various investment instruments</w:t>
      </w:r>
      <w:r w:rsidRPr="004D596A">
        <w:rPr>
          <w:rFonts w:ascii="Book Antiqua" w:hAnsi="Book Antiqua" w:cs="Times New Roman"/>
          <w:sz w:val="24"/>
          <w:szCs w:val="24"/>
        </w:rPr>
        <w:t xml:space="preserve">. </w:t>
      </w:r>
    </w:p>
    <w:p w14:paraId="369FD686" w14:textId="77777777" w:rsidR="00124AC5" w:rsidRDefault="00124AC5">
      <w:pPr>
        <w:spacing w:after="160" w:line="259" w:lineRule="auto"/>
        <w:jc w:val="left"/>
        <w:rPr>
          <w:rFonts w:ascii="Book Antiqua" w:hAnsi="Book Antiqua" w:cs="Times New Roman"/>
          <w:sz w:val="24"/>
          <w:szCs w:val="24"/>
        </w:rPr>
      </w:pPr>
      <w:r>
        <w:rPr>
          <w:rFonts w:ascii="Book Antiqua" w:hAnsi="Book Antiqua" w:cs="Times New Roman"/>
          <w:sz w:val="24"/>
          <w:szCs w:val="24"/>
        </w:rPr>
        <w:br w:type="page"/>
      </w:r>
    </w:p>
    <w:p w14:paraId="0346BCDE" w14:textId="77777777" w:rsidR="00124AC5" w:rsidRDefault="00DE699D" w:rsidP="00124AC5">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lang w:val="en-GB"/>
        </w:rPr>
        <w:lastRenderedPageBreak/>
        <w:t xml:space="preserve">Issuers wishing to offer Shariah-compliant securities with capital still containing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 can take over debts from conventional banks to Shariah banks or financial institutions, similar to the mechanisms of takeovers in credit facilities (mortgages). These schemes are important for the compiler to establish a screening standard related to financial ratios for issuers using the 10-15% </w:t>
      </w:r>
      <w:proofErr w:type="spellStart"/>
      <w:r w:rsidRPr="004D596A">
        <w:rPr>
          <w:rFonts w:ascii="Book Antiqua" w:hAnsi="Book Antiqua" w:cs="Times New Roman"/>
          <w:sz w:val="24"/>
          <w:szCs w:val="24"/>
          <w:lang w:val="en-GB"/>
        </w:rPr>
        <w:t>ribawi</w:t>
      </w:r>
      <w:proofErr w:type="spellEnd"/>
      <w:r w:rsidRPr="004D596A">
        <w:rPr>
          <w:rFonts w:ascii="Book Antiqua" w:hAnsi="Book Antiqua" w:cs="Times New Roman"/>
          <w:sz w:val="24"/>
          <w:szCs w:val="24"/>
          <w:lang w:val="en-GB"/>
        </w:rPr>
        <w:t xml:space="preserve"> debt scheme. This is based on Indonesia being a legal state that implements positive law rather than Islamic law (principle of legality), so it is necessary to introduce standard financial ratio regulations to protect Shariah principles for Muslim investors as a preventive protection measure that provides legal certainty and enhances the Islamic economy by involving Shariah banking and non-banking financial institutions</w:t>
      </w:r>
      <w:r w:rsidRPr="004D596A">
        <w:rPr>
          <w:rFonts w:ascii="Book Antiqua" w:hAnsi="Book Antiqua" w:cs="Times New Roman"/>
          <w:sz w:val="24"/>
          <w:szCs w:val="24"/>
        </w:rPr>
        <w:t>.</w:t>
      </w:r>
    </w:p>
    <w:p w14:paraId="02B178DA" w14:textId="77777777" w:rsidR="00124AC5" w:rsidRDefault="00DE699D" w:rsidP="00124AC5">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lang w:val="en-GB"/>
        </w:rPr>
        <w:t xml:space="preserve">Crowdfunding services with small capitalization classifications mobilise Indonesian legal entities or businesses and mobilise funding for micro, small, and medium enterprises (MSMEs). MSMEs have net wealth standards: micro units have a net wealth of Rp50,000,000.00 (maximum turnover of Rp300,000,000.00), small units have a net wealth ranging from Rp50,000,000.00 to Rp500,000,000.00 (maximum turnover of Rp2,500,000,000.00), and medium units have a net wealth of more than Rp500,000,000 to Rp10,000,000,000.00 (maximum turnover of Rp50,000,000,000.00). It's important to note that the calculation of net wealth for all </w:t>
      </w:r>
      <w:proofErr w:type="gramStart"/>
      <w:r w:rsidRPr="004D596A">
        <w:rPr>
          <w:rFonts w:ascii="Book Antiqua" w:hAnsi="Book Antiqua" w:cs="Times New Roman"/>
          <w:sz w:val="24"/>
          <w:szCs w:val="24"/>
          <w:lang w:val="en-GB"/>
        </w:rPr>
        <w:t>three unit</w:t>
      </w:r>
      <w:proofErr w:type="gramEnd"/>
      <w:r w:rsidRPr="004D596A">
        <w:rPr>
          <w:rFonts w:ascii="Book Antiqua" w:hAnsi="Book Antiqua" w:cs="Times New Roman"/>
          <w:sz w:val="24"/>
          <w:szCs w:val="24"/>
          <w:lang w:val="en-GB"/>
        </w:rPr>
        <w:t xml:space="preserve"> classifications does not include land and buildings used for business purposes</w:t>
      </w:r>
      <w:r w:rsidR="000B2CDD" w:rsidRPr="004D596A">
        <w:rPr>
          <w:rFonts w:ascii="Book Antiqua" w:hAnsi="Book Antiqua" w:cs="Times New Roman"/>
          <w:sz w:val="24"/>
          <w:szCs w:val="24"/>
          <w:lang w:val="en-GB"/>
        </w:rPr>
        <w:t xml:space="preserve"> (</w:t>
      </w:r>
      <w:r w:rsidR="000B2CDD" w:rsidRPr="004D596A">
        <w:rPr>
          <w:rFonts w:ascii="Book Antiqua" w:hAnsi="Book Antiqua" w:cs="Times New Roman"/>
          <w:sz w:val="24"/>
          <w:szCs w:val="24"/>
        </w:rPr>
        <w:t>Chapter 1-3, UU 20/2008</w:t>
      </w:r>
      <w:r w:rsidR="000B2CDD" w:rsidRPr="004D596A">
        <w:rPr>
          <w:rFonts w:ascii="Book Antiqua" w:hAnsi="Book Antiqua" w:cs="Times New Roman"/>
          <w:sz w:val="24"/>
          <w:szCs w:val="24"/>
          <w:lang w:val="en-GB"/>
        </w:rPr>
        <w:t>)</w:t>
      </w:r>
      <w:r w:rsidRPr="004D596A">
        <w:rPr>
          <w:rFonts w:ascii="Book Antiqua" w:hAnsi="Book Antiqua" w:cs="Times New Roman"/>
          <w:sz w:val="24"/>
          <w:szCs w:val="24"/>
        </w:rPr>
        <w:t xml:space="preserve">. </w:t>
      </w:r>
      <w:r w:rsidRPr="004D596A">
        <w:rPr>
          <w:rFonts w:ascii="Book Antiqua" w:hAnsi="Book Antiqua" w:cs="Times New Roman"/>
          <w:sz w:val="24"/>
          <w:szCs w:val="24"/>
          <w:lang w:val="en-GB"/>
        </w:rPr>
        <w:t>This refers to the criteria for issuing securities on crowdfunding platforms, where the net wealth of the issuer should not exceed Rp. 10,000,000,000.00, and the classification of MSMEs, including micro, small, and medium enterprises, falls under the issuer classification</w:t>
      </w:r>
      <w:r w:rsidRPr="004D596A">
        <w:rPr>
          <w:rFonts w:ascii="Book Antiqua" w:hAnsi="Book Antiqua" w:cs="Times New Roman"/>
          <w:sz w:val="24"/>
          <w:szCs w:val="24"/>
        </w:rPr>
        <w:t>.</w:t>
      </w:r>
    </w:p>
    <w:p w14:paraId="393CBA67" w14:textId="77777777" w:rsidR="00124AC5" w:rsidRDefault="00DE699D" w:rsidP="00124AC5">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rPr>
        <w:t xml:space="preserve">Regarding the turnover of medium enterprises, ranging up to Rp. 50,000,000,000.00, there is currently no comprehensive regulation governing this maximum limit in the regulation of securities offerings through crowdfunding platforms. Therefore, there is no legal clarity regarding the consequences if the net turnover exceeds Rp. 10,000,000,000.00 (as the net wealth limit), whether such medium enterprises are not registered and cannot offer securities again, and what happens to the holders of the securities when the net wealth limit is exceeded. This also stems from the lack of sanctions imposed when the net wealth limit is exceeded after the issuer's securities have been offered to investors. </w:t>
      </w:r>
    </w:p>
    <w:p w14:paraId="4F15A6BD" w14:textId="77777777" w:rsidR="00124AC5" w:rsidRDefault="00DE699D" w:rsidP="00124AC5">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rPr>
        <w:t xml:space="preserve">Referring to capital market regulations, namely the Capital Market Law, which explains that public companies are companies with a minimum paid-up net capital of Rp. 3,000,000,000.00 (three billion rupiah), and the Financial Services Authority Regulation regarding public offerings through technology-based crowdfunding platforms, which explains that issuers allowed to offer their securities are those with a maximum net capital of Rp. 10,000,000,000.00 (ten billion rupiah), Based on this, changes are needed regarding the standard capitalization rules for issuers in the capital market, where those with net capital above Rp. 10,000,000,000.00 (ten billion rupiah) are </w:t>
      </w:r>
      <w:proofErr w:type="spellStart"/>
      <w:r w:rsidRPr="004D596A">
        <w:rPr>
          <w:rFonts w:ascii="Book Antiqua" w:hAnsi="Book Antiqua" w:cs="Times New Roman"/>
          <w:sz w:val="24"/>
          <w:szCs w:val="24"/>
        </w:rPr>
        <w:t>categorised</w:t>
      </w:r>
      <w:proofErr w:type="spellEnd"/>
      <w:r w:rsidRPr="004D596A">
        <w:rPr>
          <w:rFonts w:ascii="Book Antiqua" w:hAnsi="Book Antiqua" w:cs="Times New Roman"/>
          <w:sz w:val="24"/>
          <w:szCs w:val="24"/>
        </w:rPr>
        <w:t xml:space="preserve"> as public offerings through crowdfunding platforms. This aims to create segmentation aligned with their market capitalization, so public companies offer their securities on the Indonesia Stock Exchange (large-cap), while issuer companies on crowdfunding platforms operate on the Securities Crowdfunding Exchange (small-cap)</w:t>
      </w:r>
      <w:r w:rsidRPr="004D596A">
        <w:rPr>
          <w:rFonts w:ascii="Book Antiqua" w:hAnsi="Book Antiqua" w:cs="Times New Roman"/>
          <w:i/>
          <w:sz w:val="24"/>
          <w:szCs w:val="24"/>
        </w:rPr>
        <w:t>.</w:t>
      </w:r>
    </w:p>
    <w:p w14:paraId="170591BB" w14:textId="3210F1B6" w:rsidR="00B8633A" w:rsidRPr="004D596A" w:rsidRDefault="00DE699D" w:rsidP="00124AC5">
      <w:pPr>
        <w:spacing w:before="120" w:after="120" w:line="240" w:lineRule="auto"/>
        <w:ind w:left="426" w:firstLine="720"/>
        <w:rPr>
          <w:rFonts w:ascii="Book Antiqua" w:hAnsi="Book Antiqua" w:cs="Times New Roman"/>
          <w:sz w:val="24"/>
          <w:szCs w:val="24"/>
        </w:rPr>
      </w:pPr>
      <w:r w:rsidRPr="004D596A">
        <w:rPr>
          <w:rFonts w:ascii="Book Antiqua" w:hAnsi="Book Antiqua" w:cs="Times New Roman"/>
          <w:sz w:val="24"/>
          <w:szCs w:val="24"/>
        </w:rPr>
        <w:lastRenderedPageBreak/>
        <w:t>The benefits of implementing such market segmentation include enhancing the professionalism of companies in their early to developing stages and serving as a medium for educating them on implementing principles of good corporate governance and corporate social responsibility. Thus, the segmentation of the Securities Crowdfunding Exchange as a micro- to medium-sized capital participation cycle instrument, when reaching a professional corporate level and experiencing net asset growth exceeding Rp. 10,000,000,000.00 (ten billion rupiah), can upgrade to become public companies and expand their market capitalization. The scheme outlined by the compiler undoubtedly has positive economic and social impacts, particularly in terms of job opportunities</w:t>
      </w:r>
    </w:p>
    <w:p w14:paraId="3DC6BBFD" w14:textId="0180E551" w:rsidR="00CD2782" w:rsidRPr="004D596A" w:rsidRDefault="00BF10D4" w:rsidP="00DE699D">
      <w:pPr>
        <w:pStyle w:val="Heading1"/>
        <w:numPr>
          <w:ilvl w:val="0"/>
          <w:numId w:val="11"/>
        </w:numPr>
        <w:spacing w:before="0" w:after="0"/>
        <w:ind w:left="360" w:right="-330"/>
        <w:contextualSpacing/>
        <w:rPr>
          <w:rFonts w:ascii="Book Antiqua" w:hAnsi="Book Antiqua" w:cs="Times New Roman"/>
          <w:sz w:val="24"/>
          <w:szCs w:val="24"/>
          <w:lang w:val="en-US"/>
        </w:rPr>
      </w:pPr>
      <w:r w:rsidRPr="004D596A">
        <w:rPr>
          <w:rFonts w:ascii="Book Antiqua" w:hAnsi="Book Antiqua" w:cs="Times New Roman"/>
          <w:caps w:val="0"/>
          <w:sz w:val="24"/>
          <w:szCs w:val="24"/>
          <w:lang w:val="en-US"/>
        </w:rPr>
        <w:t xml:space="preserve">Conclusions </w:t>
      </w:r>
      <w:r w:rsidR="008A3C9D" w:rsidRPr="004D596A">
        <w:rPr>
          <w:rFonts w:ascii="Book Antiqua" w:hAnsi="Book Antiqua" w:cs="Times New Roman"/>
          <w:caps w:val="0"/>
          <w:sz w:val="24"/>
          <w:szCs w:val="24"/>
          <w:lang w:val="en-US"/>
        </w:rPr>
        <w:t xml:space="preserve">&amp; Policy </w:t>
      </w:r>
      <w:proofErr w:type="spellStart"/>
      <w:r w:rsidR="008A3C9D" w:rsidRPr="004D596A">
        <w:rPr>
          <w:rFonts w:ascii="Book Antiqua" w:hAnsi="Book Antiqua" w:cs="Times New Roman"/>
          <w:caps w:val="0"/>
          <w:sz w:val="24"/>
          <w:szCs w:val="24"/>
          <w:lang w:val="en-US"/>
        </w:rPr>
        <w:t>Recomendation</w:t>
      </w:r>
      <w:proofErr w:type="spellEnd"/>
    </w:p>
    <w:p w14:paraId="5A47A14C" w14:textId="77777777" w:rsidR="001B1AFB" w:rsidRDefault="00DE699D" w:rsidP="001B1AFB">
      <w:pPr>
        <w:spacing w:before="120" w:after="360" w:line="240" w:lineRule="auto"/>
        <w:rPr>
          <w:rFonts w:ascii="Book Antiqua" w:eastAsiaTheme="minorEastAsia" w:hAnsi="Book Antiqua" w:cs="Times New Roman"/>
          <w:noProof/>
          <w:sz w:val="24"/>
          <w:szCs w:val="24"/>
        </w:rPr>
      </w:pPr>
      <w:r w:rsidRPr="004D596A">
        <w:rPr>
          <w:rFonts w:ascii="Book Antiqua" w:eastAsiaTheme="minorEastAsia" w:hAnsi="Book Antiqua" w:cs="Times New Roman"/>
          <w:noProof/>
          <w:sz w:val="24"/>
          <w:szCs w:val="24"/>
        </w:rPr>
        <w:t>The legal vacuum poses a problem in the substantive legal aspect identified in this research. In the practice of implementation, which draws from various sources such as data from the OJK, input from securities crowdfunding service providers, and insights from academic observers of financial technology services, it is stated that Shariah principles refer to the Financial Services Authority Regulation No. 35 of 2017 concerning Criteria and Issuance of Sharia Securities List, which conflicts with the underlying rule applying to public companies, not to closed companies in securities crowdfunding services. There is also a recommendation for a reassessment of the financial ratio screening process and market segmentation between the Indonesia Stock Exchange and securities crowdfunding</w:t>
      </w:r>
      <w:r w:rsidR="008A3C9D" w:rsidRPr="004D596A">
        <w:rPr>
          <w:rFonts w:ascii="Book Antiqua" w:eastAsiaTheme="minorEastAsia" w:hAnsi="Book Antiqua" w:cs="Times New Roman"/>
          <w:noProof/>
          <w:sz w:val="24"/>
          <w:szCs w:val="24"/>
        </w:rPr>
        <w:t>.</w:t>
      </w:r>
      <w:bookmarkEnd w:id="0"/>
    </w:p>
    <w:p w14:paraId="43876EBC" w14:textId="3A61F02C" w:rsidR="00CE4C92" w:rsidRPr="001B1AFB" w:rsidRDefault="00CE4C92" w:rsidP="001B1AFB">
      <w:pPr>
        <w:spacing w:before="120" w:after="120" w:line="240" w:lineRule="auto"/>
        <w:rPr>
          <w:rFonts w:ascii="Book Antiqua" w:eastAsiaTheme="minorEastAsia" w:hAnsi="Book Antiqua" w:cs="Times New Roman"/>
          <w:b/>
          <w:bCs/>
          <w:noProof/>
          <w:sz w:val="24"/>
          <w:szCs w:val="24"/>
        </w:rPr>
      </w:pPr>
      <w:r w:rsidRPr="001B1AFB">
        <w:rPr>
          <w:rFonts w:ascii="Book Antiqua" w:hAnsi="Book Antiqua" w:cs="Times New Roman"/>
          <w:b/>
          <w:bCs/>
          <w:sz w:val="24"/>
          <w:szCs w:val="24"/>
        </w:rPr>
        <w:t>REFERENCES</w:t>
      </w:r>
    </w:p>
    <w:p w14:paraId="090A9B4C" w14:textId="0F35D853" w:rsidR="0026616C" w:rsidRPr="004D596A" w:rsidRDefault="000771E1"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sz w:val="24"/>
          <w:szCs w:val="24"/>
        </w:rPr>
        <w:fldChar w:fldCharType="begin" w:fldLock="1"/>
      </w:r>
      <w:r w:rsidRPr="004D596A">
        <w:rPr>
          <w:rFonts w:ascii="Book Antiqua" w:hAnsi="Book Antiqua"/>
          <w:sz w:val="24"/>
          <w:szCs w:val="24"/>
        </w:rPr>
        <w:instrText xml:space="preserve">ADDIN Mendeley Bibliography CSL_BIBLIOGRAPHY </w:instrText>
      </w:r>
      <w:r w:rsidRPr="004D596A">
        <w:rPr>
          <w:rFonts w:ascii="Book Antiqua" w:hAnsi="Book Antiqua"/>
          <w:sz w:val="24"/>
          <w:szCs w:val="24"/>
        </w:rPr>
        <w:fldChar w:fldCharType="separate"/>
      </w:r>
      <w:r w:rsidR="0026616C" w:rsidRPr="004D596A">
        <w:rPr>
          <w:rFonts w:ascii="Book Antiqua" w:hAnsi="Book Antiqua" w:cs="Times New Roman"/>
          <w:noProof/>
          <w:sz w:val="24"/>
          <w:szCs w:val="24"/>
        </w:rPr>
        <w:t xml:space="preserve">AKARTEPE, B. B. (2022). A Critical Review of the Thresholds of Sharia Screening for Stocks. </w:t>
      </w:r>
      <w:r w:rsidR="0026616C" w:rsidRPr="004D596A">
        <w:rPr>
          <w:rFonts w:ascii="Book Antiqua" w:hAnsi="Book Antiqua" w:cs="Times New Roman"/>
          <w:i/>
          <w:iCs/>
          <w:noProof/>
          <w:sz w:val="24"/>
          <w:szCs w:val="24"/>
        </w:rPr>
        <w:t>International Journal of Islamic Economics and Finance Studies</w:t>
      </w:r>
      <w:r w:rsidR="0026616C" w:rsidRPr="004D596A">
        <w:rPr>
          <w:rFonts w:ascii="Book Antiqua" w:hAnsi="Book Antiqua" w:cs="Times New Roman"/>
          <w:noProof/>
          <w:sz w:val="24"/>
          <w:szCs w:val="24"/>
        </w:rPr>
        <w:t>. https://doi.org/10.54427/ijisef.1129328</w:t>
      </w:r>
    </w:p>
    <w:p w14:paraId="76F4645C"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Alabdullah, T. T. Y. (2023). CAPITAL MARKET COMPANIES IN THE UAE: DETERMINANTS AND FACTORS AFFECTING THE PERFORMANCE OF LISTED UAE COMPANIES. </w:t>
      </w:r>
      <w:r w:rsidRPr="004D596A">
        <w:rPr>
          <w:rFonts w:ascii="Book Antiqua" w:hAnsi="Book Antiqua" w:cs="Times New Roman"/>
          <w:i/>
          <w:iCs/>
          <w:noProof/>
          <w:sz w:val="24"/>
          <w:szCs w:val="24"/>
        </w:rPr>
        <w:t>CASHFLOW</w:t>
      </w:r>
      <w:r w:rsidRPr="004D596A">
        <w:rPr>
          <w:rFonts w:ascii="Times New Roman" w:hAnsi="Times New Roman" w:cs="Times New Roman"/>
          <w:i/>
          <w:iCs/>
          <w:noProof/>
          <w:sz w:val="24"/>
          <w:szCs w:val="24"/>
        </w:rPr>
        <w:t> </w:t>
      </w:r>
      <w:r w:rsidRPr="004D596A">
        <w:rPr>
          <w:rFonts w:ascii="Book Antiqua" w:hAnsi="Book Antiqua" w:cs="Times New Roman"/>
          <w:i/>
          <w:iCs/>
          <w:noProof/>
          <w:sz w:val="24"/>
          <w:szCs w:val="24"/>
        </w:rPr>
        <w:t>: CURRENT ADVANCED RESEARCH ON SHARIA FINANCE AND ECONOMIC WORLDWIDE</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3</w:t>
      </w:r>
      <w:r w:rsidRPr="004D596A">
        <w:rPr>
          <w:rFonts w:ascii="Book Antiqua" w:hAnsi="Book Antiqua" w:cs="Times New Roman"/>
          <w:noProof/>
          <w:sz w:val="24"/>
          <w:szCs w:val="24"/>
        </w:rPr>
        <w:t>(1), 1–18. https://doi.org/10.55047/cashflow.v3i1.791</w:t>
      </w:r>
    </w:p>
    <w:p w14:paraId="18BB0EA4"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Albrecher, H., Eisele, K., Steffensen, M., &amp; Wüthrich, M. V. (2022). On the cost</w:t>
      </w:r>
      <w:r w:rsidRPr="004D596A">
        <w:rPr>
          <w:rFonts w:ascii="Cambria Math" w:hAnsi="Cambria Math" w:cs="Cambria Math"/>
          <w:noProof/>
          <w:sz w:val="24"/>
          <w:szCs w:val="24"/>
        </w:rPr>
        <w:t>‐</w:t>
      </w:r>
      <w:r w:rsidRPr="004D596A">
        <w:rPr>
          <w:rFonts w:ascii="Book Antiqua" w:hAnsi="Book Antiqua" w:cs="Times New Roman"/>
          <w:noProof/>
          <w:sz w:val="24"/>
          <w:szCs w:val="24"/>
        </w:rPr>
        <w:t>of</w:t>
      </w:r>
      <w:r w:rsidRPr="004D596A">
        <w:rPr>
          <w:rFonts w:ascii="Cambria Math" w:hAnsi="Cambria Math" w:cs="Cambria Math"/>
          <w:noProof/>
          <w:sz w:val="24"/>
          <w:szCs w:val="24"/>
        </w:rPr>
        <w:t>‐</w:t>
      </w:r>
      <w:r w:rsidRPr="004D596A">
        <w:rPr>
          <w:rFonts w:ascii="Book Antiqua" w:hAnsi="Book Antiqua" w:cs="Times New Roman"/>
          <w:noProof/>
          <w:sz w:val="24"/>
          <w:szCs w:val="24"/>
        </w:rPr>
        <w:t xml:space="preserve">capital rate under incomplete market valuation. </w:t>
      </w:r>
      <w:r w:rsidRPr="004D596A">
        <w:rPr>
          <w:rFonts w:ascii="Book Antiqua" w:hAnsi="Book Antiqua" w:cs="Times New Roman"/>
          <w:i/>
          <w:iCs/>
          <w:noProof/>
          <w:sz w:val="24"/>
          <w:szCs w:val="24"/>
        </w:rPr>
        <w:t>Journal of Risk and Insurance</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89</w:t>
      </w:r>
      <w:r w:rsidRPr="004D596A">
        <w:rPr>
          <w:rFonts w:ascii="Book Antiqua" w:hAnsi="Book Antiqua" w:cs="Times New Roman"/>
          <w:noProof/>
          <w:sz w:val="24"/>
          <w:szCs w:val="24"/>
        </w:rPr>
        <w:t>(4), 1139–1158. https://doi.org/10.1111/jori.12406</w:t>
      </w:r>
    </w:p>
    <w:p w14:paraId="5B2D6EBC"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Bakar, N. L. A. dan N. A. (2014). Shariah Screening Process in Malaysia. </w:t>
      </w:r>
      <w:r w:rsidRPr="004D596A">
        <w:rPr>
          <w:rFonts w:ascii="Book Antiqua" w:hAnsi="Book Antiqua" w:cs="Times New Roman"/>
          <w:i/>
          <w:iCs/>
          <w:noProof/>
          <w:sz w:val="24"/>
          <w:szCs w:val="24"/>
        </w:rPr>
        <w:t>Journal Procedia - Social and Behavioral Sciences</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121</w:t>
      </w:r>
      <w:r w:rsidRPr="004D596A">
        <w:rPr>
          <w:rFonts w:ascii="Book Antiqua" w:hAnsi="Book Antiqua" w:cs="Times New Roman"/>
          <w:noProof/>
          <w:sz w:val="24"/>
          <w:szCs w:val="24"/>
        </w:rPr>
        <w:t>, 116.</w:t>
      </w:r>
    </w:p>
    <w:p w14:paraId="78FE153C"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Belleflamme, P., Lambert, T., &amp; Schwienbacher, A. (2012). Crowdfunding: Tapping the Right Crowd. </w:t>
      </w:r>
      <w:r w:rsidRPr="004D596A">
        <w:rPr>
          <w:rFonts w:ascii="Book Antiqua" w:hAnsi="Book Antiqua" w:cs="Times New Roman"/>
          <w:i/>
          <w:iCs/>
          <w:noProof/>
          <w:sz w:val="24"/>
          <w:szCs w:val="24"/>
        </w:rPr>
        <w:t>SSRN Electronic Journal</w:t>
      </w:r>
      <w:r w:rsidRPr="004D596A">
        <w:rPr>
          <w:rFonts w:ascii="Book Antiqua" w:hAnsi="Book Antiqua" w:cs="Times New Roman"/>
          <w:noProof/>
          <w:sz w:val="24"/>
          <w:szCs w:val="24"/>
        </w:rPr>
        <w:t>. https://doi.org/10.2139/ssrn.1578175</w:t>
      </w:r>
    </w:p>
    <w:p w14:paraId="46819110"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Childnadi Widodo, V., &amp; Budi Kharisma, D. (2020). Problematika Perlindungan Hukum Terhadap Para Pihak Dalam Transaksi Layanan Urunan Dana Melalui Penawaran Saham Berbasis Teknologi Informasi (Equity-Based Crowdfunding). </w:t>
      </w:r>
      <w:r w:rsidRPr="004D596A">
        <w:rPr>
          <w:rFonts w:ascii="Book Antiqua" w:hAnsi="Book Antiqua" w:cs="Times New Roman"/>
          <w:i/>
          <w:iCs/>
          <w:noProof/>
          <w:sz w:val="24"/>
          <w:szCs w:val="24"/>
        </w:rPr>
        <w:t>Jurnal Privat Law</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8</w:t>
      </w:r>
      <w:r w:rsidRPr="004D596A">
        <w:rPr>
          <w:rFonts w:ascii="Book Antiqua" w:hAnsi="Book Antiqua" w:cs="Times New Roman"/>
          <w:noProof/>
          <w:sz w:val="24"/>
          <w:szCs w:val="24"/>
        </w:rPr>
        <w:t>(2), 230–236. https://doi.org/10.20961/privat.v8i2.48414</w:t>
      </w:r>
    </w:p>
    <w:p w14:paraId="3D27C55E" w14:textId="77777777" w:rsidR="0026616C" w:rsidRPr="004D596A" w:rsidRDefault="0026616C" w:rsidP="00124AC5">
      <w:pPr>
        <w:pStyle w:val="MuDaftarPustaka"/>
        <w:spacing w:after="120" w:line="240" w:lineRule="auto"/>
        <w:ind w:left="567" w:hanging="567"/>
        <w:rPr>
          <w:rFonts w:ascii="Book Antiqua" w:hAnsi="Book Antiqua"/>
          <w:bCs/>
          <w:lang w:val="en-ID"/>
        </w:rPr>
      </w:pPr>
      <w:r w:rsidRPr="004D596A">
        <w:rPr>
          <w:rFonts w:ascii="Book Antiqua" w:hAnsi="Book Antiqua"/>
          <w:bCs/>
          <w:lang w:val="en-ID"/>
        </w:rPr>
        <w:lastRenderedPageBreak/>
        <w:t>Financial Inclusion Month Webinar (10 October 2023), Sharia Securities Crowdfunding as an Investment and Capital Alternative, delivered by M. Agung Probowo, Founder and CEO of PT Dana Investasi Bersama or FundEx Organising Platform</w:t>
      </w:r>
      <w:r w:rsidRPr="004D596A">
        <w:rPr>
          <w:rFonts w:ascii="Book Antiqua" w:hAnsi="Book Antiqua"/>
          <w:bCs/>
          <w:lang w:val="en-GB"/>
        </w:rPr>
        <w:t>.</w:t>
      </w:r>
    </w:p>
    <w:p w14:paraId="39CB8256" w14:textId="77777777" w:rsidR="0026616C" w:rsidRPr="004D596A" w:rsidRDefault="0026616C" w:rsidP="00124AC5">
      <w:pPr>
        <w:pStyle w:val="MuDaftarPustaka"/>
        <w:spacing w:after="120" w:line="240" w:lineRule="auto"/>
        <w:ind w:left="567" w:hanging="567"/>
        <w:rPr>
          <w:rFonts w:ascii="Book Antiqua" w:hAnsi="Book Antiqua"/>
          <w:bCs/>
          <w:lang w:val="en-ID"/>
        </w:rPr>
      </w:pPr>
      <w:r w:rsidRPr="004D596A">
        <w:rPr>
          <w:rFonts w:ascii="Book Antiqua" w:hAnsi="Book Antiqua"/>
          <w:bCs/>
          <w:lang w:val="en-ID"/>
        </w:rPr>
        <w:t>Financial Inclusion Month Webinar (10 October 2023), Sharia Securities Crowdfunding as an Investment and Capital Alternative, delivered by Rifqi Muhammad, Sharia Expert, Sharia Supervisory Board, and Professor of the Accounting Study Programme at the Islamic University of Indonesia</w:t>
      </w:r>
      <w:r w:rsidRPr="004D596A">
        <w:rPr>
          <w:rFonts w:ascii="Book Antiqua" w:hAnsi="Book Antiqua"/>
          <w:bCs/>
          <w:lang w:val="en-GB"/>
        </w:rPr>
        <w:t>.</w:t>
      </w:r>
    </w:p>
    <w:p w14:paraId="4F53F941" w14:textId="77777777" w:rsidR="0026616C" w:rsidRPr="004D596A" w:rsidRDefault="0026616C" w:rsidP="00124AC5">
      <w:pPr>
        <w:pStyle w:val="MuDaftarPustaka"/>
        <w:spacing w:after="120" w:line="240" w:lineRule="auto"/>
        <w:ind w:left="567" w:hanging="567"/>
        <w:rPr>
          <w:rFonts w:ascii="Book Antiqua" w:hAnsi="Book Antiqua"/>
          <w:bCs/>
          <w:lang w:val="en-ID"/>
        </w:rPr>
      </w:pPr>
      <w:r w:rsidRPr="004D596A">
        <w:rPr>
          <w:rFonts w:ascii="Book Antiqua" w:hAnsi="Book Antiqua"/>
          <w:bCs/>
          <w:lang w:val="en-ID"/>
        </w:rPr>
        <w:t>Financial Services Authority Law Number 21 of 2011 concerning the Financial Services Authority covers supervision of financial services institutions and the non-bank financial industry.</w:t>
      </w:r>
    </w:p>
    <w:p w14:paraId="766288D2" w14:textId="638E0E8C"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lang w:val="id-ID"/>
        </w:rPr>
      </w:pPr>
      <w:r w:rsidRPr="004D596A">
        <w:rPr>
          <w:rFonts w:ascii="Book Antiqua" w:hAnsi="Book Antiqua"/>
          <w:bCs/>
          <w:sz w:val="24"/>
          <w:szCs w:val="24"/>
          <w:lang w:val="en-ID"/>
        </w:rPr>
        <w:t>Financial Services Authority Regulation Number 35 of 2017 concerning Criteria and Issuance of Sharia Securities List</w:t>
      </w:r>
    </w:p>
    <w:p w14:paraId="73A6ECCC"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Gigih Prahastoro, Firdaus Yuni Dharta, R. K. (2021). Strategi komunikasi pemasaran layanan securities crowdfunding dalam menarik minat masyarakat untuk berinvestasi di sektor ukm. </w:t>
      </w:r>
      <w:r w:rsidRPr="004D596A">
        <w:rPr>
          <w:rFonts w:ascii="Book Antiqua" w:hAnsi="Book Antiqua" w:cs="Times New Roman"/>
          <w:i/>
          <w:iCs/>
          <w:noProof/>
          <w:sz w:val="24"/>
          <w:szCs w:val="24"/>
        </w:rPr>
        <w:t>Kinerja Jurnal Ekonomi Dan Manajemen</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18</w:t>
      </w:r>
      <w:r w:rsidRPr="004D596A">
        <w:rPr>
          <w:rFonts w:ascii="Book Antiqua" w:hAnsi="Book Antiqua" w:cs="Times New Roman"/>
          <w:noProof/>
          <w:sz w:val="24"/>
          <w:szCs w:val="24"/>
        </w:rPr>
        <w:t>(2). https://doi.org/https://doi.org/10.30872/jkin.v18i2.9651</w:t>
      </w:r>
    </w:p>
    <w:p w14:paraId="42597B6C" w14:textId="00D7F348" w:rsidR="00124AC5" w:rsidRDefault="0026616C" w:rsidP="001B1AFB">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Haniff, W. A. A. W., Halim, A. H. A., &amp; Ismail, R. (2019). Equity Crowdfunding in Malaysia: Legal and Sharia Challenges. </w:t>
      </w:r>
      <w:r w:rsidRPr="004D596A">
        <w:rPr>
          <w:rFonts w:ascii="Book Antiqua" w:hAnsi="Book Antiqua" w:cs="Times New Roman"/>
          <w:i/>
          <w:iCs/>
          <w:noProof/>
          <w:sz w:val="24"/>
          <w:szCs w:val="24"/>
        </w:rPr>
        <w:t>International Journal of Asian Social Science</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9</w:t>
      </w:r>
      <w:r w:rsidRPr="004D596A">
        <w:rPr>
          <w:rFonts w:ascii="Book Antiqua" w:hAnsi="Book Antiqua" w:cs="Times New Roman"/>
          <w:noProof/>
          <w:sz w:val="24"/>
          <w:szCs w:val="24"/>
        </w:rPr>
        <w:t>(8), 450–460. https://doi.org/10.18488/journal.1.2019.98.450.460</w:t>
      </w:r>
    </w:p>
    <w:p w14:paraId="10C17AC8" w14:textId="3CA934C0"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Haryani, I. (2015). Perlindungan Hukum Sistem Donation Bases Crowdfunding Pada Pendanaan Industri Kreatif di Indonesia. </w:t>
      </w:r>
      <w:r w:rsidRPr="004D596A">
        <w:rPr>
          <w:rFonts w:ascii="Book Antiqua" w:hAnsi="Book Antiqua" w:cs="Times New Roman"/>
          <w:i/>
          <w:iCs/>
          <w:noProof/>
          <w:sz w:val="24"/>
          <w:szCs w:val="24"/>
        </w:rPr>
        <w:t>Jurnal Legislasi Indonesia</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12</w:t>
      </w:r>
      <w:r w:rsidRPr="004D596A">
        <w:rPr>
          <w:rFonts w:ascii="Book Antiqua" w:hAnsi="Book Antiqua" w:cs="Times New Roman"/>
          <w:noProof/>
          <w:sz w:val="24"/>
          <w:szCs w:val="24"/>
        </w:rPr>
        <w:t>(4), 6.</w:t>
      </w:r>
    </w:p>
    <w:p w14:paraId="698FF344"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Hiyanti, H., Nugroho, L., Sukmadilaga, C., &amp; Fitrijanti, T. (2020). Peluang dan Tantangan Fintech (Financial Technology) Syariah di Indonesia. </w:t>
      </w:r>
      <w:r w:rsidRPr="004D596A">
        <w:rPr>
          <w:rFonts w:ascii="Book Antiqua" w:hAnsi="Book Antiqua" w:cs="Times New Roman"/>
          <w:i/>
          <w:iCs/>
          <w:noProof/>
          <w:sz w:val="24"/>
          <w:szCs w:val="24"/>
        </w:rPr>
        <w:t>Jurnal Ilmiah Ekonomi Islam</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5</w:t>
      </w:r>
      <w:r w:rsidRPr="004D596A">
        <w:rPr>
          <w:rFonts w:ascii="Book Antiqua" w:hAnsi="Book Antiqua" w:cs="Times New Roman"/>
          <w:noProof/>
          <w:sz w:val="24"/>
          <w:szCs w:val="24"/>
        </w:rPr>
        <w:t>(3), 2. https://doi.org/10.29040/jiei.v5i3.578</w:t>
      </w:r>
    </w:p>
    <w:p w14:paraId="527462C6"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Hornuf, L., &amp; Schwienbacher, A. (2014). Which Securities Regulation Promotes Crowdinvesting? </w:t>
      </w:r>
      <w:r w:rsidRPr="004D596A">
        <w:rPr>
          <w:rFonts w:ascii="Book Antiqua" w:hAnsi="Book Antiqua" w:cs="Times New Roman"/>
          <w:i/>
          <w:iCs/>
          <w:noProof/>
          <w:sz w:val="24"/>
          <w:szCs w:val="24"/>
        </w:rPr>
        <w:t>SSRN Electronic Journal</w:t>
      </w:r>
      <w:r w:rsidRPr="004D596A">
        <w:rPr>
          <w:rFonts w:ascii="Book Antiqua" w:hAnsi="Book Antiqua" w:cs="Times New Roman"/>
          <w:noProof/>
          <w:sz w:val="24"/>
          <w:szCs w:val="24"/>
        </w:rPr>
        <w:t>. https://doi.org/10.2139/ssrn.2412124</w:t>
      </w:r>
    </w:p>
    <w:p w14:paraId="55FE356C"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I Nainggolan, C., &amp; Wuri Handayani, P. (2023). Factors Affecting Individuals’ Behavioral Intention to Use Online Capital Market Investment Platforms in Indonesia. </w:t>
      </w:r>
      <w:r w:rsidRPr="004D596A">
        <w:rPr>
          <w:rFonts w:ascii="Book Antiqua" w:hAnsi="Book Antiqua" w:cs="Times New Roman"/>
          <w:i/>
          <w:iCs/>
          <w:noProof/>
          <w:sz w:val="24"/>
          <w:szCs w:val="24"/>
        </w:rPr>
        <w:t>Interdisciplinary Journal of Information, Knowledge, and Management</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18</w:t>
      </w:r>
      <w:r w:rsidRPr="004D596A">
        <w:rPr>
          <w:rFonts w:ascii="Book Antiqua" w:hAnsi="Book Antiqua" w:cs="Times New Roman"/>
          <w:noProof/>
          <w:sz w:val="24"/>
          <w:szCs w:val="24"/>
        </w:rPr>
        <w:t>, 001–029. https://doi.org/10.28945/5067</w:t>
      </w:r>
    </w:p>
    <w:p w14:paraId="33AD33FB" w14:textId="77777777" w:rsidR="0026616C" w:rsidRPr="004D596A" w:rsidRDefault="0026616C" w:rsidP="00124AC5">
      <w:pPr>
        <w:spacing w:after="120" w:line="240" w:lineRule="auto"/>
        <w:ind w:left="567" w:hanging="567"/>
        <w:rPr>
          <w:rFonts w:ascii="Book Antiqua" w:hAnsi="Book Antiqua"/>
          <w:sz w:val="24"/>
          <w:szCs w:val="24"/>
        </w:rPr>
      </w:pPr>
      <w:r w:rsidRPr="004D596A">
        <w:rPr>
          <w:rFonts w:ascii="Book Antiqua" w:hAnsi="Book Antiqua"/>
          <w:bCs/>
          <w:sz w:val="24"/>
          <w:szCs w:val="24"/>
          <w:lang w:val="en-ID"/>
        </w:rPr>
        <w:t>Law of the Republic of Indonesia number 8 of 1995 cencerning Capital Market</w:t>
      </w:r>
    </w:p>
    <w:p w14:paraId="16AFE8E5" w14:textId="77777777" w:rsidR="0026616C" w:rsidRPr="004D596A" w:rsidRDefault="0026616C" w:rsidP="00124AC5">
      <w:pPr>
        <w:spacing w:after="120" w:line="240" w:lineRule="auto"/>
        <w:ind w:left="567" w:hanging="567"/>
        <w:rPr>
          <w:rFonts w:ascii="Book Antiqua" w:hAnsi="Book Antiqua"/>
          <w:bCs/>
          <w:sz w:val="24"/>
          <w:szCs w:val="24"/>
          <w:lang w:val="en-ID"/>
        </w:rPr>
      </w:pPr>
      <w:r w:rsidRPr="004D596A">
        <w:rPr>
          <w:rFonts w:ascii="Book Antiqua" w:hAnsi="Book Antiqua"/>
          <w:bCs/>
          <w:sz w:val="24"/>
          <w:szCs w:val="24"/>
          <w:lang w:val="en-ID"/>
        </w:rPr>
        <w:t>Law of the Republic of Indonesia Number 20 of 2008 concerning Micro, Small, and Medium Enterprises</w:t>
      </w:r>
    </w:p>
    <w:p w14:paraId="7E699605" w14:textId="3F76C86B"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lang w:val="id-ID"/>
        </w:rPr>
      </w:pPr>
      <w:r w:rsidRPr="004D596A">
        <w:rPr>
          <w:rFonts w:ascii="Book Antiqua" w:hAnsi="Book Antiqua"/>
          <w:bCs/>
          <w:sz w:val="24"/>
          <w:szCs w:val="24"/>
          <w:lang w:val="en-ID"/>
        </w:rPr>
        <w:t>Law of the Republic of Indonesia Number 21 of 2011 concernig Otoritas Jasa Keuangan</w:t>
      </w:r>
    </w:p>
    <w:p w14:paraId="145454DE"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Liu, H., Sun, N., Ye, Y., Tao, Y., &amp; Kan, Y. (2023). The Impact of Corporate Public Market Share Repurchases on Capital Market Information Efficiency. </w:t>
      </w:r>
      <w:r w:rsidRPr="004D596A">
        <w:rPr>
          <w:rFonts w:ascii="Book Antiqua" w:hAnsi="Book Antiqua" w:cs="Times New Roman"/>
          <w:i/>
          <w:iCs/>
          <w:noProof/>
          <w:sz w:val="24"/>
          <w:szCs w:val="24"/>
        </w:rPr>
        <w:t>Emerging Markets Finance and Trade</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59</w:t>
      </w:r>
      <w:r w:rsidRPr="004D596A">
        <w:rPr>
          <w:rFonts w:ascii="Book Antiqua" w:hAnsi="Book Antiqua" w:cs="Times New Roman"/>
          <w:noProof/>
          <w:sz w:val="24"/>
          <w:szCs w:val="24"/>
        </w:rPr>
        <w:t>(10), 3220–3240. https://doi.org/10.1080/1540496X.2023.2212840</w:t>
      </w:r>
    </w:p>
    <w:p w14:paraId="024879F5"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MacLeod, A. J. (2024). Why Equity Follows the Law. </w:t>
      </w:r>
      <w:r w:rsidRPr="004D596A">
        <w:rPr>
          <w:rFonts w:ascii="Book Antiqua" w:hAnsi="Book Antiqua" w:cs="Times New Roman"/>
          <w:i/>
          <w:iCs/>
          <w:noProof/>
          <w:sz w:val="24"/>
          <w:szCs w:val="24"/>
        </w:rPr>
        <w:t>Laws</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13</w:t>
      </w:r>
      <w:r w:rsidRPr="004D596A">
        <w:rPr>
          <w:rFonts w:ascii="Book Antiqua" w:hAnsi="Book Antiqua" w:cs="Times New Roman"/>
          <w:noProof/>
          <w:sz w:val="24"/>
          <w:szCs w:val="24"/>
        </w:rPr>
        <w:t>(1), 3. https://doi.org/10.3390/laws13010003</w:t>
      </w:r>
    </w:p>
    <w:p w14:paraId="56721E07" w14:textId="77777777" w:rsidR="001B1AFB" w:rsidRDefault="001B1AFB">
      <w:pPr>
        <w:spacing w:after="160" w:line="259" w:lineRule="auto"/>
        <w:jc w:val="left"/>
        <w:rPr>
          <w:rFonts w:ascii="Book Antiqua" w:hAnsi="Book Antiqua" w:cs="Times New Roman"/>
          <w:noProof/>
          <w:sz w:val="24"/>
          <w:szCs w:val="24"/>
        </w:rPr>
      </w:pPr>
      <w:r>
        <w:rPr>
          <w:rFonts w:ascii="Book Antiqua" w:hAnsi="Book Antiqua" w:cs="Times New Roman"/>
          <w:noProof/>
          <w:sz w:val="24"/>
          <w:szCs w:val="24"/>
        </w:rPr>
        <w:br w:type="page"/>
      </w:r>
    </w:p>
    <w:p w14:paraId="317B4D0C" w14:textId="779CD3B1"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lastRenderedPageBreak/>
        <w:t xml:space="preserve">Mamma, S. (2020). Perlindungan Hukum Pengguna Layanan Urunan Dana Melalui Penawaran Saham Berbasis Teknologi Informasi. </w:t>
      </w:r>
      <w:r w:rsidRPr="004D596A">
        <w:rPr>
          <w:rFonts w:ascii="Book Antiqua" w:hAnsi="Book Antiqua" w:cs="Times New Roman"/>
          <w:i/>
          <w:iCs/>
          <w:noProof/>
          <w:sz w:val="24"/>
          <w:szCs w:val="24"/>
        </w:rPr>
        <w:t>Jurnal Panorama Hukum</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5</w:t>
      </w:r>
      <w:r w:rsidRPr="004D596A">
        <w:rPr>
          <w:rFonts w:ascii="Book Antiqua" w:hAnsi="Book Antiqua" w:cs="Times New Roman"/>
          <w:noProof/>
          <w:sz w:val="24"/>
          <w:szCs w:val="24"/>
        </w:rPr>
        <w:t>(2), 159–168. https://doi.org/10.21067/jph.v5i2.4693</w:t>
      </w:r>
    </w:p>
    <w:p w14:paraId="6247A32C"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Nie, M., Chen, C., Song, C., &amp; Qin, C. (2023). Does capital market liberalization promote ESG disclosure? Empirical evidence from the mainland-HK stock connect. </w:t>
      </w:r>
      <w:r w:rsidRPr="004D596A">
        <w:rPr>
          <w:rFonts w:ascii="Book Antiqua" w:hAnsi="Book Antiqua" w:cs="Times New Roman"/>
          <w:i/>
          <w:iCs/>
          <w:noProof/>
          <w:sz w:val="24"/>
          <w:szCs w:val="24"/>
        </w:rPr>
        <w:t>Frontiers in Environmental Science</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11</w:t>
      </w:r>
      <w:r w:rsidRPr="004D596A">
        <w:rPr>
          <w:rFonts w:ascii="Book Antiqua" w:hAnsi="Book Antiqua" w:cs="Times New Roman"/>
          <w:noProof/>
          <w:sz w:val="24"/>
          <w:szCs w:val="24"/>
        </w:rPr>
        <w:t>. https://doi.org/10.3389/fenvs.2023.1131607</w:t>
      </w:r>
    </w:p>
    <w:p w14:paraId="714BA958"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Rahadiyan, I., &amp; Sugarda, P. P. (2022). Urgensi Pengaturan Prinsip Keterbukaan Dalam Equity Crowdfunding Dan Implikasinya Terhadap Perlindungan Investor. </w:t>
      </w:r>
      <w:r w:rsidRPr="004D596A">
        <w:rPr>
          <w:rFonts w:ascii="Book Antiqua" w:hAnsi="Book Antiqua" w:cs="Times New Roman"/>
          <w:i/>
          <w:iCs/>
          <w:noProof/>
          <w:sz w:val="24"/>
          <w:szCs w:val="24"/>
        </w:rPr>
        <w:t>Jurnal Hukum Ius Quia Iustum</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29</w:t>
      </w:r>
      <w:r w:rsidRPr="004D596A">
        <w:rPr>
          <w:rFonts w:ascii="Book Antiqua" w:hAnsi="Book Antiqua" w:cs="Times New Roman"/>
          <w:noProof/>
          <w:sz w:val="24"/>
          <w:szCs w:val="24"/>
        </w:rPr>
        <w:t>(2), 261–282. https://doi.org/10.20885/iustum.vol29.iss2.art2</w:t>
      </w:r>
    </w:p>
    <w:p w14:paraId="7EAC976A"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Renie, E., Iska, S., Thaidi, H. ’Azeemi A., &amp; Binti Yusof, U. A. (2022). TAFRIQ AL-HALAL ‘AN AL-HARAM THEORY IN THE SELECTION OF SHARIA STOCKS: The Comparative Study in The Sharia Capital Market in Indonesia and Malaysia. </w:t>
      </w:r>
      <w:r w:rsidRPr="004D596A">
        <w:rPr>
          <w:rFonts w:ascii="Book Antiqua" w:hAnsi="Book Antiqua" w:cs="Times New Roman"/>
          <w:i/>
          <w:iCs/>
          <w:noProof/>
          <w:sz w:val="24"/>
          <w:szCs w:val="24"/>
        </w:rPr>
        <w:t>JURISDICTIE</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13</w:t>
      </w:r>
      <w:r w:rsidRPr="004D596A">
        <w:rPr>
          <w:rFonts w:ascii="Book Antiqua" w:hAnsi="Book Antiqua" w:cs="Times New Roman"/>
          <w:noProof/>
          <w:sz w:val="24"/>
          <w:szCs w:val="24"/>
        </w:rPr>
        <w:t>(1), 128–142. https://doi.org/10.18860/j.v13i1.17044</w:t>
      </w:r>
    </w:p>
    <w:p w14:paraId="48011C29" w14:textId="6DA23E23"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lang w:val="id-ID"/>
        </w:rPr>
      </w:pPr>
      <w:r w:rsidRPr="004D596A">
        <w:rPr>
          <w:rFonts w:ascii="Book Antiqua" w:hAnsi="Book Antiqua"/>
          <w:sz w:val="24"/>
          <w:szCs w:val="24"/>
        </w:rPr>
        <w:t xml:space="preserve">Satgas Waspada Investasi Otoritas Jasa Keuangan “Berita Dan Pengumuman Dari Satgas Waspada Investasi Otoritas Jasa Keuangan,” n.d., </w:t>
      </w:r>
      <w:hyperlink r:id="rId15" w:history="1">
        <w:r w:rsidRPr="004D596A">
          <w:rPr>
            <w:rStyle w:val="Hyperlink"/>
            <w:rFonts w:ascii="Book Antiqua" w:hAnsi="Book Antiqua"/>
            <w:sz w:val="24"/>
            <w:szCs w:val="24"/>
          </w:rPr>
          <w:t>https://pasarmodal.ojk.go.id/News/Detail/20534</w:t>
        </w:r>
      </w:hyperlink>
    </w:p>
    <w:p w14:paraId="3E39C6DA"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Sitompul, A. (1995). </w:t>
      </w:r>
      <w:r w:rsidRPr="004D596A">
        <w:rPr>
          <w:rFonts w:ascii="Book Antiqua" w:hAnsi="Book Antiqua" w:cs="Times New Roman"/>
          <w:i/>
          <w:iCs/>
          <w:noProof/>
          <w:sz w:val="24"/>
          <w:szCs w:val="24"/>
        </w:rPr>
        <w:t>Pasar Modal, Penawaran Umum dan Permasalahannya</w:t>
      </w:r>
      <w:r w:rsidRPr="004D596A">
        <w:rPr>
          <w:rFonts w:ascii="Book Antiqua" w:hAnsi="Book Antiqua" w:cs="Times New Roman"/>
          <w:noProof/>
          <w:sz w:val="24"/>
          <w:szCs w:val="24"/>
        </w:rPr>
        <w:t>. Citra Adya Bakti.</w:t>
      </w:r>
    </w:p>
    <w:p w14:paraId="498E7116"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Sitompul, M. G. (2018). Urgensi Legalitas Financial Technology (Fintech)</w:t>
      </w:r>
      <w:r w:rsidRPr="004D596A">
        <w:rPr>
          <w:rFonts w:ascii="Times New Roman" w:hAnsi="Times New Roman" w:cs="Times New Roman"/>
          <w:noProof/>
          <w:sz w:val="24"/>
          <w:szCs w:val="24"/>
        </w:rPr>
        <w:t> </w:t>
      </w:r>
      <w:r w:rsidRPr="004D596A">
        <w:rPr>
          <w:rFonts w:ascii="Book Antiqua" w:hAnsi="Book Antiqua" w:cs="Times New Roman"/>
          <w:noProof/>
          <w:sz w:val="24"/>
          <w:szCs w:val="24"/>
        </w:rPr>
        <w:t xml:space="preserve">: Peer To Peer (P2P) Lending di Indonesia. </w:t>
      </w:r>
      <w:r w:rsidRPr="004D596A">
        <w:rPr>
          <w:rFonts w:ascii="Book Antiqua" w:hAnsi="Book Antiqua" w:cs="Times New Roman"/>
          <w:i/>
          <w:iCs/>
          <w:noProof/>
          <w:sz w:val="24"/>
          <w:szCs w:val="24"/>
        </w:rPr>
        <w:t>Jurnal Yuridis Unaja</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w:t>
      </w:r>
      <w:r w:rsidRPr="004D596A">
        <w:rPr>
          <w:rFonts w:ascii="Book Antiqua" w:hAnsi="Book Antiqua" w:cs="Times New Roman"/>
          <w:noProof/>
          <w:sz w:val="24"/>
          <w:szCs w:val="24"/>
        </w:rPr>
        <w:t>(2), 70. https://doi.org/https://dx.doi.org/10.5281/jyu.v1i2.428</w:t>
      </w:r>
    </w:p>
    <w:p w14:paraId="7895354D"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Ulum, K. M. (2024). </w:t>
      </w:r>
      <w:r w:rsidRPr="004D596A">
        <w:rPr>
          <w:rFonts w:ascii="Book Antiqua" w:hAnsi="Book Antiqua" w:cs="Times New Roman"/>
          <w:i/>
          <w:iCs/>
          <w:noProof/>
          <w:sz w:val="24"/>
          <w:szCs w:val="24"/>
        </w:rPr>
        <w:t>Analysis of Securities Offering Regulations on Securities Crowdfunding Services Maslahah Approach Abstrak</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11</w:t>
      </w:r>
      <w:r w:rsidRPr="004D596A">
        <w:rPr>
          <w:rFonts w:ascii="Book Antiqua" w:hAnsi="Book Antiqua" w:cs="Times New Roman"/>
          <w:noProof/>
          <w:sz w:val="24"/>
          <w:szCs w:val="24"/>
        </w:rPr>
        <w:t>(1), 29–42. https://doi.org/10.24952/multidisipliner.v11i1.10672</w:t>
      </w:r>
    </w:p>
    <w:p w14:paraId="0F2AC2C9"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cs="Times New Roman"/>
          <w:noProof/>
          <w:sz w:val="24"/>
          <w:szCs w:val="24"/>
        </w:rPr>
      </w:pPr>
      <w:r w:rsidRPr="004D596A">
        <w:rPr>
          <w:rFonts w:ascii="Book Antiqua" w:hAnsi="Book Antiqua" w:cs="Times New Roman"/>
          <w:noProof/>
          <w:sz w:val="24"/>
          <w:szCs w:val="24"/>
        </w:rPr>
        <w:t xml:space="preserve">Ulum, K. M., Nasyiah, I., &amp; Izzati, L. W. (2024). Sharia Green Financing: Potential Sustainable Funding For Msme On Wakafestasi Securities Crowdfunding Services. </w:t>
      </w:r>
      <w:r w:rsidRPr="004D596A">
        <w:rPr>
          <w:rFonts w:ascii="Book Antiqua" w:hAnsi="Book Antiqua" w:cs="Times New Roman"/>
          <w:i/>
          <w:iCs/>
          <w:noProof/>
          <w:sz w:val="24"/>
          <w:szCs w:val="24"/>
        </w:rPr>
        <w:t>As-SakhaSharia Economics Law and Legal Studies</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w:t>
      </w:r>
      <w:r w:rsidRPr="004D596A">
        <w:rPr>
          <w:rFonts w:ascii="Book Antiqua" w:hAnsi="Book Antiqua" w:cs="Times New Roman"/>
          <w:noProof/>
          <w:sz w:val="24"/>
          <w:szCs w:val="24"/>
        </w:rPr>
        <w:t>(1). https://ejournal.iain-palangkaraya.ac.id/index.php/as-sakha/article/view/188/79</w:t>
      </w:r>
    </w:p>
    <w:p w14:paraId="767F5D93" w14:textId="77777777" w:rsidR="0026616C" w:rsidRPr="004D596A" w:rsidRDefault="0026616C" w:rsidP="00124AC5">
      <w:pPr>
        <w:widowControl w:val="0"/>
        <w:autoSpaceDE w:val="0"/>
        <w:autoSpaceDN w:val="0"/>
        <w:adjustRightInd w:val="0"/>
        <w:spacing w:after="120" w:line="240" w:lineRule="auto"/>
        <w:ind w:left="567" w:hanging="567"/>
        <w:rPr>
          <w:rFonts w:ascii="Book Antiqua" w:hAnsi="Book Antiqua"/>
          <w:noProof/>
          <w:sz w:val="24"/>
        </w:rPr>
      </w:pPr>
      <w:r w:rsidRPr="004D596A">
        <w:rPr>
          <w:rFonts w:ascii="Book Antiqua" w:hAnsi="Book Antiqua" w:cs="Times New Roman"/>
          <w:noProof/>
          <w:sz w:val="24"/>
          <w:szCs w:val="24"/>
        </w:rPr>
        <w:t xml:space="preserve">Ulum, K. M., &amp; Ulum, M. K. (2023). Screening Standards in Sharia Capital Market Investor Legal Protection. </w:t>
      </w:r>
      <w:r w:rsidRPr="004D596A">
        <w:rPr>
          <w:rFonts w:ascii="Book Antiqua" w:hAnsi="Book Antiqua" w:cs="Times New Roman"/>
          <w:i/>
          <w:iCs/>
          <w:noProof/>
          <w:sz w:val="24"/>
          <w:szCs w:val="24"/>
        </w:rPr>
        <w:t>El-Mashlahah</w:t>
      </w:r>
      <w:r w:rsidRPr="004D596A">
        <w:rPr>
          <w:rFonts w:ascii="Book Antiqua" w:hAnsi="Book Antiqua" w:cs="Times New Roman"/>
          <w:noProof/>
          <w:sz w:val="24"/>
          <w:szCs w:val="24"/>
        </w:rPr>
        <w:t xml:space="preserve">, </w:t>
      </w:r>
      <w:r w:rsidRPr="004D596A">
        <w:rPr>
          <w:rFonts w:ascii="Book Antiqua" w:hAnsi="Book Antiqua" w:cs="Times New Roman"/>
          <w:i/>
          <w:iCs/>
          <w:noProof/>
          <w:sz w:val="24"/>
          <w:szCs w:val="24"/>
        </w:rPr>
        <w:t>13</w:t>
      </w:r>
      <w:r w:rsidRPr="004D596A">
        <w:rPr>
          <w:rFonts w:ascii="Book Antiqua" w:hAnsi="Book Antiqua" w:cs="Times New Roman"/>
          <w:noProof/>
          <w:sz w:val="24"/>
          <w:szCs w:val="24"/>
        </w:rPr>
        <w:t>(1), 77–91. https://doi.org/10.23971/el-mashlahah.v13i1.5791</w:t>
      </w:r>
    </w:p>
    <w:p w14:paraId="2DCC850B" w14:textId="603ACDC8" w:rsidR="00EE5D86" w:rsidRPr="004D596A" w:rsidRDefault="000771E1" w:rsidP="00124AC5">
      <w:pPr>
        <w:widowControl w:val="0"/>
        <w:autoSpaceDE w:val="0"/>
        <w:autoSpaceDN w:val="0"/>
        <w:adjustRightInd w:val="0"/>
        <w:spacing w:after="120" w:line="240" w:lineRule="auto"/>
        <w:ind w:left="567" w:hanging="567"/>
        <w:rPr>
          <w:rFonts w:ascii="Book Antiqua" w:eastAsia="Times New Roman" w:hAnsi="Book Antiqua" w:cs="Times New Roman"/>
          <w:color w:val="000000"/>
          <w:sz w:val="24"/>
          <w:szCs w:val="24"/>
        </w:rPr>
      </w:pPr>
      <w:r w:rsidRPr="004D596A">
        <w:rPr>
          <w:rFonts w:ascii="Book Antiqua" w:hAnsi="Book Antiqua"/>
          <w:sz w:val="24"/>
          <w:szCs w:val="24"/>
        </w:rPr>
        <w:fldChar w:fldCharType="end"/>
      </w:r>
    </w:p>
    <w:sectPr w:rsidR="00EE5D86" w:rsidRPr="004D596A" w:rsidSect="006B2B9A">
      <w:headerReference w:type="even" r:id="rId16"/>
      <w:headerReference w:type="default" r:id="rId17"/>
      <w:headerReference w:type="first" r:id="rId18"/>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6574A" w14:textId="77777777" w:rsidR="0028312E" w:rsidRDefault="0028312E" w:rsidP="00903A26">
      <w:pPr>
        <w:spacing w:after="0" w:line="240" w:lineRule="auto"/>
      </w:pPr>
      <w:r>
        <w:separator/>
      </w:r>
    </w:p>
  </w:endnote>
  <w:endnote w:type="continuationSeparator" w:id="0">
    <w:p w14:paraId="47071525" w14:textId="77777777" w:rsidR="0028312E" w:rsidRDefault="0028312E" w:rsidP="0090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75972" w14:textId="77777777" w:rsidR="0028312E" w:rsidRDefault="0028312E" w:rsidP="00903A26">
      <w:pPr>
        <w:spacing w:after="0" w:line="240" w:lineRule="auto"/>
      </w:pPr>
      <w:r>
        <w:separator/>
      </w:r>
    </w:p>
  </w:footnote>
  <w:footnote w:type="continuationSeparator" w:id="0">
    <w:p w14:paraId="59B96FE3" w14:textId="77777777" w:rsidR="0028312E" w:rsidRDefault="0028312E" w:rsidP="0090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6" w:type="pct"/>
      <w:tblInd w:w="-426" w:type="dxa"/>
      <w:tblBorders>
        <w:insideV w:val="single" w:sz="4" w:space="0" w:color="auto"/>
      </w:tblBorders>
      <w:tblCellMar>
        <w:left w:w="113" w:type="dxa"/>
        <w:right w:w="113" w:type="dxa"/>
      </w:tblCellMar>
      <w:tblLook w:val="04A0" w:firstRow="1" w:lastRow="0" w:firstColumn="1" w:lastColumn="0" w:noHBand="0" w:noVBand="1"/>
    </w:tblPr>
    <w:tblGrid>
      <w:gridCol w:w="428"/>
      <w:gridCol w:w="9070"/>
    </w:tblGrid>
    <w:tr w:rsidR="00222E62" w:rsidRPr="006A6DFE" w14:paraId="0846CED4" w14:textId="77777777" w:rsidTr="00EA3982">
      <w:tc>
        <w:tcPr>
          <w:tcW w:w="428" w:type="dxa"/>
        </w:tcPr>
        <w:p w14:paraId="1588BAA0" w14:textId="0530744B" w:rsidR="00222E62" w:rsidRPr="006A6DFE" w:rsidRDefault="00222E62" w:rsidP="00222E62">
          <w:pPr>
            <w:pStyle w:val="Header"/>
            <w:jc w:val="right"/>
            <w:rPr>
              <w:rFonts w:ascii="Agency FB" w:hAnsi="Agency FB"/>
            </w:rPr>
          </w:pPr>
          <w:r w:rsidRPr="006A6DFE">
            <w:rPr>
              <w:rFonts w:ascii="Agency FB" w:hAnsi="Agency FB"/>
            </w:rPr>
            <w:fldChar w:fldCharType="begin"/>
          </w:r>
          <w:r w:rsidRPr="006A6DFE">
            <w:rPr>
              <w:rFonts w:ascii="Agency FB" w:hAnsi="Agency FB"/>
            </w:rPr>
            <w:instrText xml:space="preserve"> PAGE   \* MERGEFORMAT </w:instrText>
          </w:r>
          <w:r w:rsidRPr="006A6DFE">
            <w:rPr>
              <w:rFonts w:ascii="Agency FB" w:hAnsi="Agency FB"/>
            </w:rPr>
            <w:fldChar w:fldCharType="separate"/>
          </w:r>
          <w:r w:rsidR="0026616C">
            <w:rPr>
              <w:rFonts w:ascii="Agency FB" w:hAnsi="Agency FB"/>
              <w:noProof/>
            </w:rPr>
            <w:t>18</w:t>
          </w:r>
          <w:r w:rsidRPr="006A6DFE">
            <w:rPr>
              <w:rFonts w:ascii="Agency FB" w:hAnsi="Agency FB"/>
            </w:rPr>
            <w:fldChar w:fldCharType="end"/>
          </w:r>
        </w:p>
      </w:tc>
      <w:tc>
        <w:tcPr>
          <w:tcW w:w="9070" w:type="dxa"/>
          <w:tcBorders>
            <w:left w:val="single" w:sz="4" w:space="0" w:color="auto"/>
          </w:tcBorders>
          <w:noWrap/>
        </w:tcPr>
        <w:p w14:paraId="396C3C01" w14:textId="6859C671" w:rsidR="00222E62" w:rsidRPr="00601C9E" w:rsidRDefault="0006140F" w:rsidP="00222E62">
          <w:pPr>
            <w:pStyle w:val="Tabel"/>
            <w:tabs>
              <w:tab w:val="clear" w:pos="0"/>
            </w:tabs>
            <w:jc w:val="both"/>
            <w:rPr>
              <w:rFonts w:ascii="Agency FB" w:hAnsi="Agency FB"/>
              <w:b w:val="0"/>
              <w:i/>
              <w:iCs/>
              <w:lang w:val="en-US"/>
            </w:rPr>
          </w:pPr>
          <w:proofErr w:type="spellStart"/>
          <w:r w:rsidRPr="0006140F">
            <w:rPr>
              <w:rFonts w:ascii="Agency FB" w:hAnsi="Agency FB"/>
              <w:b w:val="0"/>
              <w:i/>
              <w:iCs/>
              <w:lang w:val="en-US"/>
            </w:rPr>
            <w:t>Kefi</w:t>
          </w:r>
          <w:proofErr w:type="spellEnd"/>
          <w:r w:rsidRPr="0006140F">
            <w:rPr>
              <w:rFonts w:ascii="Agency FB" w:hAnsi="Agency FB"/>
              <w:b w:val="0"/>
              <w:i/>
              <w:iCs/>
              <w:lang w:val="en-US"/>
            </w:rPr>
            <w:t xml:space="preserve"> </w:t>
          </w:r>
          <w:proofErr w:type="spellStart"/>
          <w:r w:rsidRPr="0006140F">
            <w:rPr>
              <w:rFonts w:ascii="Agency FB" w:hAnsi="Agency FB"/>
              <w:b w:val="0"/>
              <w:i/>
              <w:iCs/>
              <w:lang w:val="en-US"/>
            </w:rPr>
            <w:t>Miftachul</w:t>
          </w:r>
          <w:proofErr w:type="spellEnd"/>
          <w:r w:rsidRPr="0006140F">
            <w:rPr>
              <w:rFonts w:ascii="Agency FB" w:hAnsi="Agency FB"/>
              <w:b w:val="0"/>
              <w:i/>
              <w:iCs/>
              <w:lang w:val="en-US"/>
            </w:rPr>
            <w:t xml:space="preserve"> </w:t>
          </w:r>
          <w:proofErr w:type="spellStart"/>
          <w:r w:rsidRPr="0006140F">
            <w:rPr>
              <w:rFonts w:ascii="Agency FB" w:hAnsi="Agency FB"/>
              <w:b w:val="0"/>
              <w:i/>
              <w:iCs/>
              <w:lang w:val="en-US"/>
            </w:rPr>
            <w:t>Ulum</w:t>
          </w:r>
          <w:proofErr w:type="spellEnd"/>
          <w:r>
            <w:rPr>
              <w:rFonts w:ascii="Agency FB" w:hAnsi="Agency FB"/>
              <w:b w:val="0"/>
              <w:i/>
              <w:iCs/>
              <w:lang w:val="en-US"/>
            </w:rPr>
            <w:t>,</w:t>
          </w:r>
          <w:r w:rsidRPr="0006140F">
            <w:rPr>
              <w:rFonts w:ascii="Agency FB" w:hAnsi="Agency FB"/>
              <w:b w:val="0"/>
              <w:i/>
              <w:iCs/>
              <w:lang w:val="en-US"/>
            </w:rPr>
            <w:t xml:space="preserve"> </w:t>
          </w:r>
          <w:proofErr w:type="spellStart"/>
          <w:r w:rsidRPr="0006140F">
            <w:rPr>
              <w:rFonts w:ascii="Agency FB" w:hAnsi="Agency FB"/>
              <w:b w:val="0"/>
              <w:i/>
              <w:iCs/>
              <w:lang w:val="en-US"/>
            </w:rPr>
            <w:t>Maulida</w:t>
          </w:r>
          <w:proofErr w:type="spellEnd"/>
          <w:r w:rsidRPr="0006140F">
            <w:rPr>
              <w:rFonts w:ascii="Agency FB" w:hAnsi="Agency FB"/>
              <w:b w:val="0"/>
              <w:i/>
              <w:iCs/>
              <w:lang w:val="en-US"/>
            </w:rPr>
            <w:t xml:space="preserve"> Khairunnisa</w:t>
          </w:r>
          <w:r>
            <w:rPr>
              <w:rFonts w:ascii="Agency FB" w:hAnsi="Agency FB"/>
              <w:b w:val="0"/>
              <w:i/>
              <w:iCs/>
              <w:lang w:val="en-US"/>
            </w:rPr>
            <w:t>,</w:t>
          </w:r>
          <w:r w:rsidRPr="0006140F">
            <w:rPr>
              <w:rFonts w:ascii="Agency FB" w:hAnsi="Agency FB"/>
              <w:b w:val="0"/>
              <w:i/>
              <w:iCs/>
              <w:lang w:val="en-US"/>
            </w:rPr>
            <w:t xml:space="preserve"> Rangga Suganda</w:t>
          </w:r>
          <w:r>
            <w:rPr>
              <w:rFonts w:ascii="Agency FB" w:hAnsi="Agency FB"/>
              <w:b w:val="0"/>
              <w:i/>
              <w:iCs/>
              <w:lang w:val="en-US"/>
            </w:rPr>
            <w:t>,</w:t>
          </w:r>
          <w:r w:rsidRPr="0006140F">
            <w:rPr>
              <w:rFonts w:ascii="Agency FB" w:hAnsi="Agency FB"/>
              <w:b w:val="0"/>
              <w:i/>
              <w:iCs/>
              <w:lang w:val="en-US"/>
            </w:rPr>
            <w:t xml:space="preserve"> </w:t>
          </w:r>
          <w:proofErr w:type="spellStart"/>
          <w:r w:rsidRPr="0006140F">
            <w:rPr>
              <w:rFonts w:ascii="Agency FB" w:hAnsi="Agency FB"/>
              <w:b w:val="0"/>
              <w:i/>
              <w:iCs/>
              <w:lang w:val="en-US"/>
            </w:rPr>
            <w:t>Rodhotun</w:t>
          </w:r>
          <w:proofErr w:type="spellEnd"/>
          <w:r w:rsidRPr="0006140F">
            <w:rPr>
              <w:rFonts w:ascii="Agency FB" w:hAnsi="Agency FB"/>
              <w:b w:val="0"/>
              <w:i/>
              <w:iCs/>
              <w:lang w:val="en-US"/>
            </w:rPr>
            <w:t xml:space="preserve"> Nimah</w:t>
          </w:r>
          <w:r>
            <w:rPr>
              <w:rFonts w:ascii="Agency FB" w:hAnsi="Agency FB"/>
              <w:b w:val="0"/>
              <w:i/>
              <w:iCs/>
              <w:lang w:val="en-US"/>
            </w:rPr>
            <w:t>,</w:t>
          </w:r>
          <w:r w:rsidR="00D52513">
            <w:rPr>
              <w:rFonts w:ascii="Agency FB" w:hAnsi="Agency FB"/>
              <w:b w:val="0"/>
              <w:i/>
              <w:iCs/>
              <w:lang w:val="en-US"/>
            </w:rPr>
            <w:t xml:space="preserve"> and</w:t>
          </w:r>
          <w:r w:rsidRPr="0006140F">
            <w:rPr>
              <w:rFonts w:ascii="Agency FB" w:hAnsi="Agency FB"/>
              <w:b w:val="0"/>
              <w:i/>
              <w:iCs/>
              <w:lang w:val="en-US"/>
            </w:rPr>
            <w:t xml:space="preserve"> Fahmi </w:t>
          </w:r>
          <w:proofErr w:type="spellStart"/>
          <w:r w:rsidRPr="0006140F">
            <w:rPr>
              <w:rFonts w:ascii="Agency FB" w:hAnsi="Agency FB"/>
              <w:b w:val="0"/>
              <w:i/>
              <w:iCs/>
              <w:lang w:val="en-US"/>
            </w:rPr>
            <w:t>Makraja</w:t>
          </w:r>
          <w:proofErr w:type="spellEnd"/>
          <w:r w:rsidR="003600BD">
            <w:rPr>
              <w:rFonts w:ascii="Agency FB" w:hAnsi="Agency FB"/>
              <w:b w:val="0"/>
              <w:i/>
              <w:iCs/>
              <w:lang w:val="en-US"/>
            </w:rPr>
            <w:t>:</w:t>
          </w:r>
          <w:r w:rsidR="00222E62" w:rsidRPr="005F63B6">
            <w:rPr>
              <w:rFonts w:ascii="Agency FB" w:hAnsi="Agency FB"/>
              <w:b w:val="0"/>
              <w:i/>
              <w:iCs/>
              <w:lang w:val="en-US"/>
            </w:rPr>
            <w:t xml:space="preserve"> </w:t>
          </w:r>
          <w:r w:rsidR="00D52513" w:rsidRPr="00D52513">
            <w:rPr>
              <w:rFonts w:ascii="Agency FB" w:hAnsi="Agency FB"/>
              <w:b w:val="0"/>
              <w:i/>
              <w:iCs/>
              <w:lang w:val="en-US"/>
            </w:rPr>
            <w:t>Indonesia Sustainable Funding: Comparative of Standard Screening Securities Crowdfunding and Capital Markets</w:t>
          </w:r>
        </w:p>
      </w:tc>
    </w:tr>
  </w:tbl>
  <w:p w14:paraId="34ECA2CF" w14:textId="77777777" w:rsidR="00222E62" w:rsidRDefault="00222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61" w:type="pct"/>
      <w:tblCellMar>
        <w:left w:w="113" w:type="dxa"/>
        <w:right w:w="113" w:type="dxa"/>
      </w:tblCellMar>
      <w:tblLook w:val="01E0" w:firstRow="1" w:lastRow="1" w:firstColumn="1" w:lastColumn="1" w:noHBand="0" w:noVBand="0"/>
    </w:tblPr>
    <w:tblGrid>
      <w:gridCol w:w="9115"/>
      <w:gridCol w:w="428"/>
    </w:tblGrid>
    <w:tr w:rsidR="00222E62" w:rsidRPr="00735694" w14:paraId="4BF27D5B" w14:textId="77777777" w:rsidTr="00EA3982">
      <w:trPr>
        <w:trHeight w:val="44"/>
      </w:trPr>
      <w:tc>
        <w:tcPr>
          <w:tcW w:w="4776" w:type="pct"/>
          <w:tcBorders>
            <w:right w:val="single" w:sz="6" w:space="0" w:color="000000"/>
          </w:tcBorders>
        </w:tcPr>
        <w:p w14:paraId="291CC941" w14:textId="0CBBB298" w:rsidR="00222E62" w:rsidRPr="00735694" w:rsidRDefault="00CD4757" w:rsidP="00222E62">
          <w:pPr>
            <w:pStyle w:val="Header"/>
            <w:tabs>
              <w:tab w:val="clear" w:pos="9026"/>
            </w:tabs>
            <w:jc w:val="right"/>
            <w:rPr>
              <w:rFonts w:ascii="Agency FB" w:hAnsi="Agency FB"/>
              <w:i/>
              <w:lang w:val="en-US"/>
            </w:rPr>
          </w:pPr>
          <w:r>
            <w:rPr>
              <w:rFonts w:ascii="Agency FB" w:hAnsi="Agency FB"/>
              <w:i/>
              <w:lang w:val="en-MY"/>
            </w:rPr>
            <w:t xml:space="preserve">International Journal </w:t>
          </w:r>
          <w:r w:rsidR="00710DDC">
            <w:rPr>
              <w:rFonts w:ascii="Agency FB" w:hAnsi="Agency FB"/>
              <w:i/>
              <w:lang w:val="en-MY"/>
            </w:rPr>
            <w:t>of</w:t>
          </w:r>
          <w:r>
            <w:rPr>
              <w:rFonts w:ascii="Agency FB" w:hAnsi="Agency FB"/>
              <w:i/>
              <w:lang w:val="en-MY"/>
            </w:rPr>
            <w:t xml:space="preserve"> Islamic Finance</w:t>
          </w:r>
          <w:r w:rsidR="00222E62" w:rsidRPr="00735694">
            <w:rPr>
              <w:rFonts w:ascii="Agency FB" w:hAnsi="Agency FB"/>
              <w:i/>
              <w:lang w:val="en-MY"/>
            </w:rPr>
            <w:t xml:space="preserve"> Vol. </w:t>
          </w:r>
          <w:r w:rsidR="000E32DA">
            <w:rPr>
              <w:rFonts w:ascii="Agency FB" w:hAnsi="Agency FB"/>
              <w:i/>
              <w:lang w:val="en-MY"/>
            </w:rPr>
            <w:t>2</w:t>
          </w:r>
          <w:r w:rsidR="00222E62" w:rsidRPr="00735694">
            <w:rPr>
              <w:rFonts w:ascii="Agency FB" w:hAnsi="Agency FB"/>
              <w:i/>
              <w:lang w:val="en-MY"/>
            </w:rPr>
            <w:t xml:space="preserve"> No.</w:t>
          </w:r>
          <w:r w:rsidR="00222E62" w:rsidRPr="00735694">
            <w:rPr>
              <w:rFonts w:ascii="Agency FB" w:hAnsi="Agency FB"/>
              <w:i/>
            </w:rPr>
            <w:t xml:space="preserve"> </w:t>
          </w:r>
          <w:r w:rsidR="00222E62">
            <w:rPr>
              <w:rFonts w:ascii="Agency FB" w:hAnsi="Agency FB"/>
              <w:i/>
            </w:rPr>
            <w:t>1</w:t>
          </w:r>
          <w:r w:rsidR="00222E62" w:rsidRPr="00735694">
            <w:rPr>
              <w:rFonts w:ascii="Agency FB" w:hAnsi="Agency FB"/>
              <w:i/>
            </w:rPr>
            <w:t xml:space="preserve"> </w:t>
          </w:r>
          <w:r w:rsidR="00222E62" w:rsidRPr="00735694">
            <w:rPr>
              <w:rFonts w:ascii="Agency FB" w:hAnsi="Agency FB"/>
              <w:i/>
              <w:lang w:val="en-MY"/>
            </w:rPr>
            <w:t>(20</w:t>
          </w:r>
          <w:r w:rsidR="00222E62" w:rsidRPr="00735694">
            <w:rPr>
              <w:rFonts w:ascii="Agency FB" w:hAnsi="Agency FB"/>
              <w:i/>
            </w:rPr>
            <w:t>2</w:t>
          </w:r>
          <w:r w:rsidR="000E32DA">
            <w:rPr>
              <w:rFonts w:ascii="Agency FB" w:hAnsi="Agency FB"/>
              <w:i/>
            </w:rPr>
            <w:t>4</w:t>
          </w:r>
          <w:r w:rsidR="00222E62" w:rsidRPr="00735694">
            <w:rPr>
              <w:rFonts w:ascii="Agency FB" w:hAnsi="Agency FB"/>
              <w:i/>
              <w:lang w:val="en-MY"/>
            </w:rPr>
            <w:t>) 0</w:t>
          </w:r>
          <w:r w:rsidR="00222E62">
            <w:rPr>
              <w:rFonts w:ascii="Agency FB" w:hAnsi="Agency FB"/>
              <w:i/>
              <w:lang w:val="en-MY"/>
            </w:rPr>
            <w:t>01</w:t>
          </w:r>
          <w:r w:rsidR="00222E62" w:rsidRPr="00735694">
            <w:rPr>
              <w:rFonts w:ascii="Agency FB" w:hAnsi="Agency FB"/>
              <w:i/>
              <w:lang w:val="en-MY"/>
            </w:rPr>
            <w:t>-0</w:t>
          </w:r>
          <w:r w:rsidR="00222E62">
            <w:rPr>
              <w:rFonts w:ascii="Agency FB" w:hAnsi="Agency FB"/>
              <w:i/>
              <w:lang w:val="en-MY"/>
            </w:rPr>
            <w:t>1</w:t>
          </w:r>
          <w:r w:rsidR="001B1AFB">
            <w:rPr>
              <w:rFonts w:ascii="Agency FB" w:hAnsi="Agency FB"/>
              <w:i/>
              <w:lang w:val="en-MY"/>
            </w:rPr>
            <w:t>8</w:t>
          </w:r>
        </w:p>
      </w:tc>
      <w:tc>
        <w:tcPr>
          <w:tcW w:w="224" w:type="pct"/>
          <w:tcBorders>
            <w:left w:val="single" w:sz="6" w:space="0" w:color="000000"/>
          </w:tcBorders>
        </w:tcPr>
        <w:p w14:paraId="50619DE0" w14:textId="77777777" w:rsidR="00222E62" w:rsidRPr="00735694" w:rsidRDefault="00222E62" w:rsidP="00222E62">
          <w:pPr>
            <w:pStyle w:val="Header"/>
            <w:rPr>
              <w:rFonts w:ascii="Agency FB" w:hAnsi="Agency FB"/>
              <w:noProof/>
            </w:rPr>
          </w:pPr>
          <w:r w:rsidRPr="00735694">
            <w:rPr>
              <w:rFonts w:ascii="Agency FB" w:hAnsi="Agency FB"/>
              <w:noProof/>
            </w:rPr>
            <w:fldChar w:fldCharType="begin"/>
          </w:r>
          <w:r w:rsidRPr="00735694">
            <w:rPr>
              <w:rFonts w:ascii="Agency FB" w:hAnsi="Agency FB"/>
              <w:noProof/>
            </w:rPr>
            <w:instrText xml:space="preserve"> PAGE   \* MERGEFORMAT </w:instrText>
          </w:r>
          <w:r w:rsidRPr="00735694">
            <w:rPr>
              <w:rFonts w:ascii="Agency FB" w:hAnsi="Agency FB"/>
              <w:noProof/>
            </w:rPr>
            <w:fldChar w:fldCharType="separate"/>
          </w:r>
          <w:r w:rsidR="0026616C">
            <w:rPr>
              <w:rFonts w:ascii="Agency FB" w:hAnsi="Agency FB"/>
              <w:noProof/>
            </w:rPr>
            <w:t>19</w:t>
          </w:r>
          <w:r w:rsidRPr="00735694">
            <w:rPr>
              <w:rFonts w:ascii="Agency FB" w:hAnsi="Agency FB"/>
              <w:noProof/>
            </w:rPr>
            <w:fldChar w:fldCharType="end"/>
          </w:r>
        </w:p>
      </w:tc>
    </w:tr>
  </w:tbl>
  <w:p w14:paraId="6DA8B815" w14:textId="2497D77A" w:rsidR="00824D81" w:rsidRPr="00222E62" w:rsidRDefault="00824D81" w:rsidP="00222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59" w:type="pct"/>
      <w:tblLook w:val="01E0" w:firstRow="1" w:lastRow="1" w:firstColumn="1" w:lastColumn="1" w:noHBand="0" w:noVBand="0"/>
    </w:tblPr>
    <w:tblGrid>
      <w:gridCol w:w="9540"/>
    </w:tblGrid>
    <w:tr w:rsidR="000E0362" w:rsidRPr="00EC16F0" w14:paraId="6480DE2E" w14:textId="77777777" w:rsidTr="00EC16F0">
      <w:trPr>
        <w:trHeight w:val="703"/>
      </w:trPr>
      <w:tc>
        <w:tcPr>
          <w:tcW w:w="5000" w:type="pct"/>
        </w:tcPr>
        <w:p w14:paraId="1A07AF21" w14:textId="5336E84D" w:rsidR="000E0362" w:rsidRPr="00EC16F0" w:rsidRDefault="0052083B" w:rsidP="001C11F5">
          <w:pPr>
            <w:pStyle w:val="Header"/>
            <w:contextualSpacing/>
            <w:rPr>
              <w:rFonts w:asciiTheme="majorHAnsi" w:hAnsiTheme="majorHAnsi" w:cstheme="majorHAnsi"/>
              <w:sz w:val="20"/>
              <w:szCs w:val="20"/>
              <w:lang w:val="en-US"/>
            </w:rPr>
          </w:pPr>
          <w:bookmarkStart w:id="1" w:name="_Hlk45008036"/>
          <w:r w:rsidRPr="00EC16F0">
            <w:rPr>
              <w:rFonts w:asciiTheme="majorHAnsi" w:hAnsiTheme="majorHAnsi" w:cstheme="majorHAnsi"/>
              <w:color w:val="4472C4" w:themeColor="accent1"/>
              <w:sz w:val="20"/>
              <w:szCs w:val="20"/>
              <w:u w:val="single"/>
            </w:rPr>
            <w:t xml:space="preserve">International Journal </w:t>
          </w:r>
          <w:r w:rsidR="00EC16F0" w:rsidRPr="00EC16F0">
            <w:rPr>
              <w:rFonts w:asciiTheme="majorHAnsi" w:hAnsiTheme="majorHAnsi" w:cstheme="majorHAnsi"/>
              <w:color w:val="4472C4" w:themeColor="accent1"/>
              <w:sz w:val="20"/>
              <w:szCs w:val="20"/>
              <w:u w:val="single"/>
            </w:rPr>
            <w:t>o</w:t>
          </w:r>
          <w:r w:rsidRPr="00EC16F0">
            <w:rPr>
              <w:rFonts w:asciiTheme="majorHAnsi" w:hAnsiTheme="majorHAnsi" w:cstheme="majorHAnsi"/>
              <w:color w:val="4472C4" w:themeColor="accent1"/>
              <w:sz w:val="20"/>
              <w:szCs w:val="20"/>
              <w:u w:val="single"/>
            </w:rPr>
            <w:t>f Islamic Finance</w:t>
          </w:r>
          <w:r w:rsidR="000E0362" w:rsidRPr="00EC16F0">
            <w:rPr>
              <w:rFonts w:asciiTheme="majorHAnsi" w:hAnsiTheme="majorHAnsi" w:cstheme="majorHAnsi"/>
              <w:sz w:val="20"/>
              <w:szCs w:val="20"/>
              <w:lang w:val="en-MY"/>
            </w:rPr>
            <w:t xml:space="preserve">, Vol. </w:t>
          </w:r>
          <w:r w:rsidR="00C25192">
            <w:rPr>
              <w:rFonts w:asciiTheme="majorHAnsi" w:hAnsiTheme="majorHAnsi" w:cstheme="majorHAnsi"/>
              <w:sz w:val="20"/>
              <w:szCs w:val="20"/>
              <w:lang w:val="en-MY"/>
            </w:rPr>
            <w:t>02</w:t>
          </w:r>
          <w:r w:rsidR="000E0362" w:rsidRPr="00EC16F0">
            <w:rPr>
              <w:rFonts w:asciiTheme="majorHAnsi" w:hAnsiTheme="majorHAnsi" w:cstheme="majorHAnsi"/>
              <w:sz w:val="20"/>
              <w:szCs w:val="20"/>
              <w:lang w:val="en-MY"/>
            </w:rPr>
            <w:t>, No.</w:t>
          </w:r>
          <w:r w:rsidRPr="00EC16F0">
            <w:rPr>
              <w:rFonts w:asciiTheme="majorHAnsi" w:hAnsiTheme="majorHAnsi" w:cstheme="majorHAnsi"/>
              <w:sz w:val="20"/>
              <w:szCs w:val="20"/>
              <w:lang w:val="en-MY"/>
            </w:rPr>
            <w:t xml:space="preserve"> </w:t>
          </w:r>
          <w:r w:rsidR="00C25192">
            <w:rPr>
              <w:rFonts w:asciiTheme="majorHAnsi" w:hAnsiTheme="majorHAnsi" w:cstheme="majorHAnsi"/>
              <w:sz w:val="20"/>
              <w:szCs w:val="20"/>
              <w:lang w:val="en-MY"/>
            </w:rPr>
            <w:t>01</w:t>
          </w:r>
          <w:r w:rsidR="000E0362" w:rsidRPr="00EC16F0">
            <w:rPr>
              <w:rFonts w:asciiTheme="majorHAnsi" w:hAnsiTheme="majorHAnsi" w:cstheme="majorHAnsi"/>
              <w:sz w:val="20"/>
              <w:szCs w:val="20"/>
              <w:lang w:val="en-MY"/>
            </w:rPr>
            <w:t xml:space="preserve"> (20</w:t>
          </w:r>
          <w:r w:rsidR="00C25192">
            <w:rPr>
              <w:rFonts w:asciiTheme="majorHAnsi" w:hAnsiTheme="majorHAnsi" w:cstheme="majorHAnsi"/>
              <w:sz w:val="20"/>
              <w:szCs w:val="20"/>
              <w:lang w:val="en-MY"/>
            </w:rPr>
            <w:t>24</w:t>
          </w:r>
          <w:r w:rsidR="000E0362" w:rsidRPr="00EC16F0">
            <w:rPr>
              <w:rFonts w:asciiTheme="majorHAnsi" w:hAnsiTheme="majorHAnsi" w:cstheme="majorHAnsi"/>
              <w:sz w:val="20"/>
              <w:szCs w:val="20"/>
              <w:lang w:val="en-MY"/>
            </w:rPr>
            <w:t>) 00</w:t>
          </w:r>
          <w:r w:rsidR="00C25192">
            <w:rPr>
              <w:rFonts w:asciiTheme="majorHAnsi" w:hAnsiTheme="majorHAnsi" w:cstheme="majorHAnsi"/>
              <w:sz w:val="20"/>
              <w:szCs w:val="20"/>
              <w:lang w:val="en-MY"/>
            </w:rPr>
            <w:t>1</w:t>
          </w:r>
          <w:r w:rsidR="000E0362" w:rsidRPr="00EC16F0">
            <w:rPr>
              <w:rFonts w:asciiTheme="majorHAnsi" w:hAnsiTheme="majorHAnsi" w:cstheme="majorHAnsi"/>
              <w:sz w:val="20"/>
              <w:szCs w:val="20"/>
              <w:lang w:val="en-MY"/>
            </w:rPr>
            <w:t>-</w:t>
          </w:r>
          <w:r w:rsidR="009B082A">
            <w:rPr>
              <w:rFonts w:asciiTheme="majorHAnsi" w:hAnsiTheme="majorHAnsi" w:cstheme="majorHAnsi"/>
              <w:sz w:val="20"/>
              <w:szCs w:val="20"/>
              <w:lang w:val="en-MY"/>
            </w:rPr>
            <w:t>01</w:t>
          </w:r>
          <w:r w:rsidR="001B1AFB">
            <w:rPr>
              <w:rFonts w:asciiTheme="majorHAnsi" w:hAnsiTheme="majorHAnsi" w:cstheme="majorHAnsi"/>
              <w:sz w:val="20"/>
              <w:szCs w:val="20"/>
              <w:lang w:val="en-MY"/>
            </w:rPr>
            <w:t>8</w:t>
          </w:r>
        </w:p>
        <w:p w14:paraId="33D64A4C" w14:textId="70733204" w:rsidR="000E0362" w:rsidRPr="00EC16F0" w:rsidRDefault="00000000" w:rsidP="001C11F5">
          <w:pPr>
            <w:pStyle w:val="Header"/>
            <w:contextualSpacing/>
            <w:rPr>
              <w:rFonts w:asciiTheme="majorHAnsi" w:hAnsiTheme="majorHAnsi" w:cstheme="majorHAnsi"/>
              <w:b/>
              <w:bCs/>
              <w:sz w:val="20"/>
              <w:szCs w:val="20"/>
            </w:rPr>
          </w:pPr>
          <w:hyperlink r:id="rId1" w:history="1">
            <w:r w:rsidR="000E0362" w:rsidRPr="00EC16F0">
              <w:rPr>
                <w:rStyle w:val="Hyperlink"/>
                <w:rFonts w:asciiTheme="majorHAnsi" w:hAnsiTheme="majorHAnsi" w:cstheme="majorHAnsi"/>
                <w:sz w:val="20"/>
                <w:szCs w:val="20"/>
                <w:lang w:val="en-US"/>
              </w:rPr>
              <w:t xml:space="preserve">Published by </w:t>
            </w:r>
            <w:r w:rsidR="000E0362" w:rsidRPr="00EC16F0">
              <w:rPr>
                <w:rStyle w:val="Hyperlink"/>
                <w:rFonts w:asciiTheme="majorHAnsi" w:hAnsiTheme="majorHAnsi" w:cstheme="majorHAnsi"/>
                <w:sz w:val="20"/>
                <w:szCs w:val="20"/>
              </w:rPr>
              <w:t xml:space="preserve">Department of </w:t>
            </w:r>
            <w:r w:rsidR="0052083B" w:rsidRPr="00EC16F0">
              <w:rPr>
                <w:rStyle w:val="Hyperlink"/>
                <w:rFonts w:asciiTheme="majorHAnsi" w:hAnsiTheme="majorHAnsi" w:cstheme="majorHAnsi"/>
                <w:sz w:val="20"/>
                <w:szCs w:val="20"/>
              </w:rPr>
              <w:t>Islamic</w:t>
            </w:r>
          </w:hyperlink>
          <w:r w:rsidR="0052083B" w:rsidRPr="00EC16F0">
            <w:rPr>
              <w:rStyle w:val="Hyperlink"/>
              <w:rFonts w:asciiTheme="majorHAnsi" w:hAnsiTheme="majorHAnsi" w:cstheme="majorHAnsi"/>
              <w:sz w:val="20"/>
              <w:szCs w:val="20"/>
            </w:rPr>
            <w:t xml:space="preserve"> Financial Management</w:t>
          </w:r>
          <w:r w:rsidR="000E0362" w:rsidRPr="00EC16F0">
            <w:rPr>
              <w:rFonts w:asciiTheme="majorHAnsi" w:hAnsiTheme="majorHAnsi" w:cstheme="majorHAnsi"/>
              <w:sz w:val="20"/>
              <w:szCs w:val="20"/>
              <w:lang w:val="en-US"/>
            </w:rPr>
            <w:t xml:space="preserve">, </w:t>
          </w:r>
          <w:r w:rsidR="001C11F5" w:rsidRPr="00EC16F0">
            <w:rPr>
              <w:rFonts w:asciiTheme="majorHAnsi" w:hAnsiTheme="majorHAnsi" w:cstheme="majorHAnsi"/>
              <w:sz w:val="20"/>
              <w:szCs w:val="20"/>
            </w:rPr>
            <w:t>Universitas Islam Negeri</w:t>
          </w:r>
          <w:r w:rsidR="000E0362" w:rsidRPr="00EC16F0">
            <w:rPr>
              <w:rFonts w:asciiTheme="majorHAnsi" w:hAnsiTheme="majorHAnsi" w:cstheme="majorHAnsi"/>
              <w:sz w:val="20"/>
              <w:szCs w:val="20"/>
            </w:rPr>
            <w:t xml:space="preserve"> Sunan </w:t>
          </w:r>
          <w:proofErr w:type="spellStart"/>
          <w:r w:rsidR="000E0362" w:rsidRPr="00EC16F0">
            <w:rPr>
              <w:rFonts w:asciiTheme="majorHAnsi" w:hAnsiTheme="majorHAnsi" w:cstheme="majorHAnsi"/>
              <w:sz w:val="20"/>
              <w:szCs w:val="20"/>
            </w:rPr>
            <w:t>Kalijaga</w:t>
          </w:r>
          <w:proofErr w:type="spellEnd"/>
          <w:r w:rsidR="000E0362" w:rsidRPr="00EC16F0">
            <w:rPr>
              <w:rFonts w:asciiTheme="majorHAnsi" w:hAnsiTheme="majorHAnsi" w:cstheme="majorHAnsi"/>
              <w:sz w:val="20"/>
              <w:szCs w:val="20"/>
            </w:rPr>
            <w:t xml:space="preserve"> Yogyakarta</w:t>
          </w:r>
        </w:p>
        <w:p w14:paraId="3C8BE3DE" w14:textId="481E9219" w:rsidR="001C11F5" w:rsidRPr="00EC16F0" w:rsidRDefault="000E0362" w:rsidP="001B1AFB">
          <w:pPr>
            <w:pStyle w:val="Header"/>
            <w:tabs>
              <w:tab w:val="right" w:pos="7274"/>
            </w:tabs>
            <w:contextualSpacing/>
            <w:rPr>
              <w:rFonts w:asciiTheme="majorHAnsi" w:hAnsiTheme="majorHAnsi" w:cstheme="majorHAnsi"/>
              <w:sz w:val="20"/>
              <w:szCs w:val="20"/>
              <w:lang w:val="en-MY"/>
            </w:rPr>
          </w:pPr>
          <w:r w:rsidRPr="00EC16F0">
            <w:rPr>
              <w:rFonts w:asciiTheme="majorHAnsi" w:hAnsiTheme="majorHAnsi" w:cstheme="majorHAnsi"/>
              <w:sz w:val="20"/>
              <w:szCs w:val="20"/>
              <w:lang w:val="en-MY"/>
            </w:rPr>
            <w:t xml:space="preserve">e-ISSN: </w:t>
          </w:r>
          <w:r w:rsidR="001B1AFB" w:rsidRPr="001B1AFB">
            <w:rPr>
              <w:rFonts w:asciiTheme="majorHAnsi" w:hAnsiTheme="majorHAnsi" w:cstheme="majorHAnsi"/>
              <w:sz w:val="20"/>
              <w:szCs w:val="20"/>
              <w:lang w:val="en-US"/>
            </w:rPr>
            <w:t>3031-8068</w:t>
          </w:r>
        </w:p>
        <w:p w14:paraId="3EED2020" w14:textId="60073256" w:rsidR="00C00064" w:rsidRPr="00EC16F0" w:rsidRDefault="00000000" w:rsidP="001C11F5">
          <w:pPr>
            <w:pStyle w:val="Header"/>
            <w:tabs>
              <w:tab w:val="right" w:pos="7274"/>
            </w:tabs>
            <w:contextualSpacing/>
            <w:rPr>
              <w:rFonts w:asciiTheme="majorHAnsi" w:hAnsiTheme="majorHAnsi" w:cstheme="majorHAnsi"/>
              <w:sz w:val="20"/>
              <w:szCs w:val="20"/>
              <w:lang w:val="en-MY"/>
            </w:rPr>
          </w:pPr>
          <w:hyperlink r:id="rId2" w:history="1">
            <w:r w:rsidR="0052083B" w:rsidRPr="00EC16F0">
              <w:rPr>
                <w:rStyle w:val="Hyperlink"/>
                <w:rFonts w:asciiTheme="majorHAnsi" w:hAnsiTheme="majorHAnsi" w:cstheme="majorHAnsi"/>
                <w:sz w:val="20"/>
                <w:szCs w:val="20"/>
              </w:rPr>
              <w:t>http://ejournal.uinsuka.ac.id/febi/IJIF</w:t>
            </w:r>
          </w:hyperlink>
          <w:r w:rsidR="0052083B" w:rsidRPr="00EC16F0">
            <w:rPr>
              <w:rFonts w:asciiTheme="majorHAnsi" w:hAnsiTheme="majorHAnsi" w:cstheme="majorHAnsi"/>
              <w:sz w:val="20"/>
              <w:szCs w:val="20"/>
            </w:rPr>
            <w:t xml:space="preserve"> </w:t>
          </w:r>
        </w:p>
      </w:tc>
    </w:tr>
    <w:bookmarkEnd w:id="1"/>
  </w:tbl>
  <w:p w14:paraId="6BE50E18" w14:textId="77777777" w:rsidR="00222E62" w:rsidRDefault="00222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ABB"/>
    <w:multiLevelType w:val="hybridMultilevel"/>
    <w:tmpl w:val="1610AC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CC38B1"/>
    <w:multiLevelType w:val="multilevel"/>
    <w:tmpl w:val="67BE7B0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2D0648"/>
    <w:multiLevelType w:val="multilevel"/>
    <w:tmpl w:val="3EDA9BB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897A67"/>
    <w:multiLevelType w:val="hybridMultilevel"/>
    <w:tmpl w:val="284A0C5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F32CCC"/>
    <w:multiLevelType w:val="hybridMultilevel"/>
    <w:tmpl w:val="D354D27A"/>
    <w:lvl w:ilvl="0" w:tplc="CA0A545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8533E"/>
    <w:multiLevelType w:val="hybridMultilevel"/>
    <w:tmpl w:val="651EB3F6"/>
    <w:lvl w:ilvl="0" w:tplc="0421000D">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 w15:restartNumberingAfterBreak="0">
    <w:nsid w:val="28B9754E"/>
    <w:multiLevelType w:val="hybridMultilevel"/>
    <w:tmpl w:val="1660C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A6A7076"/>
    <w:multiLevelType w:val="hybridMultilevel"/>
    <w:tmpl w:val="68A621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2AEE2628"/>
    <w:multiLevelType w:val="hybridMultilevel"/>
    <w:tmpl w:val="2AEAB10E"/>
    <w:lvl w:ilvl="0" w:tplc="CC2C62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381B2C50"/>
    <w:multiLevelType w:val="hybridMultilevel"/>
    <w:tmpl w:val="42DA37E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2783883"/>
    <w:multiLevelType w:val="multilevel"/>
    <w:tmpl w:val="9622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066B45"/>
    <w:multiLevelType w:val="hybridMultilevel"/>
    <w:tmpl w:val="0D58533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5B4325D"/>
    <w:multiLevelType w:val="hybridMultilevel"/>
    <w:tmpl w:val="111EEC2A"/>
    <w:lvl w:ilvl="0" w:tplc="376C88CA">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A0F4574"/>
    <w:multiLevelType w:val="hybridMultilevel"/>
    <w:tmpl w:val="7F94EFE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97D3BEA"/>
    <w:multiLevelType w:val="hybridMultilevel"/>
    <w:tmpl w:val="8AA20B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780D5FF6"/>
    <w:multiLevelType w:val="hybridMultilevel"/>
    <w:tmpl w:val="67A6D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A1A015B"/>
    <w:multiLevelType w:val="hybridMultilevel"/>
    <w:tmpl w:val="4FF84C4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B165060"/>
    <w:multiLevelType w:val="multilevel"/>
    <w:tmpl w:val="D6A89D2E"/>
    <w:lvl w:ilvl="0">
      <w:start w:val="1"/>
      <w:numFmt w:val="decimal"/>
      <w:lvlText w:val="%1."/>
      <w:lvlJc w:val="left"/>
      <w:pPr>
        <w:ind w:left="360" w:hanging="360"/>
      </w:pPr>
      <w:rPr>
        <w:rFonts w:hint="default"/>
      </w:rPr>
    </w:lvl>
    <w:lvl w:ilvl="1">
      <w:start w:val="1"/>
      <w:numFmt w:val="decimal"/>
      <w:lvlText w:val="B.%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29207291">
    <w:abstractNumId w:val="14"/>
  </w:num>
  <w:num w:numId="2" w16cid:durableId="1967808238">
    <w:abstractNumId w:val="10"/>
  </w:num>
  <w:num w:numId="3" w16cid:durableId="611088635">
    <w:abstractNumId w:val="5"/>
  </w:num>
  <w:num w:numId="4" w16cid:durableId="2061248252">
    <w:abstractNumId w:val="15"/>
  </w:num>
  <w:num w:numId="5" w16cid:durableId="1588417420">
    <w:abstractNumId w:val="12"/>
  </w:num>
  <w:num w:numId="6" w16cid:durableId="2127456950">
    <w:abstractNumId w:val="4"/>
  </w:num>
  <w:num w:numId="7" w16cid:durableId="1840459324">
    <w:abstractNumId w:val="7"/>
  </w:num>
  <w:num w:numId="8" w16cid:durableId="985666165">
    <w:abstractNumId w:val="8"/>
  </w:num>
  <w:num w:numId="9" w16cid:durableId="101271987">
    <w:abstractNumId w:val="6"/>
  </w:num>
  <w:num w:numId="10" w16cid:durableId="1230075432">
    <w:abstractNumId w:val="0"/>
  </w:num>
  <w:num w:numId="11" w16cid:durableId="714231170">
    <w:abstractNumId w:val="2"/>
  </w:num>
  <w:num w:numId="12" w16cid:durableId="861865302">
    <w:abstractNumId w:val="1"/>
  </w:num>
  <w:num w:numId="13" w16cid:durableId="382103250">
    <w:abstractNumId w:val="3"/>
  </w:num>
  <w:num w:numId="14" w16cid:durableId="83308505">
    <w:abstractNumId w:val="17"/>
  </w:num>
  <w:num w:numId="15" w16cid:durableId="639654389">
    <w:abstractNumId w:val="9"/>
  </w:num>
  <w:num w:numId="16" w16cid:durableId="1876189046">
    <w:abstractNumId w:val="11"/>
  </w:num>
  <w:num w:numId="17" w16cid:durableId="67727159">
    <w:abstractNumId w:val="16"/>
  </w:num>
  <w:num w:numId="18" w16cid:durableId="1923641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26"/>
    <w:rsid w:val="00004C67"/>
    <w:rsid w:val="0000666D"/>
    <w:rsid w:val="00007667"/>
    <w:rsid w:val="00007A19"/>
    <w:rsid w:val="000131FC"/>
    <w:rsid w:val="000148CC"/>
    <w:rsid w:val="00020A57"/>
    <w:rsid w:val="000231DC"/>
    <w:rsid w:val="00035B42"/>
    <w:rsid w:val="00040DD8"/>
    <w:rsid w:val="0004769B"/>
    <w:rsid w:val="0006140F"/>
    <w:rsid w:val="000660D6"/>
    <w:rsid w:val="00067CFB"/>
    <w:rsid w:val="000771E1"/>
    <w:rsid w:val="000848A9"/>
    <w:rsid w:val="000873C3"/>
    <w:rsid w:val="000A24C6"/>
    <w:rsid w:val="000A7F69"/>
    <w:rsid w:val="000B2CDD"/>
    <w:rsid w:val="000B712A"/>
    <w:rsid w:val="000C5DC5"/>
    <w:rsid w:val="000D7065"/>
    <w:rsid w:val="000E0362"/>
    <w:rsid w:val="000E1C41"/>
    <w:rsid w:val="000E1D14"/>
    <w:rsid w:val="000E32DA"/>
    <w:rsid w:val="000F2ADF"/>
    <w:rsid w:val="001051D6"/>
    <w:rsid w:val="001202BB"/>
    <w:rsid w:val="001229FB"/>
    <w:rsid w:val="00124AC5"/>
    <w:rsid w:val="00124CF2"/>
    <w:rsid w:val="00135641"/>
    <w:rsid w:val="001401E5"/>
    <w:rsid w:val="001453B0"/>
    <w:rsid w:val="00171929"/>
    <w:rsid w:val="001837AB"/>
    <w:rsid w:val="00184CDF"/>
    <w:rsid w:val="00196AB1"/>
    <w:rsid w:val="001B1AFB"/>
    <w:rsid w:val="001B7B2A"/>
    <w:rsid w:val="001C11F5"/>
    <w:rsid w:val="001C78F0"/>
    <w:rsid w:val="001D50FB"/>
    <w:rsid w:val="001D7043"/>
    <w:rsid w:val="001E704F"/>
    <w:rsid w:val="001E77A8"/>
    <w:rsid w:val="00201161"/>
    <w:rsid w:val="00202138"/>
    <w:rsid w:val="00205501"/>
    <w:rsid w:val="00207044"/>
    <w:rsid w:val="002100C8"/>
    <w:rsid w:val="002127E5"/>
    <w:rsid w:val="00220D14"/>
    <w:rsid w:val="00222E62"/>
    <w:rsid w:val="00235143"/>
    <w:rsid w:val="002374E0"/>
    <w:rsid w:val="00243713"/>
    <w:rsid w:val="00262774"/>
    <w:rsid w:val="0026616C"/>
    <w:rsid w:val="0027509A"/>
    <w:rsid w:val="0028312E"/>
    <w:rsid w:val="00283FB2"/>
    <w:rsid w:val="00284FBC"/>
    <w:rsid w:val="002862BF"/>
    <w:rsid w:val="0028689C"/>
    <w:rsid w:val="0029429A"/>
    <w:rsid w:val="002943AC"/>
    <w:rsid w:val="002952E7"/>
    <w:rsid w:val="00295907"/>
    <w:rsid w:val="002A430D"/>
    <w:rsid w:val="002A4BC2"/>
    <w:rsid w:val="002A5788"/>
    <w:rsid w:val="002C072E"/>
    <w:rsid w:val="002C4E4E"/>
    <w:rsid w:val="002C5019"/>
    <w:rsid w:val="002C51CE"/>
    <w:rsid w:val="002E0753"/>
    <w:rsid w:val="002E3A9B"/>
    <w:rsid w:val="002F11EC"/>
    <w:rsid w:val="0030560F"/>
    <w:rsid w:val="00306BC9"/>
    <w:rsid w:val="00310EB7"/>
    <w:rsid w:val="00313053"/>
    <w:rsid w:val="00314453"/>
    <w:rsid w:val="00325EAF"/>
    <w:rsid w:val="00327654"/>
    <w:rsid w:val="00337153"/>
    <w:rsid w:val="00340207"/>
    <w:rsid w:val="00340B7A"/>
    <w:rsid w:val="0034650E"/>
    <w:rsid w:val="00354426"/>
    <w:rsid w:val="003600BD"/>
    <w:rsid w:val="003731C3"/>
    <w:rsid w:val="00391289"/>
    <w:rsid w:val="003959F7"/>
    <w:rsid w:val="003A23C1"/>
    <w:rsid w:val="003A56B7"/>
    <w:rsid w:val="003B30D2"/>
    <w:rsid w:val="003B46CD"/>
    <w:rsid w:val="003C1E2A"/>
    <w:rsid w:val="003C2F9D"/>
    <w:rsid w:val="003C6DF1"/>
    <w:rsid w:val="003D0715"/>
    <w:rsid w:val="003D6ED2"/>
    <w:rsid w:val="003E0EE5"/>
    <w:rsid w:val="003E3AA8"/>
    <w:rsid w:val="00401963"/>
    <w:rsid w:val="00417019"/>
    <w:rsid w:val="00425559"/>
    <w:rsid w:val="004366CD"/>
    <w:rsid w:val="00446A05"/>
    <w:rsid w:val="004735BE"/>
    <w:rsid w:val="004756CD"/>
    <w:rsid w:val="00483369"/>
    <w:rsid w:val="004842FB"/>
    <w:rsid w:val="00486CC2"/>
    <w:rsid w:val="004A3788"/>
    <w:rsid w:val="004A5F68"/>
    <w:rsid w:val="004A623B"/>
    <w:rsid w:val="004A638F"/>
    <w:rsid w:val="004C29CF"/>
    <w:rsid w:val="004C36A9"/>
    <w:rsid w:val="004D2CD1"/>
    <w:rsid w:val="004D596A"/>
    <w:rsid w:val="004E0BBF"/>
    <w:rsid w:val="004E250A"/>
    <w:rsid w:val="004F3FDB"/>
    <w:rsid w:val="00505AE7"/>
    <w:rsid w:val="00510AA0"/>
    <w:rsid w:val="0051115C"/>
    <w:rsid w:val="00511740"/>
    <w:rsid w:val="00516C51"/>
    <w:rsid w:val="0052083B"/>
    <w:rsid w:val="00520D80"/>
    <w:rsid w:val="00523442"/>
    <w:rsid w:val="00530CEA"/>
    <w:rsid w:val="00535686"/>
    <w:rsid w:val="0054102E"/>
    <w:rsid w:val="00547B1C"/>
    <w:rsid w:val="00550BC0"/>
    <w:rsid w:val="00552498"/>
    <w:rsid w:val="0055458D"/>
    <w:rsid w:val="00581FAF"/>
    <w:rsid w:val="005A1004"/>
    <w:rsid w:val="005A295F"/>
    <w:rsid w:val="005A40CD"/>
    <w:rsid w:val="005B4A02"/>
    <w:rsid w:val="005F4A8A"/>
    <w:rsid w:val="005F57BD"/>
    <w:rsid w:val="005F58FC"/>
    <w:rsid w:val="005F7702"/>
    <w:rsid w:val="00604660"/>
    <w:rsid w:val="006140E8"/>
    <w:rsid w:val="00614C46"/>
    <w:rsid w:val="0062178B"/>
    <w:rsid w:val="00634590"/>
    <w:rsid w:val="00634971"/>
    <w:rsid w:val="006410F2"/>
    <w:rsid w:val="00654F1B"/>
    <w:rsid w:val="006563C8"/>
    <w:rsid w:val="00663099"/>
    <w:rsid w:val="00667092"/>
    <w:rsid w:val="00677CE6"/>
    <w:rsid w:val="0068612F"/>
    <w:rsid w:val="006971B4"/>
    <w:rsid w:val="006A6ADA"/>
    <w:rsid w:val="006B2B9A"/>
    <w:rsid w:val="006B7B2F"/>
    <w:rsid w:val="006C01A6"/>
    <w:rsid w:val="006D1557"/>
    <w:rsid w:val="006D58AF"/>
    <w:rsid w:val="006E01AE"/>
    <w:rsid w:val="007015A0"/>
    <w:rsid w:val="00710DDC"/>
    <w:rsid w:val="00712043"/>
    <w:rsid w:val="00725048"/>
    <w:rsid w:val="00732C2E"/>
    <w:rsid w:val="00741200"/>
    <w:rsid w:val="00746B39"/>
    <w:rsid w:val="007502DE"/>
    <w:rsid w:val="00756A67"/>
    <w:rsid w:val="00763CDD"/>
    <w:rsid w:val="00766350"/>
    <w:rsid w:val="00770112"/>
    <w:rsid w:val="00776559"/>
    <w:rsid w:val="00781141"/>
    <w:rsid w:val="007A4A7F"/>
    <w:rsid w:val="007A6359"/>
    <w:rsid w:val="007A6C6F"/>
    <w:rsid w:val="007B0447"/>
    <w:rsid w:val="007B0F84"/>
    <w:rsid w:val="007B1FC5"/>
    <w:rsid w:val="007B4170"/>
    <w:rsid w:val="007C687B"/>
    <w:rsid w:val="007F195D"/>
    <w:rsid w:val="007F3540"/>
    <w:rsid w:val="00801BEC"/>
    <w:rsid w:val="008034E2"/>
    <w:rsid w:val="00821AA3"/>
    <w:rsid w:val="0082300B"/>
    <w:rsid w:val="00824D81"/>
    <w:rsid w:val="008255B4"/>
    <w:rsid w:val="0083083B"/>
    <w:rsid w:val="00833137"/>
    <w:rsid w:val="0083485A"/>
    <w:rsid w:val="00842B09"/>
    <w:rsid w:val="008438F8"/>
    <w:rsid w:val="0084400D"/>
    <w:rsid w:val="008454F4"/>
    <w:rsid w:val="008555C9"/>
    <w:rsid w:val="008561B3"/>
    <w:rsid w:val="008645D8"/>
    <w:rsid w:val="00865F09"/>
    <w:rsid w:val="008811B8"/>
    <w:rsid w:val="00884FED"/>
    <w:rsid w:val="00891267"/>
    <w:rsid w:val="008970EE"/>
    <w:rsid w:val="008A07A9"/>
    <w:rsid w:val="008A0B5A"/>
    <w:rsid w:val="008A3C9D"/>
    <w:rsid w:val="008A5BEE"/>
    <w:rsid w:val="008B4328"/>
    <w:rsid w:val="008D2B41"/>
    <w:rsid w:val="008E1588"/>
    <w:rsid w:val="008E4341"/>
    <w:rsid w:val="008E67A5"/>
    <w:rsid w:val="008F04E2"/>
    <w:rsid w:val="00903A26"/>
    <w:rsid w:val="009134BF"/>
    <w:rsid w:val="00913DFE"/>
    <w:rsid w:val="00920BEA"/>
    <w:rsid w:val="00923147"/>
    <w:rsid w:val="00930989"/>
    <w:rsid w:val="00935F81"/>
    <w:rsid w:val="009364D3"/>
    <w:rsid w:val="009526B0"/>
    <w:rsid w:val="00972C28"/>
    <w:rsid w:val="00974887"/>
    <w:rsid w:val="00975A9B"/>
    <w:rsid w:val="009878E2"/>
    <w:rsid w:val="00990826"/>
    <w:rsid w:val="00991B4E"/>
    <w:rsid w:val="009A5150"/>
    <w:rsid w:val="009A61EF"/>
    <w:rsid w:val="009A7E11"/>
    <w:rsid w:val="009B082A"/>
    <w:rsid w:val="009E74DA"/>
    <w:rsid w:val="009F5323"/>
    <w:rsid w:val="009F68D9"/>
    <w:rsid w:val="00A0282C"/>
    <w:rsid w:val="00A033B6"/>
    <w:rsid w:val="00A03E24"/>
    <w:rsid w:val="00A060C2"/>
    <w:rsid w:val="00A322CF"/>
    <w:rsid w:val="00A35A29"/>
    <w:rsid w:val="00A47EC1"/>
    <w:rsid w:val="00A52275"/>
    <w:rsid w:val="00A57D9D"/>
    <w:rsid w:val="00A655E1"/>
    <w:rsid w:val="00A73286"/>
    <w:rsid w:val="00A82F1E"/>
    <w:rsid w:val="00A872C7"/>
    <w:rsid w:val="00AA4394"/>
    <w:rsid w:val="00AA4F81"/>
    <w:rsid w:val="00AA72E2"/>
    <w:rsid w:val="00AB577B"/>
    <w:rsid w:val="00AD0CF8"/>
    <w:rsid w:val="00AD3FB3"/>
    <w:rsid w:val="00AE1230"/>
    <w:rsid w:val="00AE6E3B"/>
    <w:rsid w:val="00AF097F"/>
    <w:rsid w:val="00AF4D2B"/>
    <w:rsid w:val="00B00D1B"/>
    <w:rsid w:val="00B15A7C"/>
    <w:rsid w:val="00B22CDC"/>
    <w:rsid w:val="00B27837"/>
    <w:rsid w:val="00B37556"/>
    <w:rsid w:val="00B400AE"/>
    <w:rsid w:val="00B50DDC"/>
    <w:rsid w:val="00B62E72"/>
    <w:rsid w:val="00B8633A"/>
    <w:rsid w:val="00B912AC"/>
    <w:rsid w:val="00B976B8"/>
    <w:rsid w:val="00BA58F8"/>
    <w:rsid w:val="00BB03B2"/>
    <w:rsid w:val="00BC5458"/>
    <w:rsid w:val="00BD02B0"/>
    <w:rsid w:val="00BF10D4"/>
    <w:rsid w:val="00BF14FF"/>
    <w:rsid w:val="00BF6273"/>
    <w:rsid w:val="00C00064"/>
    <w:rsid w:val="00C03D96"/>
    <w:rsid w:val="00C1196F"/>
    <w:rsid w:val="00C124C9"/>
    <w:rsid w:val="00C15E3F"/>
    <w:rsid w:val="00C25192"/>
    <w:rsid w:val="00C2661C"/>
    <w:rsid w:val="00C309C4"/>
    <w:rsid w:val="00C35150"/>
    <w:rsid w:val="00C57899"/>
    <w:rsid w:val="00C601B1"/>
    <w:rsid w:val="00C6090B"/>
    <w:rsid w:val="00C8078F"/>
    <w:rsid w:val="00C82626"/>
    <w:rsid w:val="00C901F7"/>
    <w:rsid w:val="00C93657"/>
    <w:rsid w:val="00C97BBA"/>
    <w:rsid w:val="00CB1A73"/>
    <w:rsid w:val="00CC2A71"/>
    <w:rsid w:val="00CC37C9"/>
    <w:rsid w:val="00CD2782"/>
    <w:rsid w:val="00CD4757"/>
    <w:rsid w:val="00CE3AC2"/>
    <w:rsid w:val="00CE4C92"/>
    <w:rsid w:val="00CF1458"/>
    <w:rsid w:val="00CF316B"/>
    <w:rsid w:val="00D16696"/>
    <w:rsid w:val="00D17C7B"/>
    <w:rsid w:val="00D34B12"/>
    <w:rsid w:val="00D37FCF"/>
    <w:rsid w:val="00D52513"/>
    <w:rsid w:val="00D56E99"/>
    <w:rsid w:val="00D57049"/>
    <w:rsid w:val="00D570D9"/>
    <w:rsid w:val="00D61E3C"/>
    <w:rsid w:val="00D90A8F"/>
    <w:rsid w:val="00D92020"/>
    <w:rsid w:val="00D929E0"/>
    <w:rsid w:val="00D96E05"/>
    <w:rsid w:val="00DB3ACE"/>
    <w:rsid w:val="00DC7763"/>
    <w:rsid w:val="00DD5167"/>
    <w:rsid w:val="00DE166E"/>
    <w:rsid w:val="00DE64EE"/>
    <w:rsid w:val="00DE66F4"/>
    <w:rsid w:val="00DE699D"/>
    <w:rsid w:val="00E041A6"/>
    <w:rsid w:val="00E058CC"/>
    <w:rsid w:val="00E101E1"/>
    <w:rsid w:val="00E16457"/>
    <w:rsid w:val="00E30C09"/>
    <w:rsid w:val="00E327E7"/>
    <w:rsid w:val="00E501AA"/>
    <w:rsid w:val="00E52235"/>
    <w:rsid w:val="00E57709"/>
    <w:rsid w:val="00E70F5D"/>
    <w:rsid w:val="00E71E24"/>
    <w:rsid w:val="00E7257B"/>
    <w:rsid w:val="00E77DE9"/>
    <w:rsid w:val="00E8228A"/>
    <w:rsid w:val="00E82E45"/>
    <w:rsid w:val="00EA3982"/>
    <w:rsid w:val="00EC16F0"/>
    <w:rsid w:val="00ED165E"/>
    <w:rsid w:val="00ED7585"/>
    <w:rsid w:val="00EE4555"/>
    <w:rsid w:val="00EE4A0F"/>
    <w:rsid w:val="00EE5D86"/>
    <w:rsid w:val="00F04BA2"/>
    <w:rsid w:val="00F165A2"/>
    <w:rsid w:val="00F360EE"/>
    <w:rsid w:val="00F361B3"/>
    <w:rsid w:val="00F56663"/>
    <w:rsid w:val="00F87378"/>
    <w:rsid w:val="00FB4CC3"/>
    <w:rsid w:val="00FB6A68"/>
    <w:rsid w:val="00FC2733"/>
    <w:rsid w:val="00FC4FA4"/>
    <w:rsid w:val="00FC55F4"/>
    <w:rsid w:val="00FD47F3"/>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BCF5"/>
  <w15:docId w15:val="{C263BA19-5E8C-4A43-9B36-82A364A1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9 Normal"/>
    <w:rsid w:val="00C8078F"/>
    <w:pPr>
      <w:spacing w:after="200" w:line="276" w:lineRule="auto"/>
      <w:jc w:val="both"/>
    </w:pPr>
    <w:rPr>
      <w:rFonts w:ascii="Minion Pro" w:hAnsi="Minion Pro"/>
      <w:lang w:val="en-US"/>
    </w:rPr>
  </w:style>
  <w:style w:type="paragraph" w:styleId="Heading1">
    <w:name w:val="heading 1"/>
    <w:aliases w:val="1 BAB"/>
    <w:basedOn w:val="Normal"/>
    <w:next w:val="Normal"/>
    <w:link w:val="Heading1Char"/>
    <w:uiPriority w:val="9"/>
    <w:qFormat/>
    <w:rsid w:val="00CE4C92"/>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CE4C92"/>
    <w:pPr>
      <w:spacing w:after="0"/>
      <w:ind w:firstLine="459"/>
      <w:outlineLvl w:val="1"/>
    </w:pPr>
    <w:rPr>
      <w:bCs/>
      <w:lang w:val="en-GB"/>
    </w:rPr>
  </w:style>
  <w:style w:type="paragraph" w:styleId="Heading7">
    <w:name w:val="heading 7"/>
    <w:aliases w:val="7 DAFTAR PUSTAKA"/>
    <w:basedOn w:val="Normal"/>
    <w:next w:val="Normal"/>
    <w:link w:val="Heading7Char"/>
    <w:uiPriority w:val="9"/>
    <w:unhideWhenUsed/>
    <w:qFormat/>
    <w:rsid w:val="00CE4C92"/>
    <w:pPr>
      <w:spacing w:after="0"/>
      <w:ind w:left="426" w:hanging="426"/>
      <w:outlineLvl w:val="6"/>
    </w:pPr>
    <w:rPr>
      <w:sz w:val="20"/>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HeaderChar">
    <w:name w:val="Header Char"/>
    <w:basedOn w:val="DefaultParagraphFont"/>
    <w:link w:val="Header"/>
    <w:uiPriority w:val="99"/>
    <w:rsid w:val="00903A26"/>
    <w:rPr>
      <w:lang w:val="id-ID"/>
    </w:rPr>
  </w:style>
  <w:style w:type="paragraph" w:styleId="Footer">
    <w:name w:val="footer"/>
    <w:basedOn w:val="Normal"/>
    <w:link w:val="Foot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FooterChar">
    <w:name w:val="Footer Char"/>
    <w:basedOn w:val="DefaultParagraphFont"/>
    <w:link w:val="Footer"/>
    <w:uiPriority w:val="99"/>
    <w:rsid w:val="00903A26"/>
    <w:rPr>
      <w:lang w:val="id-ID"/>
    </w:rPr>
  </w:style>
  <w:style w:type="character" w:styleId="Hyperlink">
    <w:name w:val="Hyperlink"/>
    <w:basedOn w:val="DefaultParagraphFont"/>
    <w:uiPriority w:val="99"/>
    <w:unhideWhenUsed/>
    <w:rsid w:val="00824D81"/>
    <w:rPr>
      <w:color w:val="0563C1" w:themeColor="hyperlink"/>
      <w:u w:val="single"/>
    </w:rPr>
  </w:style>
  <w:style w:type="character" w:customStyle="1" w:styleId="UnresolvedMention1">
    <w:name w:val="Unresolved Mention1"/>
    <w:basedOn w:val="DefaultParagraphFont"/>
    <w:uiPriority w:val="99"/>
    <w:semiHidden/>
    <w:unhideWhenUsed/>
    <w:rsid w:val="00824D81"/>
    <w:rPr>
      <w:color w:val="605E5C"/>
      <w:shd w:val="clear" w:color="auto" w:fill="E1DFDD"/>
    </w:rPr>
  </w:style>
  <w:style w:type="table" w:styleId="TableGrid">
    <w:name w:val="Table Grid"/>
    <w:basedOn w:val="TableNormal"/>
    <w:uiPriority w:val="39"/>
    <w:rsid w:val="00C826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626"/>
    <w:pPr>
      <w:ind w:left="720"/>
      <w:contextualSpacing/>
      <w:jc w:val="left"/>
    </w:pPr>
    <w:rPr>
      <w:rFonts w:ascii="Calibri" w:eastAsia="Calibri" w:hAnsi="Calibri" w:cs="Times New Roman"/>
      <w:lang w:val="id-ID"/>
    </w:rPr>
  </w:style>
  <w:style w:type="character" w:customStyle="1" w:styleId="Heading1Char">
    <w:name w:val="Heading 1 Char"/>
    <w:aliases w:val="1 BAB Char"/>
    <w:basedOn w:val="DefaultParagraphFont"/>
    <w:link w:val="Heading1"/>
    <w:uiPriority w:val="9"/>
    <w:rsid w:val="00CE4C92"/>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CE4C92"/>
    <w:rPr>
      <w:rFonts w:ascii="Minion Pro" w:hAnsi="Minion Pro"/>
      <w:bCs/>
      <w:lang w:val="en-GB"/>
    </w:rPr>
  </w:style>
  <w:style w:type="character" w:customStyle="1" w:styleId="Heading7Char">
    <w:name w:val="Heading 7 Char"/>
    <w:aliases w:val="7 DAFTAR PUSTAKA Char"/>
    <w:basedOn w:val="DefaultParagraphFont"/>
    <w:link w:val="Heading7"/>
    <w:uiPriority w:val="9"/>
    <w:rsid w:val="00CE4C92"/>
    <w:rPr>
      <w:rFonts w:ascii="Minion Pro" w:hAnsi="Minion Pro"/>
      <w:sz w:val="20"/>
      <w:lang w:val="id-ID"/>
    </w:rPr>
  </w:style>
  <w:style w:type="paragraph" w:customStyle="1" w:styleId="Tabel">
    <w:name w:val="Tabel"/>
    <w:basedOn w:val="Normal"/>
    <w:link w:val="TabelChar"/>
    <w:qFormat/>
    <w:rsid w:val="00222E62"/>
    <w:pPr>
      <w:tabs>
        <w:tab w:val="left" w:pos="0"/>
      </w:tabs>
      <w:spacing w:after="0" w:line="240" w:lineRule="auto"/>
      <w:contextualSpacing/>
      <w:jc w:val="center"/>
    </w:pPr>
    <w:rPr>
      <w:rFonts w:ascii="TimesNewRoman" w:eastAsia="Times New Roman" w:hAnsi="TimesNewRoman" w:cs="TimesNewRoman"/>
      <w:b/>
      <w:lang w:val="id-ID"/>
    </w:rPr>
  </w:style>
  <w:style w:type="character" w:customStyle="1" w:styleId="TabelChar">
    <w:name w:val="Tabel Char"/>
    <w:link w:val="Tabel"/>
    <w:rsid w:val="00222E62"/>
    <w:rPr>
      <w:rFonts w:ascii="TimesNewRoman" w:eastAsia="Times New Roman" w:hAnsi="TimesNewRoman" w:cs="TimesNewRoman"/>
      <w:b/>
      <w:lang w:val="id-ID"/>
    </w:rPr>
  </w:style>
  <w:style w:type="paragraph" w:styleId="Caption">
    <w:name w:val="caption"/>
    <w:basedOn w:val="Normal"/>
    <w:next w:val="Normal"/>
    <w:uiPriority w:val="35"/>
    <w:unhideWhenUsed/>
    <w:qFormat/>
    <w:rsid w:val="00C8078F"/>
    <w:pPr>
      <w:spacing w:line="240" w:lineRule="auto"/>
    </w:pPr>
    <w:rPr>
      <w:i/>
      <w:iCs/>
      <w:color w:val="44546A" w:themeColor="text2"/>
      <w:sz w:val="18"/>
      <w:szCs w:val="18"/>
    </w:rPr>
  </w:style>
  <w:style w:type="paragraph" w:styleId="NoSpacing">
    <w:name w:val="No Spacing"/>
    <w:uiPriority w:val="1"/>
    <w:qFormat/>
    <w:rsid w:val="00020A57"/>
    <w:pPr>
      <w:spacing w:after="0" w:line="240" w:lineRule="auto"/>
      <w:jc w:val="both"/>
    </w:pPr>
    <w:rPr>
      <w:rFonts w:ascii="Minion Pro" w:hAnsi="Minion Pro"/>
      <w:lang w:val="en-US"/>
    </w:rPr>
  </w:style>
  <w:style w:type="paragraph" w:styleId="FootnoteText">
    <w:name w:val="footnote text"/>
    <w:basedOn w:val="Normal"/>
    <w:link w:val="FootnoteTextChar"/>
    <w:uiPriority w:val="99"/>
    <w:semiHidden/>
    <w:unhideWhenUsed/>
    <w:rsid w:val="00077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1E1"/>
    <w:rPr>
      <w:rFonts w:ascii="Minion Pro" w:hAnsi="Minion Pro"/>
      <w:sz w:val="20"/>
      <w:szCs w:val="20"/>
      <w:lang w:val="en-US"/>
    </w:rPr>
  </w:style>
  <w:style w:type="character" w:styleId="FootnoteReference">
    <w:name w:val="footnote reference"/>
    <w:basedOn w:val="DefaultParagraphFont"/>
    <w:uiPriority w:val="99"/>
    <w:semiHidden/>
    <w:unhideWhenUsed/>
    <w:rsid w:val="000771E1"/>
    <w:rPr>
      <w:vertAlign w:val="superscript"/>
    </w:rPr>
  </w:style>
  <w:style w:type="paragraph" w:customStyle="1" w:styleId="MuDaftarPustaka">
    <w:name w:val="Mu Daftar Pustaka"/>
    <w:basedOn w:val="Normal"/>
    <w:link w:val="MuDaftarPustakaChar"/>
    <w:qFormat/>
    <w:rsid w:val="000B2CDD"/>
    <w:pPr>
      <w:pBdr>
        <w:top w:val="nil"/>
        <w:left w:val="nil"/>
        <w:bottom w:val="nil"/>
        <w:right w:val="nil"/>
        <w:between w:val="nil"/>
      </w:pBdr>
      <w:spacing w:after="0" w:line="360" w:lineRule="auto"/>
      <w:ind w:left="720" w:hanging="720"/>
    </w:pPr>
    <w:rPr>
      <w:rFonts w:asciiTheme="majorBidi" w:eastAsia="Calibri" w:hAnsiTheme="majorBidi" w:cstheme="majorBidi"/>
      <w:color w:val="000000"/>
      <w:sz w:val="24"/>
      <w:szCs w:val="24"/>
      <w:lang w:val="it-IT"/>
    </w:rPr>
  </w:style>
  <w:style w:type="character" w:customStyle="1" w:styleId="MuDaftarPustakaChar">
    <w:name w:val="Mu Daftar Pustaka Char"/>
    <w:basedOn w:val="DefaultParagraphFont"/>
    <w:link w:val="MuDaftarPustaka"/>
    <w:rsid w:val="000B2CDD"/>
    <w:rPr>
      <w:rFonts w:asciiTheme="majorBidi" w:eastAsia="Calibri" w:hAnsiTheme="majorBidi" w:cstheme="majorBidi"/>
      <w:color w:val="000000"/>
      <w:sz w:val="24"/>
      <w:szCs w:val="24"/>
      <w:lang w:val="it-IT"/>
    </w:rPr>
  </w:style>
  <w:style w:type="paragraph" w:styleId="BalloonText">
    <w:name w:val="Balloon Text"/>
    <w:basedOn w:val="Normal"/>
    <w:link w:val="BalloonTextChar"/>
    <w:uiPriority w:val="99"/>
    <w:semiHidden/>
    <w:unhideWhenUsed/>
    <w:rsid w:val="00B0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D1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8835">
      <w:bodyDiv w:val="1"/>
      <w:marLeft w:val="0"/>
      <w:marRight w:val="0"/>
      <w:marTop w:val="0"/>
      <w:marBottom w:val="0"/>
      <w:divBdr>
        <w:top w:val="none" w:sz="0" w:space="0" w:color="auto"/>
        <w:left w:val="none" w:sz="0" w:space="0" w:color="auto"/>
        <w:bottom w:val="none" w:sz="0" w:space="0" w:color="auto"/>
        <w:right w:val="none" w:sz="0" w:space="0" w:color="auto"/>
      </w:divBdr>
    </w:div>
    <w:div w:id="218514659">
      <w:bodyDiv w:val="1"/>
      <w:marLeft w:val="0"/>
      <w:marRight w:val="0"/>
      <w:marTop w:val="0"/>
      <w:marBottom w:val="0"/>
      <w:divBdr>
        <w:top w:val="none" w:sz="0" w:space="0" w:color="auto"/>
        <w:left w:val="none" w:sz="0" w:space="0" w:color="auto"/>
        <w:bottom w:val="none" w:sz="0" w:space="0" w:color="auto"/>
        <w:right w:val="none" w:sz="0" w:space="0" w:color="auto"/>
      </w:divBdr>
    </w:div>
    <w:div w:id="239874623">
      <w:bodyDiv w:val="1"/>
      <w:marLeft w:val="0"/>
      <w:marRight w:val="0"/>
      <w:marTop w:val="0"/>
      <w:marBottom w:val="0"/>
      <w:divBdr>
        <w:top w:val="none" w:sz="0" w:space="0" w:color="auto"/>
        <w:left w:val="none" w:sz="0" w:space="0" w:color="auto"/>
        <w:bottom w:val="none" w:sz="0" w:space="0" w:color="auto"/>
        <w:right w:val="none" w:sz="0" w:space="0" w:color="auto"/>
      </w:divBdr>
    </w:div>
    <w:div w:id="256251554">
      <w:bodyDiv w:val="1"/>
      <w:marLeft w:val="0"/>
      <w:marRight w:val="0"/>
      <w:marTop w:val="0"/>
      <w:marBottom w:val="0"/>
      <w:divBdr>
        <w:top w:val="none" w:sz="0" w:space="0" w:color="auto"/>
        <w:left w:val="none" w:sz="0" w:space="0" w:color="auto"/>
        <w:bottom w:val="none" w:sz="0" w:space="0" w:color="auto"/>
        <w:right w:val="none" w:sz="0" w:space="0" w:color="auto"/>
      </w:divBdr>
    </w:div>
    <w:div w:id="306132608">
      <w:bodyDiv w:val="1"/>
      <w:marLeft w:val="0"/>
      <w:marRight w:val="0"/>
      <w:marTop w:val="0"/>
      <w:marBottom w:val="0"/>
      <w:divBdr>
        <w:top w:val="none" w:sz="0" w:space="0" w:color="auto"/>
        <w:left w:val="none" w:sz="0" w:space="0" w:color="auto"/>
        <w:bottom w:val="none" w:sz="0" w:space="0" w:color="auto"/>
        <w:right w:val="none" w:sz="0" w:space="0" w:color="auto"/>
      </w:divBdr>
    </w:div>
    <w:div w:id="481234936">
      <w:bodyDiv w:val="1"/>
      <w:marLeft w:val="0"/>
      <w:marRight w:val="0"/>
      <w:marTop w:val="0"/>
      <w:marBottom w:val="0"/>
      <w:divBdr>
        <w:top w:val="none" w:sz="0" w:space="0" w:color="auto"/>
        <w:left w:val="none" w:sz="0" w:space="0" w:color="auto"/>
        <w:bottom w:val="none" w:sz="0" w:space="0" w:color="auto"/>
        <w:right w:val="none" w:sz="0" w:space="0" w:color="auto"/>
      </w:divBdr>
    </w:div>
    <w:div w:id="484778274">
      <w:bodyDiv w:val="1"/>
      <w:marLeft w:val="0"/>
      <w:marRight w:val="0"/>
      <w:marTop w:val="0"/>
      <w:marBottom w:val="0"/>
      <w:divBdr>
        <w:top w:val="none" w:sz="0" w:space="0" w:color="auto"/>
        <w:left w:val="none" w:sz="0" w:space="0" w:color="auto"/>
        <w:bottom w:val="none" w:sz="0" w:space="0" w:color="auto"/>
        <w:right w:val="none" w:sz="0" w:space="0" w:color="auto"/>
      </w:divBdr>
    </w:div>
    <w:div w:id="564921695">
      <w:bodyDiv w:val="1"/>
      <w:marLeft w:val="0"/>
      <w:marRight w:val="0"/>
      <w:marTop w:val="0"/>
      <w:marBottom w:val="0"/>
      <w:divBdr>
        <w:top w:val="none" w:sz="0" w:space="0" w:color="auto"/>
        <w:left w:val="none" w:sz="0" w:space="0" w:color="auto"/>
        <w:bottom w:val="none" w:sz="0" w:space="0" w:color="auto"/>
        <w:right w:val="none" w:sz="0" w:space="0" w:color="auto"/>
      </w:divBdr>
    </w:div>
    <w:div w:id="606275843">
      <w:bodyDiv w:val="1"/>
      <w:marLeft w:val="0"/>
      <w:marRight w:val="0"/>
      <w:marTop w:val="0"/>
      <w:marBottom w:val="0"/>
      <w:divBdr>
        <w:top w:val="none" w:sz="0" w:space="0" w:color="auto"/>
        <w:left w:val="none" w:sz="0" w:space="0" w:color="auto"/>
        <w:bottom w:val="none" w:sz="0" w:space="0" w:color="auto"/>
        <w:right w:val="none" w:sz="0" w:space="0" w:color="auto"/>
      </w:divBdr>
    </w:div>
    <w:div w:id="700664876">
      <w:bodyDiv w:val="1"/>
      <w:marLeft w:val="0"/>
      <w:marRight w:val="0"/>
      <w:marTop w:val="0"/>
      <w:marBottom w:val="0"/>
      <w:divBdr>
        <w:top w:val="none" w:sz="0" w:space="0" w:color="auto"/>
        <w:left w:val="none" w:sz="0" w:space="0" w:color="auto"/>
        <w:bottom w:val="none" w:sz="0" w:space="0" w:color="auto"/>
        <w:right w:val="none" w:sz="0" w:space="0" w:color="auto"/>
      </w:divBdr>
    </w:div>
    <w:div w:id="852376888">
      <w:bodyDiv w:val="1"/>
      <w:marLeft w:val="0"/>
      <w:marRight w:val="0"/>
      <w:marTop w:val="0"/>
      <w:marBottom w:val="0"/>
      <w:divBdr>
        <w:top w:val="none" w:sz="0" w:space="0" w:color="auto"/>
        <w:left w:val="none" w:sz="0" w:space="0" w:color="auto"/>
        <w:bottom w:val="none" w:sz="0" w:space="0" w:color="auto"/>
        <w:right w:val="none" w:sz="0" w:space="0" w:color="auto"/>
      </w:divBdr>
    </w:div>
    <w:div w:id="855730466">
      <w:bodyDiv w:val="1"/>
      <w:marLeft w:val="0"/>
      <w:marRight w:val="0"/>
      <w:marTop w:val="0"/>
      <w:marBottom w:val="0"/>
      <w:divBdr>
        <w:top w:val="none" w:sz="0" w:space="0" w:color="auto"/>
        <w:left w:val="none" w:sz="0" w:space="0" w:color="auto"/>
        <w:bottom w:val="none" w:sz="0" w:space="0" w:color="auto"/>
        <w:right w:val="none" w:sz="0" w:space="0" w:color="auto"/>
      </w:divBdr>
    </w:div>
    <w:div w:id="1062410844">
      <w:bodyDiv w:val="1"/>
      <w:marLeft w:val="0"/>
      <w:marRight w:val="0"/>
      <w:marTop w:val="0"/>
      <w:marBottom w:val="0"/>
      <w:divBdr>
        <w:top w:val="none" w:sz="0" w:space="0" w:color="auto"/>
        <w:left w:val="none" w:sz="0" w:space="0" w:color="auto"/>
        <w:bottom w:val="none" w:sz="0" w:space="0" w:color="auto"/>
        <w:right w:val="none" w:sz="0" w:space="0" w:color="auto"/>
      </w:divBdr>
    </w:div>
    <w:div w:id="1109083221">
      <w:bodyDiv w:val="1"/>
      <w:marLeft w:val="0"/>
      <w:marRight w:val="0"/>
      <w:marTop w:val="0"/>
      <w:marBottom w:val="0"/>
      <w:divBdr>
        <w:top w:val="none" w:sz="0" w:space="0" w:color="auto"/>
        <w:left w:val="none" w:sz="0" w:space="0" w:color="auto"/>
        <w:bottom w:val="none" w:sz="0" w:space="0" w:color="auto"/>
        <w:right w:val="none" w:sz="0" w:space="0" w:color="auto"/>
      </w:divBdr>
    </w:div>
    <w:div w:id="1301613646">
      <w:bodyDiv w:val="1"/>
      <w:marLeft w:val="0"/>
      <w:marRight w:val="0"/>
      <w:marTop w:val="0"/>
      <w:marBottom w:val="0"/>
      <w:divBdr>
        <w:top w:val="none" w:sz="0" w:space="0" w:color="auto"/>
        <w:left w:val="none" w:sz="0" w:space="0" w:color="auto"/>
        <w:bottom w:val="none" w:sz="0" w:space="0" w:color="auto"/>
        <w:right w:val="none" w:sz="0" w:space="0" w:color="auto"/>
      </w:divBdr>
    </w:div>
    <w:div w:id="1461341174">
      <w:bodyDiv w:val="1"/>
      <w:marLeft w:val="0"/>
      <w:marRight w:val="0"/>
      <w:marTop w:val="0"/>
      <w:marBottom w:val="0"/>
      <w:divBdr>
        <w:top w:val="none" w:sz="0" w:space="0" w:color="auto"/>
        <w:left w:val="none" w:sz="0" w:space="0" w:color="auto"/>
        <w:bottom w:val="none" w:sz="0" w:space="0" w:color="auto"/>
        <w:right w:val="none" w:sz="0" w:space="0" w:color="auto"/>
      </w:divBdr>
    </w:div>
    <w:div w:id="1650280913">
      <w:bodyDiv w:val="1"/>
      <w:marLeft w:val="0"/>
      <w:marRight w:val="0"/>
      <w:marTop w:val="0"/>
      <w:marBottom w:val="0"/>
      <w:divBdr>
        <w:top w:val="none" w:sz="0" w:space="0" w:color="auto"/>
        <w:left w:val="none" w:sz="0" w:space="0" w:color="auto"/>
        <w:bottom w:val="none" w:sz="0" w:space="0" w:color="auto"/>
        <w:right w:val="none" w:sz="0" w:space="0" w:color="auto"/>
      </w:divBdr>
    </w:div>
    <w:div w:id="1689864989">
      <w:bodyDiv w:val="1"/>
      <w:marLeft w:val="0"/>
      <w:marRight w:val="0"/>
      <w:marTop w:val="0"/>
      <w:marBottom w:val="0"/>
      <w:divBdr>
        <w:top w:val="none" w:sz="0" w:space="0" w:color="auto"/>
        <w:left w:val="none" w:sz="0" w:space="0" w:color="auto"/>
        <w:bottom w:val="none" w:sz="0" w:space="0" w:color="auto"/>
        <w:right w:val="none" w:sz="0" w:space="0" w:color="auto"/>
      </w:divBdr>
    </w:div>
    <w:div w:id="1712608304">
      <w:bodyDiv w:val="1"/>
      <w:marLeft w:val="0"/>
      <w:marRight w:val="0"/>
      <w:marTop w:val="0"/>
      <w:marBottom w:val="0"/>
      <w:divBdr>
        <w:top w:val="none" w:sz="0" w:space="0" w:color="auto"/>
        <w:left w:val="none" w:sz="0" w:space="0" w:color="auto"/>
        <w:bottom w:val="none" w:sz="0" w:space="0" w:color="auto"/>
        <w:right w:val="none" w:sz="0" w:space="0" w:color="auto"/>
      </w:divBdr>
    </w:div>
    <w:div w:id="1815178844">
      <w:bodyDiv w:val="1"/>
      <w:marLeft w:val="0"/>
      <w:marRight w:val="0"/>
      <w:marTop w:val="0"/>
      <w:marBottom w:val="0"/>
      <w:divBdr>
        <w:top w:val="none" w:sz="0" w:space="0" w:color="auto"/>
        <w:left w:val="none" w:sz="0" w:space="0" w:color="auto"/>
        <w:bottom w:val="none" w:sz="0" w:space="0" w:color="auto"/>
        <w:right w:val="none" w:sz="0" w:space="0" w:color="auto"/>
      </w:divBdr>
    </w:div>
    <w:div w:id="1863668498">
      <w:bodyDiv w:val="1"/>
      <w:marLeft w:val="0"/>
      <w:marRight w:val="0"/>
      <w:marTop w:val="0"/>
      <w:marBottom w:val="0"/>
      <w:divBdr>
        <w:top w:val="none" w:sz="0" w:space="0" w:color="auto"/>
        <w:left w:val="none" w:sz="0" w:space="0" w:color="auto"/>
        <w:bottom w:val="none" w:sz="0" w:space="0" w:color="auto"/>
        <w:right w:val="none" w:sz="0" w:space="0" w:color="auto"/>
      </w:divBdr>
    </w:div>
    <w:div w:id="205372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fimiftachululum@gmail.com"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hmimakraja@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hotunnikmah17@gmail.com" TargetMode="External"/><Relationship Id="rId5" Type="http://schemas.openxmlformats.org/officeDocument/2006/relationships/webSettings" Target="webSettings.xml"/><Relationship Id="rId15" Type="http://schemas.openxmlformats.org/officeDocument/2006/relationships/hyperlink" Target="https://pasarmodal.ojk.go.id/News/Detail/20534" TargetMode="External"/><Relationship Id="rId10" Type="http://schemas.openxmlformats.org/officeDocument/2006/relationships/hyperlink" Target="mailto:rnggsgnd@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airunnisamaulida21@gmail.com" TargetMode="Externa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ejournal.uinsuka.ac.id/febi/IJIF" TargetMode="External"/><Relationship Id="rId1" Type="http://schemas.openxmlformats.org/officeDocument/2006/relationships/hyperlink" Target="http://aks.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5CD8-0F18-449E-B802-00C8B87C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13884</Words>
  <Characters>79143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Dwiyan Al Rasyid</dc:creator>
  <cp:keywords/>
  <dc:description/>
  <cp:lastModifiedBy>HP</cp:lastModifiedBy>
  <cp:revision>8</cp:revision>
  <dcterms:created xsi:type="dcterms:W3CDTF">2024-08-28T03:48:00Z</dcterms:created>
  <dcterms:modified xsi:type="dcterms:W3CDTF">2024-09-02T06:30:00Z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e5fe0c102c6a08a4f235ba219fcdd90247f9af440a4d0c4707842be1e5e47418</vt:lpwstr>
  </property>
  <property fmtid="{D5CDD505-2E9C-101B-9397-08002B2CF9AE}" pid="3" name="Mendeley Document_1">
    <vt:lpwstr>True</vt:lpwstr>
  </property>
  <property fmtid="{D5CDD505-2E9C-101B-9397-08002B2CF9AE}" pid="4" name="Mendeley Unique User Id_1">
    <vt:lpwstr>7b0bb698-6110-35f4-9df3-fec61eb05b62</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12th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9th edition</vt:lpwstr>
  </property>
</Properties>
</file>