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B2" w:rsidRDefault="00A129B2" w:rsidP="00B345FC">
      <w:pPr>
        <w:pStyle w:val="Title"/>
        <w:spacing w:line="276" w:lineRule="auto"/>
        <w:jc w:val="left"/>
        <w:rPr>
          <w:sz w:val="36"/>
          <w:szCs w:val="36"/>
        </w:rPr>
      </w:pPr>
    </w:p>
    <w:p w:rsidR="00A129B2" w:rsidRDefault="00A129B2" w:rsidP="00B345FC">
      <w:pPr>
        <w:pStyle w:val="Title"/>
        <w:spacing w:line="276" w:lineRule="auto"/>
        <w:jc w:val="left"/>
        <w:rPr>
          <w:sz w:val="36"/>
          <w:szCs w:val="36"/>
        </w:rPr>
      </w:pPr>
    </w:p>
    <w:p w:rsidR="00B345FC" w:rsidRPr="002E5E80" w:rsidRDefault="002E5E80" w:rsidP="002E5E80">
      <w:pPr>
        <w:pStyle w:val="Title"/>
        <w:spacing w:line="240" w:lineRule="auto"/>
        <w:jc w:val="left"/>
        <w:rPr>
          <w:rFonts w:ascii="EB Garamond 12" w:hAnsi="EB Garamond 12"/>
          <w:sz w:val="36"/>
          <w:szCs w:val="36"/>
        </w:rPr>
      </w:pPr>
      <w:r w:rsidRPr="002E5E80">
        <w:rPr>
          <w:rFonts w:ascii="EB Garamond 12" w:hAnsi="EB Garamond 12"/>
          <w:sz w:val="36"/>
          <w:szCs w:val="36"/>
        </w:rPr>
        <w:t>Pluralisme dalam Tantangan Era Distursip:</w:t>
      </w:r>
      <w:r>
        <w:rPr>
          <w:rFonts w:ascii="EB Garamond 12" w:hAnsi="EB Garamond 12"/>
          <w:sz w:val="36"/>
          <w:szCs w:val="36"/>
          <w:lang w:val="en-US"/>
        </w:rPr>
        <w:t xml:space="preserve"> </w:t>
      </w:r>
      <w:r w:rsidRPr="002E5E80">
        <w:rPr>
          <w:rFonts w:ascii="EB Garamond 12" w:hAnsi="EB Garamond 12"/>
          <w:sz w:val="36"/>
          <w:szCs w:val="36"/>
        </w:rPr>
        <w:t>Implementasi Nilai Kepemimpinan Kiai Dalam Membumikan Gagasan Keberagaman di PP. Al-Qodir, Cangkringan, Sleman</w:t>
      </w:r>
    </w:p>
    <w:p w:rsidR="00B345FC" w:rsidRPr="00323B6F" w:rsidRDefault="00B345FC" w:rsidP="00323B6F">
      <w:pPr>
        <w:pStyle w:val="Title"/>
        <w:spacing w:line="240" w:lineRule="auto"/>
        <w:jc w:val="left"/>
        <w:rPr>
          <w:rFonts w:ascii="EB Garamond 12" w:hAnsi="EB Garamond 12"/>
          <w:sz w:val="24"/>
        </w:rPr>
      </w:pPr>
    </w:p>
    <w:p w:rsidR="00B345FC" w:rsidRPr="002E5E80" w:rsidRDefault="002E5E80" w:rsidP="00B345FC">
      <w:pPr>
        <w:pStyle w:val="Title"/>
        <w:spacing w:line="276" w:lineRule="auto"/>
        <w:jc w:val="left"/>
        <w:rPr>
          <w:rFonts w:ascii="EB Garamond 12" w:hAnsi="EB Garamond 12"/>
          <w:sz w:val="28"/>
          <w:szCs w:val="28"/>
          <w:lang w:val="en-US"/>
        </w:rPr>
      </w:pPr>
      <w:r w:rsidRPr="002E5E80">
        <w:rPr>
          <w:rFonts w:ascii="EB Garamond 12" w:hAnsi="EB Garamond 12"/>
          <w:sz w:val="28"/>
          <w:szCs w:val="28"/>
        </w:rPr>
        <w:t>M. Toriq Nurmadiansyah</w:t>
      </w:r>
    </w:p>
    <w:p w:rsidR="00B345FC" w:rsidRPr="00323B6F" w:rsidRDefault="002E5E80" w:rsidP="002E5E80">
      <w:pPr>
        <w:pStyle w:val="Title"/>
        <w:spacing w:line="240" w:lineRule="auto"/>
        <w:jc w:val="left"/>
        <w:rPr>
          <w:rFonts w:ascii="EB Garamond 12" w:hAnsi="EB Garamond 12"/>
          <w:b w:val="0"/>
          <w:bCs/>
          <w:sz w:val="24"/>
          <w:lang w:val="en-US"/>
        </w:rPr>
      </w:pPr>
      <w:proofErr w:type="spellStart"/>
      <w:r>
        <w:rPr>
          <w:rFonts w:ascii="EB Garamond 12" w:hAnsi="EB Garamond 12"/>
          <w:b w:val="0"/>
          <w:bCs/>
          <w:sz w:val="24"/>
          <w:lang w:val="en-US"/>
        </w:rPr>
        <w:t>Universitas</w:t>
      </w:r>
      <w:proofErr w:type="spellEnd"/>
      <w:r>
        <w:rPr>
          <w:rFonts w:ascii="EB Garamond 12" w:hAnsi="EB Garamond 12"/>
          <w:b w:val="0"/>
          <w:bCs/>
          <w:sz w:val="24"/>
          <w:lang w:val="en-US"/>
        </w:rPr>
        <w:t xml:space="preserve"> Islam </w:t>
      </w:r>
      <w:proofErr w:type="spellStart"/>
      <w:r>
        <w:rPr>
          <w:rFonts w:ascii="EB Garamond 12" w:hAnsi="EB Garamond 12"/>
          <w:b w:val="0"/>
          <w:bCs/>
          <w:sz w:val="24"/>
          <w:lang w:val="en-US"/>
        </w:rPr>
        <w:t>Negeri</w:t>
      </w:r>
      <w:proofErr w:type="spellEnd"/>
      <w:r>
        <w:rPr>
          <w:rFonts w:ascii="EB Garamond 12" w:hAnsi="EB Garamond 12"/>
          <w:b w:val="0"/>
          <w:bCs/>
          <w:sz w:val="24"/>
          <w:lang w:val="en-US"/>
        </w:rPr>
        <w:t xml:space="preserve"> </w:t>
      </w:r>
      <w:proofErr w:type="spellStart"/>
      <w:r>
        <w:rPr>
          <w:rFonts w:ascii="EB Garamond 12" w:hAnsi="EB Garamond 12"/>
          <w:b w:val="0"/>
          <w:bCs/>
          <w:sz w:val="24"/>
          <w:lang w:val="en-US"/>
        </w:rPr>
        <w:t>Sunan</w:t>
      </w:r>
      <w:proofErr w:type="spellEnd"/>
      <w:r>
        <w:rPr>
          <w:rFonts w:ascii="EB Garamond 12" w:hAnsi="EB Garamond 12"/>
          <w:b w:val="0"/>
          <w:bCs/>
          <w:sz w:val="24"/>
          <w:lang w:val="en-US"/>
        </w:rPr>
        <w:t xml:space="preserve"> </w:t>
      </w:r>
      <w:proofErr w:type="spellStart"/>
      <w:r>
        <w:rPr>
          <w:rFonts w:ascii="EB Garamond 12" w:hAnsi="EB Garamond 12"/>
          <w:b w:val="0"/>
          <w:bCs/>
          <w:sz w:val="24"/>
          <w:lang w:val="en-US"/>
        </w:rPr>
        <w:t>Kalijaga</w:t>
      </w:r>
      <w:proofErr w:type="spellEnd"/>
      <w:r>
        <w:rPr>
          <w:rFonts w:ascii="EB Garamond 12" w:hAnsi="EB Garamond 12"/>
          <w:b w:val="0"/>
          <w:bCs/>
          <w:sz w:val="24"/>
          <w:lang w:val="en-US"/>
        </w:rPr>
        <w:t xml:space="preserve"> Yogyakarta</w:t>
      </w:r>
      <w:r w:rsidRPr="00323B6F">
        <w:rPr>
          <w:rFonts w:ascii="EB Garamond 12" w:hAnsi="EB Garamond 12"/>
          <w:b w:val="0"/>
          <w:bCs/>
          <w:sz w:val="24"/>
          <w:lang w:val="en-US"/>
        </w:rPr>
        <w:t xml:space="preserve">, </w:t>
      </w:r>
      <w:r w:rsidR="00B345FC" w:rsidRPr="00323B6F">
        <w:rPr>
          <w:rFonts w:ascii="EB Garamond 12" w:hAnsi="EB Garamond 12"/>
          <w:b w:val="0"/>
          <w:bCs/>
          <w:sz w:val="24"/>
          <w:lang w:val="en-US"/>
        </w:rPr>
        <w:t>Indonesia</w:t>
      </w:r>
    </w:p>
    <w:p w:rsidR="00773062" w:rsidRDefault="0013561B" w:rsidP="002E5E80">
      <w:pPr>
        <w:pStyle w:val="Title"/>
        <w:spacing w:line="240" w:lineRule="auto"/>
        <w:jc w:val="left"/>
        <w:rPr>
          <w:rFonts w:ascii="EB Garamond 12" w:hAnsi="EB Garamond 12"/>
        </w:rPr>
      </w:pPr>
      <w:r w:rsidRPr="00323B6F">
        <w:rPr>
          <w:rFonts w:ascii="EB Garamond 12" w:hAnsi="EB Garamond 12"/>
          <w:b w:val="0"/>
          <w:bCs/>
          <w:i/>
          <w:iCs/>
          <w:sz w:val="24"/>
          <w:lang w:val="en-US"/>
        </w:rPr>
        <w:t xml:space="preserve">Email: </w:t>
      </w:r>
      <w:r w:rsidR="002E5E80" w:rsidRPr="002E5E80">
        <w:rPr>
          <w:rFonts w:ascii="EB Garamond 12" w:hAnsi="EB Garamond 12"/>
          <w:b w:val="0"/>
          <w:bCs/>
          <w:i/>
          <w:iCs/>
          <w:sz w:val="24"/>
          <w:lang w:val="en-US"/>
        </w:rPr>
        <w:t>pendawa.234@gmail.com</w:t>
      </w:r>
    </w:p>
    <w:p w:rsidR="00323B6F" w:rsidRDefault="00323B6F" w:rsidP="00323B6F">
      <w:pPr>
        <w:rPr>
          <w:rFonts w:ascii="EB Garamond 12" w:hAnsi="EB Garamond 12"/>
        </w:rPr>
      </w:pPr>
    </w:p>
    <w:p w:rsidR="00773062" w:rsidRDefault="00773062" w:rsidP="00323B6F">
      <w:pPr>
        <w:rPr>
          <w:rFonts w:ascii="EB Garamond 12" w:hAnsi="EB Garamond 12"/>
        </w:rPr>
      </w:pPr>
    </w:p>
    <w:p w:rsidR="007A2F7E" w:rsidRPr="000278A6" w:rsidRDefault="007A2F7E" w:rsidP="000278A6">
      <w:pPr>
        <w:jc w:val="both"/>
        <w:rPr>
          <w:rFonts w:ascii="EB Garamond 12" w:hAnsi="EB Garamond 12"/>
          <w:i/>
          <w:iCs/>
        </w:rPr>
      </w:pPr>
      <w:r w:rsidRPr="00323B6F">
        <w:rPr>
          <w:rFonts w:ascii="EB Garamond 12" w:hAnsi="EB Garamond 12"/>
          <w:b/>
          <w:bCs/>
          <w:i/>
          <w:iCs/>
        </w:rPr>
        <w:t>Abstrak</w:t>
      </w:r>
      <w:r w:rsidRPr="000278A6">
        <w:rPr>
          <w:rFonts w:ascii="EB Garamond 12" w:hAnsi="EB Garamond 12"/>
          <w:b/>
          <w:bCs/>
          <w:i/>
          <w:iCs/>
        </w:rPr>
        <w:t>.</w:t>
      </w:r>
      <w:r w:rsidRPr="006D2A18">
        <w:rPr>
          <w:rFonts w:ascii="EB Garamond 12" w:hAnsi="EB Garamond 12"/>
          <w:i/>
          <w:iCs/>
        </w:rPr>
        <w:t xml:space="preserve"> </w:t>
      </w:r>
      <w:r w:rsidR="000278A6" w:rsidRPr="000278A6">
        <w:rPr>
          <w:rFonts w:ascii="EB Garamond 12" w:hAnsi="EB Garamond 12"/>
          <w:i/>
          <w:iCs/>
        </w:rPr>
        <w:t xml:space="preserve">Peran kiai dalam meningkatkan keberagamaan masyarakat berdasarkan hasil kajian penelitian ini, dapat diklasifikasi yang terdiri dari dua hal, yaitu (1) nasihat kiai sebagai spirit dalam meningkatkan keberagamaan; dan (2) kiai sebagai penjaga tradisi Islam-Indonesia. Pertama, peran kiai menjadi posisi sentral dalam kehidupan masyarakat. Di mana nasihat-nasihat yang dikeluarkan kiai, setiap kali ceramah atau pengajian rutin, secara tidak langsung mampu meningkatkan keberagamaan masyarakat. Misalkan, apabila ada orang yang malas mengikuti majlis ilmu atau ibadah wajib (solat), dengan nada menyentuh dan perkatan halus mampu membangkitkan gairah untuk mendekatkan diri kepada Tuhan. Kedua, kiai sebagai penjaga tradisi Islam-Indonesia di Pon-Pos Al-Qodir terlihat jelas dengan setiap aktivitas dan kegiatan yang dilakukan. Ini artinya, Islam di Indonesia berbeda dengan Islam yang ada di Timur Tengah dan negara lain di dunia. Kegiatan dalam menjaga tradisi misalnya, ada khusus ziarah kubur, tahlilan, pelaksanaan PHBI, chaul, dan lain </w:t>
      </w:r>
      <w:bookmarkStart w:id="0" w:name="_GoBack"/>
      <w:bookmarkEnd w:id="0"/>
      <w:r w:rsidR="000278A6" w:rsidRPr="000278A6">
        <w:rPr>
          <w:rFonts w:ascii="EB Garamond 12" w:hAnsi="EB Garamond 12"/>
          <w:i/>
          <w:iCs/>
        </w:rPr>
        <w:t>sebagainya. Hal ini salah satu identitas ke-Islaman Indonesia yang terus di jaga di Pon-Pes Al-Qodir dalam menjalankan aktivitas sehari-hari.</w:t>
      </w:r>
    </w:p>
    <w:p w:rsidR="007A2F7E" w:rsidRPr="00E001C7" w:rsidRDefault="007A2F7E" w:rsidP="007A2F7E">
      <w:pPr>
        <w:rPr>
          <w:rFonts w:ascii="EB Garamond 12" w:hAnsi="EB Garamond 12"/>
          <w:sz w:val="10"/>
          <w:szCs w:val="10"/>
        </w:rPr>
      </w:pPr>
    </w:p>
    <w:p w:rsidR="00B345FC" w:rsidRPr="00323B6F" w:rsidRDefault="007A2F7E" w:rsidP="000278A6">
      <w:pPr>
        <w:jc w:val="both"/>
        <w:rPr>
          <w:rFonts w:ascii="EB Garamond 12" w:hAnsi="EB Garamond 12"/>
          <w:lang w:val="en-US"/>
        </w:rPr>
      </w:pPr>
      <w:r w:rsidRPr="00323B6F">
        <w:rPr>
          <w:rFonts w:ascii="EB Garamond 12" w:hAnsi="EB Garamond 12"/>
          <w:b/>
          <w:bCs/>
        </w:rPr>
        <w:t>Kata kunci</w:t>
      </w:r>
      <w:r w:rsidRPr="00323B6F">
        <w:rPr>
          <w:rFonts w:ascii="EB Garamond 12" w:hAnsi="EB Garamond 12"/>
        </w:rPr>
        <w:t>:</w:t>
      </w:r>
      <w:r w:rsidRPr="00417EF4">
        <w:rPr>
          <w:rFonts w:ascii="EB Garamond 12" w:hAnsi="EB Garamond 12"/>
        </w:rPr>
        <w:t xml:space="preserve"> </w:t>
      </w:r>
      <w:r w:rsidR="006828E2" w:rsidRPr="006828E2">
        <w:rPr>
          <w:rFonts w:ascii="EB Garamond 12" w:hAnsi="EB Garamond 12"/>
        </w:rPr>
        <w:t>Pluralisme</w:t>
      </w:r>
      <w:r w:rsidRPr="006828E2">
        <w:rPr>
          <w:rFonts w:ascii="EB Garamond 12" w:hAnsi="EB Garamond 12"/>
        </w:rPr>
        <w:t>,</w:t>
      </w:r>
      <w:r w:rsidR="006828E2">
        <w:rPr>
          <w:rFonts w:ascii="EB Garamond 12" w:hAnsi="EB Garamond 12"/>
          <w:lang w:val="en-US"/>
        </w:rPr>
        <w:t xml:space="preserve"> </w:t>
      </w:r>
      <w:proofErr w:type="spellStart"/>
      <w:r w:rsidR="006828E2">
        <w:rPr>
          <w:rFonts w:ascii="EB Garamond 12" w:hAnsi="EB Garamond 12"/>
          <w:lang w:val="en-US"/>
        </w:rPr>
        <w:t>Pondok</w:t>
      </w:r>
      <w:proofErr w:type="spellEnd"/>
      <w:r w:rsidR="006828E2">
        <w:rPr>
          <w:rFonts w:ascii="EB Garamond 12" w:hAnsi="EB Garamond 12"/>
          <w:lang w:val="en-US"/>
        </w:rPr>
        <w:t xml:space="preserve"> </w:t>
      </w:r>
      <w:proofErr w:type="spellStart"/>
      <w:r w:rsidR="006828E2">
        <w:rPr>
          <w:rFonts w:ascii="EB Garamond 12" w:hAnsi="EB Garamond 12"/>
          <w:lang w:val="en-US"/>
        </w:rPr>
        <w:t>Pesantren</w:t>
      </w:r>
      <w:proofErr w:type="spellEnd"/>
      <w:r w:rsidR="006828E2">
        <w:rPr>
          <w:rFonts w:ascii="EB Garamond 12" w:hAnsi="EB Garamond 12"/>
          <w:lang w:val="en-US"/>
        </w:rPr>
        <w:t xml:space="preserve">, </w:t>
      </w:r>
      <w:proofErr w:type="spellStart"/>
      <w:r w:rsidR="006828E2">
        <w:rPr>
          <w:rFonts w:ascii="EB Garamond 12" w:hAnsi="EB Garamond 12"/>
          <w:lang w:val="en-US"/>
        </w:rPr>
        <w:t>Pesantren</w:t>
      </w:r>
      <w:proofErr w:type="spellEnd"/>
      <w:r w:rsidR="006828E2">
        <w:rPr>
          <w:rFonts w:ascii="EB Garamond 12" w:hAnsi="EB Garamond 12"/>
          <w:lang w:val="en-US"/>
        </w:rPr>
        <w:t>.</w:t>
      </w:r>
    </w:p>
    <w:p w:rsidR="00B345FC" w:rsidRDefault="00B345FC" w:rsidP="00323B6F">
      <w:pPr>
        <w:jc w:val="both"/>
        <w:rPr>
          <w:rFonts w:ascii="EB Garamond 12" w:hAnsi="EB Garamond 12"/>
        </w:rPr>
      </w:pPr>
    </w:p>
    <w:p w:rsidR="00323B6F" w:rsidRPr="00323B6F" w:rsidRDefault="00323B6F" w:rsidP="00323B6F">
      <w:pPr>
        <w:jc w:val="both"/>
        <w:rPr>
          <w:rFonts w:ascii="EB Garamond 12" w:hAnsi="EB Garamond 12"/>
        </w:rPr>
      </w:pPr>
    </w:p>
    <w:p w:rsidR="00A129B2" w:rsidRPr="00323B6F" w:rsidRDefault="0094047C" w:rsidP="00597A97">
      <w:pPr>
        <w:pStyle w:val="ListParagraph"/>
        <w:numPr>
          <w:ilvl w:val="0"/>
          <w:numId w:val="1"/>
        </w:numPr>
        <w:ind w:left="284" w:hanging="284"/>
        <w:contextualSpacing w:val="0"/>
        <w:jc w:val="both"/>
        <w:rPr>
          <w:rFonts w:ascii="EB Garamond 12" w:hAnsi="EB Garamond 12"/>
          <w:b/>
          <w:bCs/>
        </w:rPr>
      </w:pPr>
      <w:proofErr w:type="spellStart"/>
      <w:r>
        <w:rPr>
          <w:rFonts w:ascii="EB Garamond 12" w:hAnsi="EB Garamond 12"/>
          <w:b/>
          <w:bCs/>
          <w:lang w:val="en-US"/>
        </w:rPr>
        <w:t>P</w:t>
      </w:r>
      <w:r w:rsidR="00597A97">
        <w:rPr>
          <w:rFonts w:ascii="EB Garamond 12" w:hAnsi="EB Garamond 12"/>
          <w:b/>
          <w:bCs/>
          <w:lang w:val="en-US"/>
        </w:rPr>
        <w:t>endahuluan</w:t>
      </w:r>
      <w:proofErr w:type="spellEnd"/>
    </w:p>
    <w:p w:rsidR="002E5E80" w:rsidRPr="002E5E80" w:rsidRDefault="002E5E80" w:rsidP="002E5E80">
      <w:pPr>
        <w:spacing w:before="60"/>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Pesantren merupakan lembaga pendidikan yang melakukan pembelajaran sejak awal masuknya agama Islam di Indonesia. Dalam arti terminologi, </w:t>
      </w:r>
      <w:r w:rsidRPr="002E5E80">
        <w:rPr>
          <w:rFonts w:ascii="EB Garamond 12" w:eastAsia="Adobe Myungjo Std M" w:hAnsi="EB Garamond 12" w:cs="Adobe Hebrew"/>
          <w:i/>
        </w:rPr>
        <w:t>“pesantren”</w:t>
      </w:r>
      <w:r w:rsidRPr="002E5E80">
        <w:rPr>
          <w:rFonts w:ascii="EB Garamond 12" w:eastAsia="Adobe Myungjo Std M" w:hAnsi="EB Garamond 12" w:cs="Adobe Hebrew"/>
        </w:rPr>
        <w:t xml:space="preserve"> tidak terlepas dari istilah “</w:t>
      </w:r>
      <w:r w:rsidRPr="002E5E80">
        <w:rPr>
          <w:rFonts w:ascii="EB Garamond 12" w:eastAsia="Adobe Myungjo Std M" w:hAnsi="EB Garamond 12" w:cs="Adobe Hebrew"/>
          <w:i/>
        </w:rPr>
        <w:t>santri</w:t>
      </w:r>
      <w:r w:rsidRPr="002E5E80">
        <w:rPr>
          <w:rFonts w:ascii="EB Garamond 12" w:eastAsia="Adobe Myungjo Std M" w:hAnsi="EB Garamond 12" w:cs="Adobe Hebrew"/>
        </w:rPr>
        <w:t>” yang mengandung makna sebagai tempat belajar. Diketahui ada banyak pesantren di Jawa yang semula didirikan di wilayah pedesaan. Selanjutnya di wilayah-wilayah Indonesia yang lain juga banyak didirikan pesantren seperti di Sumatra Barat yang dikenal dengan</w:t>
      </w:r>
      <w:r w:rsidRPr="002E5E80">
        <w:rPr>
          <w:rFonts w:ascii="EB Garamond 12" w:eastAsia="Adobe Myungjo Std M" w:hAnsi="EB Garamond 12" w:cs="Adobe Hebrew"/>
          <w:i/>
        </w:rPr>
        <w:t xml:space="preserve"> surau</w:t>
      </w:r>
      <w:r w:rsidRPr="002E5E80">
        <w:rPr>
          <w:rFonts w:ascii="EB Garamond 12" w:eastAsia="Adobe Myungjo Std M" w:hAnsi="EB Garamond 12" w:cs="Adobe Hebrew"/>
        </w:rPr>
        <w:t xml:space="preserve"> dan di Aceh di sebut </w:t>
      </w:r>
      <w:r w:rsidRPr="002E5E80">
        <w:rPr>
          <w:rFonts w:ascii="EB Garamond 12" w:eastAsia="Adobe Myungjo Std M" w:hAnsi="EB Garamond 12" w:cs="Adobe Hebrew"/>
          <w:i/>
        </w:rPr>
        <w:t xml:space="preserve">dayah, </w:t>
      </w:r>
      <w:r w:rsidRPr="002E5E80">
        <w:rPr>
          <w:rFonts w:ascii="EB Garamond 12" w:eastAsia="Adobe Myungjo Std M" w:hAnsi="EB Garamond 12" w:cs="Adobe Hebrew"/>
          <w:iCs/>
        </w:rPr>
        <w:t>dan beberapa kawasan lain di negeri ini</w:t>
      </w:r>
      <w:r w:rsidRPr="002E5E80">
        <w:rPr>
          <w:rFonts w:ascii="EB Garamond 12" w:eastAsia="Adobe Myungjo Std M" w:hAnsi="EB Garamond 12" w:cs="Adobe Hebrew"/>
        </w:rPr>
        <w:t>.</w:t>
      </w:r>
      <w:r w:rsidRPr="002E5E80">
        <w:rPr>
          <w:rStyle w:val="FootnoteReference"/>
          <w:rFonts w:ascii="EB Garamond 12" w:eastAsia="Adobe Myungjo Std M" w:hAnsi="EB Garamond 12" w:cs="Adobe Hebrew"/>
        </w:rPr>
        <w:footnoteReference w:id="1"/>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Di era saat ini, pesantren terus bermetamorfosa dengan menyesuaikan diri sesuia dengan kebutuhan zaman. Hal ini dapat dilihat dari peran pesantren yang begitu sangat besar bagi kehidupan masyarakat. Selain itu, </w:t>
      </w:r>
      <w:r w:rsidRPr="002E5E80">
        <w:rPr>
          <w:rFonts w:ascii="EB Garamond 12" w:hAnsi="EB Garamond 12"/>
        </w:rPr>
        <w:t>keunikan</w:t>
      </w:r>
      <w:r w:rsidRPr="002E5E80">
        <w:rPr>
          <w:rFonts w:ascii="EB Garamond 12" w:eastAsia="Adobe Myungjo Std M" w:hAnsi="EB Garamond 12" w:cs="Adobe Hebrew"/>
        </w:rPr>
        <w:t xml:space="preserve"> dari pendidikan model pesantren adalah murid atau populer disebut santri, belajar dan tinggal dalam asrama yang disediakan oleh lembaga tersebut. Dengan demikian, sebutan pondok pesantren atau pondok menjadi sangat populer. Masyarakat sering mengartikan istilah pondok identik dengan pesantren itu sendiri.</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Secara umum </w:t>
      </w:r>
      <w:r w:rsidRPr="002E5E80">
        <w:rPr>
          <w:rFonts w:ascii="EB Garamond 12" w:hAnsi="EB Garamond 12"/>
        </w:rPr>
        <w:t>pesantren</w:t>
      </w:r>
      <w:r w:rsidRPr="002E5E80">
        <w:rPr>
          <w:rFonts w:ascii="EB Garamond 12" w:eastAsia="Adobe Myungjo Std M" w:hAnsi="EB Garamond 12" w:cs="Adobe Hebrew"/>
        </w:rPr>
        <w:t xml:space="preserve"> di Indonesia dibedakan antara pesantren tradisional (</w:t>
      </w:r>
      <w:r w:rsidRPr="002E5E80">
        <w:rPr>
          <w:rFonts w:ascii="EB Garamond 12" w:eastAsia="Adobe Myungjo Std M" w:hAnsi="EB Garamond 12" w:cs="Adobe Hebrew"/>
          <w:i/>
        </w:rPr>
        <w:t>salafi</w:t>
      </w:r>
      <w:r w:rsidRPr="002E5E80">
        <w:rPr>
          <w:rFonts w:ascii="EB Garamond 12" w:eastAsia="Adobe Myungjo Std M" w:hAnsi="EB Garamond 12" w:cs="Adobe Hebrew"/>
        </w:rPr>
        <w:t>) yang bersifat konservatif  dan  pesantren modern (</w:t>
      </w:r>
      <w:r w:rsidRPr="002E5E80">
        <w:rPr>
          <w:rFonts w:ascii="EB Garamond 12" w:eastAsia="Adobe Myungjo Std M" w:hAnsi="EB Garamond 12" w:cs="Adobe Hebrew"/>
          <w:i/>
        </w:rPr>
        <w:t>khalafi</w:t>
      </w:r>
      <w:r w:rsidRPr="002E5E80">
        <w:rPr>
          <w:rFonts w:ascii="EB Garamond 12" w:eastAsia="Adobe Myungjo Std M" w:hAnsi="EB Garamond 12" w:cs="Adobe Hebrew"/>
        </w:rPr>
        <w:t xml:space="preserve">) yang bersifat adaptif. Perbedaan yang nyata antara pesantren tradisional dan pesantren modern adalah pada proses manajemennya. Manajemen yang dilakukan di </w:t>
      </w:r>
      <w:r w:rsidRPr="002E5E80">
        <w:rPr>
          <w:rFonts w:ascii="EB Garamond 12" w:eastAsia="Adobe Myungjo Std M" w:hAnsi="EB Garamond 12" w:cs="Adobe Hebrew"/>
        </w:rPr>
        <w:lastRenderedPageBreak/>
        <w:t>pesantren tradisional berjalan secara alami, tanpa program dan tidak terstruktur. Sementara pesantren modern melaksanakan prinsip manajemen yang lebih sistematis, efektif dan efisien.</w:t>
      </w:r>
      <w:r w:rsidRPr="002E5E80">
        <w:rPr>
          <w:rStyle w:val="FootnoteReference"/>
          <w:rFonts w:ascii="EB Garamond 12" w:eastAsia="Adobe Myungjo Std M" w:hAnsi="EB Garamond 12" w:cs="Adobe Hebrew"/>
        </w:rPr>
        <w:footnoteReference w:id="2"/>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hAnsi="EB Garamond 12"/>
        </w:rPr>
        <w:t>Pesantren</w:t>
      </w:r>
      <w:r w:rsidRPr="002E5E80">
        <w:rPr>
          <w:rFonts w:ascii="EB Garamond 12" w:eastAsia="Adobe Myungjo Std M" w:hAnsi="EB Garamond 12" w:cs="Adobe Hebrew"/>
        </w:rPr>
        <w:t xml:space="preserve"> tradisional sebagian besar terdapat di wilayah pedesaan dan pedalaman. Dengan demikian dapat dikatakan, bahwa tradisi-tradisi keislaman  sangat mengakar dan dapat bertahan di pedesaan. Pada pesantren tradisional  peran Kyai sangat dominan. Kyai menjadi tokoh sentral yang  mempunyai wewenang penuh dalam proses belajar mengajar. Saat ini jarang ditemui pesantren yang benar-benar bercorak tradisional, karena tuntutan masyarakat yang menghendaki pendidikan pesantren dapat memenuhi tantangan dan kemajuan ilmu pengetahuan. Secara bertahap pesantren di Indonesia umumnya dan di Jawa khususnya mulai melakukan transformasi dalam sistem pembelajaran dan manajemen pendidikan pesantren, sehingga pesantren tumbuh dan berkembang dengan coraknya masing-masing.</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Perkembangan pesantren di Indonesia telah mewarnai bangsa ini sebelum kemerdekaan hingga era modern </w:t>
      </w:r>
      <w:r w:rsidRPr="002E5E80">
        <w:rPr>
          <w:rFonts w:ascii="EB Garamond 12" w:hAnsi="EB Garamond 12"/>
        </w:rPr>
        <w:t>saat</w:t>
      </w:r>
      <w:r w:rsidRPr="002E5E80">
        <w:rPr>
          <w:rFonts w:ascii="EB Garamond 12" w:eastAsia="Adobe Myungjo Std M" w:hAnsi="EB Garamond 12" w:cs="Adobe Hebrew"/>
        </w:rPr>
        <w:t xml:space="preserve"> ini. Dalam fase perjalanannya, peran pesatren begitu strategis dalam pembangunan bangsa. Hal ini tampak banyak tokoh pesantren menjadi sosok penting dalam pemerintahan Indonesia. Selain itu, perjuangan para ulama yang berasal dari pondok pesantren begitu besar bagi perubahan transformasi sosial. Perubahan ini sangat nyata ketika paham yang muncul dari kajian-kajian diskusi di pondok pesantren adalah salah satu yang mengemuka soal bagaimana cara merawat dan menjaga NKRI dengan menghargai satu sama lain. </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Cara menghargai ini sejalan dengan pemikiran humanis dan pluralis yang terbungkus ikatan semboyan falsafah bangsa ini, yakni Bhineka Tunggal Ika. Falsafah ini senada dengan ajaran-ajaran yang secara eksplisit terjadi di berbagai pondok pesantren di Indonesia. Dengan demikian, nuansa pemahaman keberagaman menjadi soal yang urgent di setiap pondok pesantren di nusantara.</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hAnsi="EB Garamond 12"/>
        </w:rPr>
        <w:t>Mengingat</w:t>
      </w:r>
      <w:r w:rsidRPr="002E5E80">
        <w:rPr>
          <w:rFonts w:ascii="EB Garamond 12" w:eastAsia="Adobe Myungjo Std M" w:hAnsi="EB Garamond 12" w:cs="Adobe Hebrew"/>
        </w:rPr>
        <w:t xml:space="preserve"> banyak pondok pesantren—tidak hanya di Jawa—masing-masing pondok tersebut memaknai keberagaman dalam sistem pendidikan tentu berbeda-beda. Perbedaan ini disebabkan langsung oleh lingkungan di mana pesantren itu berdiri. Dalam kultur yang tidak religius, akan mendorong pengelola pondok pesantren bekerja lebih ekstra untuk menghadapi masyarakat menjadi lebih beriman. Selain itu, transformasi pesantren di negeri ini tidak secara langsung menghilangkan tradisi lokal. Namun posisi pesantren memiliki andil dalam melakukan perubahan secara perlahan mengenalkan Islam kepada masyarakat awam. Hal ini dapat kita lihat dengan lahirnya budaya tahlilan, manaqiban, dan lain sebagainya menjadi warna di dalam kehidupan masyarakat. </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Dengan begitu, pesantren sebagai ikon bangsa ini terus berupaya untuk melakukan transformasi perubahan di masyarakat tanpa harus mencerabut akar sejarah dan tradisi negeri ini. Hal ini berjalan dengan matang sebagai akibat langsung dari kecerdikan dan kepintaran para kiai dalam mengelola ilmu agama yang mudah diterima oleh masyarakat awam. Pun demikian, keringnya ilmu agama dalam kehidupan masyarakat disinyalir peran kiai dalam mengelola pondok pesantren secara arif dan bijaksana yang menyesuaikan dengan kondisi kehidupan masyarakat. </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Berbicara terkait dengan peran kiai yang mampu mengelola pondok pesantren sehingga mampu diterima oleh masyarakat awam yang pada gilirannya menjalankan ritualisasi ibadah agama dengan masif, maka salah satu yang konkret melakukan persoalan demikian adalah pondok pesantren Al-Qodir di Cangkringan Kabupaten Sleman. Dalam catatan sejarah, pesantren ini berkembang menjadi magnet ilmu pengetahuan agama hingga hari ini berdiri tegak mengembangkan dan mentransformasikan ilmu agama yang kontekstual. Seiring dengan itu, masyarakat dilingkungan pondok pesantren merasa penting akan hadirnya lembaga pendidikan agama ini. Selain menjadi ikon daerah untuk meningkatkan kualitas pendidikan anak-anak (santri), juga sebagai lembaga yang memiliki peran sebagai jembatan antara ilmu </w:t>
      </w:r>
      <w:r w:rsidRPr="002E5E80">
        <w:rPr>
          <w:rFonts w:ascii="EB Garamond 12" w:eastAsia="Adobe Myungjo Std M" w:hAnsi="EB Garamond 12" w:cs="Adobe Hebrew"/>
        </w:rPr>
        <w:lastRenderedPageBreak/>
        <w:t xml:space="preserve">agama dengan masyarakat yang </w:t>
      </w:r>
      <w:r w:rsidRPr="002E5E80">
        <w:rPr>
          <w:rFonts w:ascii="EB Garamond 12" w:hAnsi="EB Garamond 12"/>
        </w:rPr>
        <w:t>membutuhkan</w:t>
      </w:r>
      <w:r w:rsidRPr="002E5E80">
        <w:rPr>
          <w:rFonts w:ascii="EB Garamond 12" w:eastAsia="Adobe Myungjo Std M" w:hAnsi="EB Garamond 12" w:cs="Adobe Hebrew"/>
        </w:rPr>
        <w:t xml:space="preserve"> asupan (gizi) inti sari agama yang dapat dijalankan dengan baik—satu sama lain sinergis. </w:t>
      </w:r>
    </w:p>
    <w:p w:rsidR="002E5E80" w:rsidRPr="002E5E80" w:rsidRDefault="002E5E80" w:rsidP="002E5E80">
      <w:pPr>
        <w:ind w:firstLine="567"/>
        <w:jc w:val="both"/>
        <w:rPr>
          <w:rFonts w:ascii="EB Garamond 12" w:eastAsia="Adobe Myungjo Std M" w:hAnsi="EB Garamond 12" w:cs="Adobe Hebrew"/>
        </w:rPr>
      </w:pPr>
      <w:r w:rsidRPr="002E5E80">
        <w:rPr>
          <w:rFonts w:ascii="EB Garamond 12" w:eastAsia="Adobe Myungjo Std M" w:hAnsi="EB Garamond 12" w:cs="Adobe Hebrew"/>
        </w:rPr>
        <w:t xml:space="preserve">Sudah barang tentu, keberhasilan yang muncul di tengah kehidupan masyarakat sekitar Desa Cangkringan dilihat dari aspek </w:t>
      </w:r>
      <w:r w:rsidRPr="002E5E80">
        <w:rPr>
          <w:rFonts w:ascii="EB Garamond 12" w:hAnsi="EB Garamond 12"/>
        </w:rPr>
        <w:t>kematangan</w:t>
      </w:r>
      <w:r w:rsidRPr="002E5E80">
        <w:rPr>
          <w:rFonts w:ascii="EB Garamond 12" w:eastAsia="Adobe Myungjo Std M" w:hAnsi="EB Garamond 12" w:cs="Adobe Hebrew"/>
        </w:rPr>
        <w:t xml:space="preserve"> dalam beragama, peran pondok pesantren ini begitu sentral. Maka dari sekian prestasi yang ditorehkan pondok pesantren ini menjadi penting dikaji terkait dengan peran kiai sebagai pimpinan pondok menjadi ikon penting dalam meningkatkan keberagamaan di masyarakat. Untuk itu, kajian ini fokus pada persoalan bagaimana peran kepemimpinan kiai dalam membumikan keberagamaan di tengah masyarakat yang homogen di lingkungan Pondok Pesantren tersebut. Dengan demikian, tujuan artikel ini semoga menjadi </w:t>
      </w:r>
      <w:r w:rsidRPr="002E5E80">
        <w:rPr>
          <w:rFonts w:ascii="EB Garamond 12" w:eastAsia="Adobe Myungjo Std M" w:hAnsi="EB Garamond 12" w:cs="Adobe Hebrew"/>
          <w:i/>
          <w:iCs/>
        </w:rPr>
        <w:t>role model</w:t>
      </w:r>
      <w:r w:rsidRPr="002E5E80">
        <w:rPr>
          <w:rFonts w:ascii="EB Garamond 12" w:eastAsia="Adobe Myungjo Std M" w:hAnsi="EB Garamond 12" w:cs="Adobe Hebrew"/>
        </w:rPr>
        <w:t xml:space="preserve"> pesantren untuk menciptakan santri-santri yang mampu meningkatkan keberagamaan sehingga dapat bertransformasi ke dalam lingkungan masyarakat. Di mana masyarakat pun meningkatkan secara ritualisasi ibadah (keberagamaan). </w:t>
      </w:r>
    </w:p>
    <w:p w:rsidR="002E5E80" w:rsidRPr="002E5E80" w:rsidRDefault="002E5E80" w:rsidP="002E5E80">
      <w:pPr>
        <w:ind w:firstLine="567"/>
        <w:jc w:val="both"/>
        <w:rPr>
          <w:rFonts w:ascii="EB Garamond 12" w:eastAsia="Adobe Myungjo Std M" w:hAnsi="EB Garamond 12" w:cs="Adobe Hebrew"/>
        </w:rPr>
      </w:pPr>
      <w:r w:rsidRPr="002E5E80">
        <w:rPr>
          <w:rFonts w:ascii="EB Garamond 12" w:eastAsia="Adobe Myungjo Std M" w:hAnsi="EB Garamond 12" w:cs="Adobe Hebrew"/>
        </w:rPr>
        <w:t xml:space="preserve">Jika dilihat </w:t>
      </w:r>
      <w:r w:rsidRPr="002E5E80">
        <w:rPr>
          <w:rFonts w:ascii="EB Garamond 12" w:hAnsi="EB Garamond 12"/>
        </w:rPr>
        <w:t>dari</w:t>
      </w:r>
      <w:r w:rsidRPr="002E5E80">
        <w:rPr>
          <w:rFonts w:ascii="EB Garamond 12" w:eastAsia="Adobe Myungjo Std M" w:hAnsi="EB Garamond 12" w:cs="Adobe Hebrew"/>
        </w:rPr>
        <w:t xml:space="preserve"> tinjauan kepusatakaan, </w:t>
      </w:r>
      <w:r w:rsidRPr="002E5E80">
        <w:rPr>
          <w:rFonts w:ascii="EB Garamond 12" w:hAnsi="EB Garamond 12" w:cs="Adobe Hebrew"/>
          <w:color w:val="000000"/>
        </w:rPr>
        <w:t xml:space="preserve">ada beberapa penelitian terdahulu yang dilakukan tentang kematangan beragama dengan tema dan sudut pandang yang berbeda-beda dari beberapa peneliti. </w:t>
      </w:r>
      <w:r w:rsidRPr="002E5E80">
        <w:rPr>
          <w:rFonts w:ascii="EB Garamond 12" w:hAnsi="EB Garamond 12" w:cs="Adobe Hebrew"/>
          <w:b/>
          <w:bCs/>
          <w:color w:val="000000"/>
        </w:rPr>
        <w:t>Pertama,</w:t>
      </w:r>
      <w:r w:rsidRPr="002E5E80">
        <w:rPr>
          <w:rFonts w:ascii="EB Garamond 12" w:hAnsi="EB Garamond 12" w:cs="Adobe Hebrew"/>
          <w:color w:val="000000"/>
        </w:rPr>
        <w:t xml:space="preserve"> </w:t>
      </w:r>
      <w:r w:rsidRPr="002E5E80">
        <w:rPr>
          <w:rFonts w:ascii="EB Garamond 12" w:hAnsi="EB Garamond 12" w:cs="Adobe Hebrew"/>
        </w:rPr>
        <w:t>karya Hyas Arief Purwanto dengan judul “</w:t>
      </w:r>
      <w:r w:rsidRPr="002E5E80">
        <w:rPr>
          <w:rFonts w:ascii="EB Garamond 12" w:hAnsi="EB Garamond 12" w:cs="Adobe Hebrew"/>
          <w:i/>
          <w:iCs/>
        </w:rPr>
        <w:t>Kepemimpinan Kiai Dalam Membentuk Etos Kerja Santri: Studi Kasus di Badan Usaha Milik Pesantren An-Nawawi Berjan Gebang Purworejo</w:t>
      </w:r>
      <w:r w:rsidRPr="002E5E80">
        <w:rPr>
          <w:rFonts w:ascii="EB Garamond 12" w:hAnsi="EB Garamond 12" w:cs="Adobe Hebrew"/>
        </w:rPr>
        <w:t>”.</w:t>
      </w:r>
      <w:r w:rsidRPr="002E5E80">
        <w:rPr>
          <w:rStyle w:val="FootnoteReference"/>
          <w:rFonts w:ascii="EB Garamond 12" w:hAnsi="EB Garamond 12" w:cs="Adobe Hebrew"/>
        </w:rPr>
        <w:footnoteReference w:id="3"/>
      </w:r>
      <w:r w:rsidRPr="002E5E80">
        <w:rPr>
          <w:rFonts w:ascii="EB Garamond 12" w:hAnsi="EB Garamond 12" w:cs="Adobe Hebrew"/>
        </w:rPr>
        <w:t xml:space="preserve"> Studi ini menjelaskan terkait dengan peran kiai dalam memimpin pondok pesantren untuk membentuk dan mengkonstruk etos kerja santri, di mana dalam menjalankan peran tersebut kiai memiliki strategi jitu untuk meningkatkan pendapatan di usaha yang dijalankan.  </w:t>
      </w:r>
      <w:r w:rsidRPr="002E5E80">
        <w:rPr>
          <w:rFonts w:ascii="EB Garamond 12" w:hAnsi="EB Garamond 12" w:cs="Adobe Hebrew"/>
          <w:i/>
          <w:iCs/>
        </w:rPr>
        <w:t xml:space="preserve"> </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b/>
          <w:bCs/>
        </w:rPr>
        <w:t>Kedua,</w:t>
      </w:r>
      <w:r w:rsidRPr="002E5E80">
        <w:rPr>
          <w:rFonts w:ascii="EB Garamond 12" w:hAnsi="EB Garamond 12" w:cs="Adobe Hebrew"/>
        </w:rPr>
        <w:t xml:space="preserve"> karya </w:t>
      </w:r>
      <w:r w:rsidRPr="002E5E80">
        <w:rPr>
          <w:rFonts w:ascii="EB Garamond 12" w:hAnsi="EB Garamond 12"/>
        </w:rPr>
        <w:t>Fahmi</w:t>
      </w:r>
      <w:r w:rsidRPr="002E5E80">
        <w:rPr>
          <w:rFonts w:ascii="EB Garamond 12" w:hAnsi="EB Garamond 12" w:cs="Adobe Hebrew"/>
        </w:rPr>
        <w:t xml:space="preserve"> Al Fiqri berjudul “</w:t>
      </w:r>
      <w:r w:rsidRPr="002E5E80">
        <w:rPr>
          <w:rFonts w:ascii="EB Garamond 12" w:hAnsi="EB Garamond 12" w:cs="Adobe Hebrew"/>
          <w:i/>
        </w:rPr>
        <w:t xml:space="preserve">Motivasi Dan Kematangan Beragama Mahasiswa Santri Pondok Pesantren Fauzul Muslimin Kotagede Yogyakarta.” </w:t>
      </w:r>
      <w:r w:rsidRPr="002E5E80">
        <w:rPr>
          <w:rFonts w:ascii="EB Garamond 12" w:hAnsi="EB Garamond 12" w:cs="Adobe Hebrew"/>
          <w:iCs/>
        </w:rPr>
        <w:t xml:space="preserve">Dalam penelitian </w:t>
      </w:r>
      <w:r w:rsidRPr="002E5E80">
        <w:rPr>
          <w:rFonts w:ascii="EB Garamond 12" w:hAnsi="EB Garamond 12" w:cs="Adobe Hebrew"/>
        </w:rPr>
        <w:t>ini menjelaskan bahwa secara umum para mahasiswa yang menjadi santri di pondok pesantren tersebut telah mencapai kematangan beragama yang diwujudkan dalam pemahaman agama dan perasaan beragama yang baik.</w:t>
      </w:r>
      <w:r w:rsidRPr="002E5E80">
        <w:rPr>
          <w:rStyle w:val="FootnoteReference"/>
          <w:rFonts w:ascii="EB Garamond 12" w:hAnsi="EB Garamond 12" w:cs="Adobe Hebrew"/>
        </w:rPr>
        <w:footnoteReference w:id="4"/>
      </w:r>
      <w:r w:rsidRPr="002E5E80">
        <w:rPr>
          <w:rFonts w:ascii="EB Garamond 12" w:hAnsi="EB Garamond 12" w:cs="Adobe Hebrew"/>
        </w:rPr>
        <w:t xml:space="preserve"> </w:t>
      </w:r>
    </w:p>
    <w:p w:rsidR="002E5E80" w:rsidRPr="002E5E80" w:rsidRDefault="002E5E80" w:rsidP="002E5E80">
      <w:pPr>
        <w:ind w:firstLine="567"/>
        <w:jc w:val="both"/>
        <w:rPr>
          <w:rFonts w:ascii="EB Garamond 12" w:eastAsia="Adobe Myungjo Std M" w:hAnsi="EB Garamond 12" w:cs="Adobe Hebrew"/>
        </w:rPr>
      </w:pPr>
      <w:r w:rsidRPr="002E5E80">
        <w:rPr>
          <w:rFonts w:ascii="EB Garamond 12" w:hAnsi="EB Garamond 12" w:cs="Adobe Hebrew"/>
          <w:b/>
          <w:bCs/>
        </w:rPr>
        <w:t xml:space="preserve">Ketiga, </w:t>
      </w:r>
      <w:r w:rsidRPr="002E5E80">
        <w:rPr>
          <w:rFonts w:ascii="EB Garamond 12" w:hAnsi="EB Garamond 12" w:cs="Adobe Hebrew"/>
        </w:rPr>
        <w:t xml:space="preserve">karya </w:t>
      </w:r>
      <w:r w:rsidRPr="002E5E80">
        <w:rPr>
          <w:rFonts w:ascii="EB Garamond 12" w:hAnsi="EB Garamond 12"/>
        </w:rPr>
        <w:t>Mamik</w:t>
      </w:r>
      <w:r w:rsidRPr="002E5E80">
        <w:rPr>
          <w:rFonts w:ascii="EB Garamond 12" w:hAnsi="EB Garamond 12" w:cs="Adobe Hebrew"/>
        </w:rPr>
        <w:t xml:space="preserve"> Nurhayati Mahasiswa Fakultas Dakwah IAIN Salatiga yang ditulis pada tahun 2012 berjudul “</w:t>
      </w:r>
      <w:r w:rsidRPr="002E5E80">
        <w:rPr>
          <w:rFonts w:ascii="EB Garamond 12" w:hAnsi="EB Garamond 12" w:cs="Adobe Hebrew"/>
          <w:i/>
        </w:rPr>
        <w:t xml:space="preserve">Pengaruh Kematangan Beragama Terhadap Sikap Sosial Mahasiswa Lembaga Dakwah Sekolah Tinggi Agama Islam Negeri Salatiga 2012.” </w:t>
      </w:r>
      <w:r w:rsidRPr="002E5E80">
        <w:rPr>
          <w:rFonts w:ascii="EB Garamond 12" w:hAnsi="EB Garamond 12" w:cs="Adobe Hebrew"/>
        </w:rPr>
        <w:t>Menuliskan hasil penelitiannya bahwa tingkat kematangan beragama pada mahasiswa lembaga dakwah kampus STAIN salatiga memiliki tingkat kematangan pada prosentase 70% (tujuh puluh persen).</w:t>
      </w:r>
      <w:r w:rsidRPr="002E5E80">
        <w:rPr>
          <w:rStyle w:val="FootnoteReference"/>
          <w:rFonts w:ascii="EB Garamond 12" w:hAnsi="EB Garamond 12" w:cs="Adobe Hebrew"/>
        </w:rPr>
        <w:footnoteReference w:id="5"/>
      </w:r>
      <w:r w:rsidRPr="002E5E80">
        <w:rPr>
          <w:rFonts w:ascii="EB Garamond 12" w:eastAsia="Adobe Myungjo Std M" w:hAnsi="EB Garamond 12" w:cs="Adobe Hebrew"/>
        </w:rPr>
        <w:t xml:space="preserve"> </w:t>
      </w:r>
    </w:p>
    <w:p w:rsidR="002E5E80" w:rsidRPr="002E5E80" w:rsidRDefault="002E5E80" w:rsidP="002E5E80">
      <w:pPr>
        <w:ind w:firstLine="567"/>
        <w:jc w:val="both"/>
        <w:rPr>
          <w:rFonts w:ascii="EB Garamond 12" w:eastAsia="Adobe Myungjo Std M" w:hAnsi="EB Garamond 12" w:cs="Adobe Hebrew"/>
        </w:rPr>
      </w:pPr>
      <w:r w:rsidRPr="002E5E80">
        <w:rPr>
          <w:rFonts w:ascii="EB Garamond 12" w:hAnsi="EB Garamond 12" w:cs="Adobe Hebrew"/>
          <w:b/>
          <w:bCs/>
        </w:rPr>
        <w:t xml:space="preserve">Keempat, </w:t>
      </w:r>
      <w:r w:rsidRPr="002E5E80">
        <w:rPr>
          <w:rFonts w:ascii="EB Garamond 12" w:hAnsi="EB Garamond 12" w:cs="Adobe Hebrew"/>
        </w:rPr>
        <w:t>karya yang dimuat dalam</w:t>
      </w:r>
      <w:r w:rsidRPr="002E5E80">
        <w:rPr>
          <w:rFonts w:ascii="EB Garamond 12" w:hAnsi="EB Garamond 12" w:cs="Adobe Hebrew"/>
          <w:b/>
          <w:bCs/>
        </w:rPr>
        <w:t xml:space="preserve"> </w:t>
      </w:r>
      <w:r w:rsidRPr="002E5E80">
        <w:rPr>
          <w:rFonts w:ascii="EB Garamond 12" w:hAnsi="EB Garamond 12" w:cs="Adobe Hebrew"/>
        </w:rPr>
        <w:t>jurnal dari Wira Hadi Kusuma pada e-jurnal IAIN Bengkulu (Diakses pada 12 oktober 2014) berjudul “</w:t>
      </w:r>
      <w:r w:rsidRPr="002E5E80">
        <w:rPr>
          <w:rFonts w:ascii="EB Garamond 12" w:hAnsi="EB Garamond 12" w:cs="Adobe Hebrew"/>
          <w:i/>
        </w:rPr>
        <w:t xml:space="preserve">Kematangan Beragama Dan Relevansinya Bagi Resolusi Konflik (Analisis Terhadap Keberagamaan Imam Al Ghazali).” </w:t>
      </w:r>
      <w:r w:rsidRPr="002E5E80">
        <w:rPr>
          <w:rFonts w:ascii="EB Garamond 12" w:hAnsi="EB Garamond 12" w:cs="Adobe Hebrew"/>
        </w:rPr>
        <w:t>Menjelaskan kematangan beragama menurut James diantaranya adalah beragama sensibilitas akan eksistensi Tuhan. Kemampuan ini dimiliki oleh orang yang matang keagamaannya, dapat merasakan bahwa eksistensi Tuhan benar-benar menjadi sumber kekutan dirinya, hal ini juga terlihat sekali dari sejarah hidup al-Ghazali terutama setelah ia memutuskan untuk memilih menjadi seorang sufi. Bahkan dalam beberapa detik terakhir hayatnya keluar ungkapan aku ikhlas untuk berjumpa dengan tuhan dan aku taat dan patuh untuk menghadapi pertemuan dengan malaikat maut.</w:t>
      </w:r>
    </w:p>
    <w:p w:rsidR="002E5E80" w:rsidRPr="002E5E80" w:rsidRDefault="002E5E80" w:rsidP="002E5E80">
      <w:pPr>
        <w:ind w:firstLine="567"/>
        <w:jc w:val="both"/>
        <w:rPr>
          <w:rFonts w:ascii="EB Garamond 12" w:eastAsia="Adobe Myungjo Std M" w:hAnsi="EB Garamond 12" w:cs="Adobe Hebrew"/>
        </w:rPr>
      </w:pPr>
      <w:r w:rsidRPr="002E5E80">
        <w:rPr>
          <w:rFonts w:ascii="EB Garamond 12" w:hAnsi="EB Garamond 12" w:cs="Adobe Hebrew"/>
          <w:b/>
          <w:bCs/>
        </w:rPr>
        <w:t xml:space="preserve">Kelima, </w:t>
      </w:r>
      <w:r w:rsidRPr="002E5E80">
        <w:rPr>
          <w:rFonts w:ascii="EB Garamond 12" w:hAnsi="EB Garamond 12" w:cs="Adobe Hebrew"/>
        </w:rPr>
        <w:t xml:space="preserve">karya Andi </w:t>
      </w:r>
      <w:r w:rsidRPr="002E5E80">
        <w:rPr>
          <w:rFonts w:ascii="EB Garamond 12" w:hAnsi="EB Garamond 12"/>
        </w:rPr>
        <w:t>Pratama</w:t>
      </w:r>
      <w:r w:rsidRPr="002E5E80">
        <w:rPr>
          <w:rFonts w:ascii="EB Garamond 12" w:hAnsi="EB Garamond 12" w:cs="Adobe Hebrew"/>
        </w:rPr>
        <w:t xml:space="preserve"> Putra Mahasiswa Fakultas Ilmu Sosial dan Humaniora UIN Sunan Kalijaga yang berjudul “</w:t>
      </w:r>
      <w:r w:rsidRPr="002E5E80">
        <w:rPr>
          <w:rFonts w:ascii="EB Garamond 12" w:hAnsi="EB Garamond 12" w:cs="Adobe Hebrew"/>
          <w:i/>
          <w:iCs/>
        </w:rPr>
        <w:t xml:space="preserve">Hubungan Antara Kematangan Beragama dengan Perilkau Melanggar Syariat pada Siswa SMA di Kabupaten Bener Meriah.” </w:t>
      </w:r>
      <w:r w:rsidRPr="002E5E80">
        <w:rPr>
          <w:rFonts w:ascii="EB Garamond 12" w:hAnsi="EB Garamond 12" w:cs="Adobe Hebrew"/>
        </w:rPr>
        <w:t xml:space="preserve">Dalam skripsi ini menjelaskan tentang hubungan antara </w:t>
      </w:r>
      <w:r w:rsidRPr="002E5E80">
        <w:rPr>
          <w:rFonts w:ascii="EB Garamond 12" w:hAnsi="EB Garamond 12" w:cs="Adobe Hebrew"/>
        </w:rPr>
        <w:lastRenderedPageBreak/>
        <w:t>variable tergantung, yaitu pada siswa dengan variable bebas yaitu kematangan beragama.Subjek penelitian ini adalah dari 100 siswa SMA 1 Bandar Kabupaten Meriah Provinsi Aceh.</w:t>
      </w:r>
    </w:p>
    <w:p w:rsidR="002E5E80" w:rsidRPr="002E5E80" w:rsidRDefault="002E5E80" w:rsidP="002E5E80">
      <w:pPr>
        <w:ind w:firstLine="567"/>
        <w:jc w:val="both"/>
        <w:rPr>
          <w:rFonts w:ascii="EB Garamond 12" w:eastAsia="Adobe Myungjo Std M" w:hAnsi="EB Garamond 12" w:cs="Adobe Hebrew"/>
        </w:rPr>
      </w:pPr>
      <w:r w:rsidRPr="002E5E80">
        <w:rPr>
          <w:rFonts w:ascii="EB Garamond 12" w:hAnsi="EB Garamond 12" w:cs="Adobe Hebrew"/>
        </w:rPr>
        <w:t xml:space="preserve">Hasil penelitian tentang kematangan beragama yang penulis teliti dapat memberikan corak yang berbeda. Pada penelitian sebelumnya yang sama-sama meneliti tentang kematangan beragama menjadikan mahasiswa atau sebagai objek penelitian untuk mengetahui tingkat kematangan beragam. Berbeda dengan yang penelitian yang akan penulis lakukan justru yang dijadikan objeknya adalah tokoh pengajarnya yang menghantrkan pihak yang diajar mencapai kematangan beragama. Dengan begitu, dapat dikatakan bahwa penelitian ini merupakan karya orisinal belum diteliti oleh orang lain.  </w:t>
      </w:r>
    </w:p>
    <w:p w:rsidR="002E5E80" w:rsidRPr="002E5E80" w:rsidRDefault="002E5E80" w:rsidP="002E5E80">
      <w:pPr>
        <w:ind w:firstLine="567"/>
        <w:jc w:val="both"/>
        <w:rPr>
          <w:rFonts w:ascii="EB Garamond 12" w:eastAsia="Adobe Myungjo Std M" w:hAnsi="EB Garamond 12" w:cs="Adobe Hebrew"/>
        </w:rPr>
      </w:pPr>
    </w:p>
    <w:p w:rsidR="002E5E80" w:rsidRPr="002E5E80" w:rsidRDefault="002E5E80" w:rsidP="002E5E80">
      <w:pPr>
        <w:spacing w:before="60"/>
        <w:jc w:val="both"/>
        <w:rPr>
          <w:rFonts w:ascii="EB Garamond 12" w:hAnsi="EB Garamond 12" w:cs="Adobe Hebrew"/>
          <w:b/>
          <w:bCs/>
        </w:rPr>
      </w:pPr>
      <w:r w:rsidRPr="002E5E80">
        <w:rPr>
          <w:rFonts w:ascii="EB Garamond 12" w:hAnsi="EB Garamond 12" w:cs="Adobe Hebrew"/>
          <w:b/>
          <w:bCs/>
        </w:rPr>
        <w:t>Kharisma dan Kepemimpinan Kiai Pesantren</w:t>
      </w:r>
    </w:p>
    <w:p w:rsidR="002E5E80" w:rsidRPr="002E5E80" w:rsidRDefault="002E5E80" w:rsidP="002E5E80">
      <w:pPr>
        <w:spacing w:before="60"/>
        <w:ind w:firstLine="567"/>
        <w:jc w:val="both"/>
        <w:rPr>
          <w:rFonts w:ascii="EB Garamond 12" w:hAnsi="EB Garamond 12" w:cs="Adobe Hebrew"/>
          <w:b/>
          <w:bCs/>
        </w:rPr>
      </w:pPr>
      <w:r w:rsidRPr="002E5E80">
        <w:rPr>
          <w:rFonts w:ascii="EB Garamond 12" w:hAnsi="EB Garamond 12" w:cs="Adobe Hebrew"/>
        </w:rPr>
        <w:t xml:space="preserve">Menurut Weber, ada dua unsur penting yang menandai legitimasi seorang kiai di masyarakat, yaitu ‘karisma’ dan ‘kepemimpinan’. Dua unsur ini merupakan hal yang membedakan dukun (mereka yang memiliki kekuatan gaib) atau kiai (mereka yang memiliki orotitas karismatik karena posisinya sebagai petinggi agama atau organisasi keagamaan). Selanjutnya, kiai adalah orang yang berjasa sebagai pendiri sebuah pondok pesantren, yang juga menjadi sumber kebenaran, serta memiliki otoritas tertinggi dalam tradisi keagamaan. Otoritas kepemimpinan ini tidak tertandingi seorang imam, atau </w:t>
      </w:r>
      <w:r w:rsidRPr="002E5E80">
        <w:rPr>
          <w:rFonts w:ascii="EB Garamond 12" w:hAnsi="EB Garamond 12" w:cs="Adobe Hebrew"/>
          <w:i/>
        </w:rPr>
        <w:t xml:space="preserve">ulama </w:t>
      </w:r>
      <w:r w:rsidRPr="002E5E80">
        <w:rPr>
          <w:rFonts w:ascii="EB Garamond 12" w:hAnsi="EB Garamond 12" w:cs="Adobe Hebrew"/>
        </w:rPr>
        <w:t>dalam kasus Islam, yang berperan dalam menghidupkan warisan para nabi. Pada gilirannya, kiai dapat berfungsi memperbaharui, memulihkan, dan menata ulang susunan dunia terkait dengan ilmu agama.</w:t>
      </w:r>
      <w:r w:rsidRPr="002E5E80">
        <w:rPr>
          <w:rStyle w:val="FootnoteReference"/>
          <w:rFonts w:ascii="EB Garamond 12" w:hAnsi="EB Garamond 12" w:cs="Adobe Hebrew"/>
        </w:rPr>
        <w:footnoteReference w:id="6"/>
      </w:r>
    </w:p>
    <w:p w:rsidR="002E5E80" w:rsidRPr="002E5E80" w:rsidRDefault="002E5E80" w:rsidP="002E5E80">
      <w:pPr>
        <w:ind w:firstLine="567"/>
        <w:jc w:val="both"/>
        <w:rPr>
          <w:rFonts w:ascii="EB Garamond 12" w:hAnsi="EB Garamond 12" w:cs="Adobe Hebrew"/>
          <w:b/>
          <w:bCs/>
        </w:rPr>
      </w:pPr>
      <w:r w:rsidRPr="002E5E80">
        <w:rPr>
          <w:rFonts w:ascii="EB Garamond 12" w:hAnsi="EB Garamond 12" w:cs="Adobe Hebrew"/>
        </w:rPr>
        <w:t xml:space="preserve">Selain itu, kiai memiliki peran lain. </w:t>
      </w:r>
      <w:r w:rsidRPr="002E5E80">
        <w:rPr>
          <w:rFonts w:ascii="EB Garamond 12" w:eastAsia="Adobe Myungjo Std M" w:hAnsi="EB Garamond 12" w:cs="Adobe Hebrew"/>
        </w:rPr>
        <w:t>peran dapat diartikan sebagai perangkat tingkah yang diharapkan dimiliki oleh orang yang berkedudukan dalam masyarakat.</w:t>
      </w:r>
      <w:r w:rsidRPr="002E5E80">
        <w:rPr>
          <w:rStyle w:val="FootnoteReference"/>
          <w:rFonts w:ascii="EB Garamond 12" w:eastAsia="Adobe Myungjo Std M" w:hAnsi="EB Garamond 12" w:cs="Adobe Hebrew"/>
        </w:rPr>
        <w:footnoteReference w:id="7"/>
      </w:r>
      <w:r w:rsidRPr="002E5E80">
        <w:rPr>
          <w:rFonts w:ascii="EB Garamond 12" w:eastAsia="Adobe Myungjo Std M" w:hAnsi="EB Garamond 12" w:cs="Adobe Hebrew"/>
        </w:rPr>
        <w:t xml:space="preserve"> Sementara, kepemimpinan adalah keputusan dan lebih merupakan hasil dari proses transformasi karakter internal dalam diri seseorang. Kepemimpinan bukanlah jabatan atau gelar, melainkan sebuah kelahiran dari proses panjang perubahan dalam diri seseorang. Maka dari itu kepemimpinan mempunyai nilai-nilai diri yang terkandung di dalamnya. Nilai tersebut dalam diri seorang pemimpin yakni sebagai seorang pemberi semangat (</w:t>
      </w:r>
      <w:r w:rsidRPr="002E5E80">
        <w:rPr>
          <w:rFonts w:ascii="EB Garamond 12" w:eastAsia="Adobe Myungjo Std M" w:hAnsi="EB Garamond 12" w:cs="Adobe Hebrew"/>
          <w:i/>
          <w:iCs/>
        </w:rPr>
        <w:t>encourager</w:t>
      </w:r>
      <w:r w:rsidRPr="002E5E80">
        <w:rPr>
          <w:rFonts w:ascii="EB Garamond 12" w:eastAsia="Adobe Myungjo Std M" w:hAnsi="EB Garamond 12" w:cs="Adobe Hebrew"/>
        </w:rPr>
        <w:t xml:space="preserve">), motivator, inspirator, dan </w:t>
      </w:r>
      <w:r w:rsidRPr="002E5E80">
        <w:rPr>
          <w:rFonts w:ascii="EB Garamond 12" w:eastAsia="Adobe Myungjo Std M" w:hAnsi="EB Garamond 12" w:cs="Adobe Hebrew"/>
          <w:i/>
          <w:iCs/>
        </w:rPr>
        <w:t>maximizer</w:t>
      </w:r>
      <w:r w:rsidRPr="002E5E80">
        <w:rPr>
          <w:rFonts w:ascii="EB Garamond 12" w:eastAsia="Adobe Myungjo Std M" w:hAnsi="EB Garamond 12" w:cs="Adobe Hebrew"/>
        </w:rPr>
        <w:t>.</w:t>
      </w:r>
      <w:r w:rsidRPr="002E5E80">
        <w:rPr>
          <w:rStyle w:val="FootnoteReference"/>
          <w:rFonts w:ascii="EB Garamond 12" w:eastAsia="Adobe Myungjo Std M" w:hAnsi="EB Garamond 12" w:cs="Adobe Hebrew"/>
        </w:rPr>
        <w:footnoteReference w:id="8"/>
      </w:r>
    </w:p>
    <w:p w:rsidR="002E5E80" w:rsidRPr="002E5E80" w:rsidRDefault="002E5E80" w:rsidP="002E5E80">
      <w:pPr>
        <w:ind w:firstLine="567"/>
        <w:jc w:val="both"/>
        <w:rPr>
          <w:rFonts w:ascii="EB Garamond 12" w:hAnsi="EB Garamond 12" w:cs="Adobe Hebrew"/>
          <w:b/>
          <w:bCs/>
        </w:rPr>
      </w:pPr>
      <w:r w:rsidRPr="002E5E80">
        <w:rPr>
          <w:rFonts w:ascii="EB Garamond 12" w:hAnsi="EB Garamond 12"/>
        </w:rPr>
        <w:t>M</w:t>
      </w:r>
      <w:r w:rsidRPr="002E5E80">
        <w:rPr>
          <w:rFonts w:ascii="EB Garamond 12" w:eastAsia="Adobe Myungjo Std M" w:hAnsi="EB Garamond 12"/>
        </w:rPr>
        <w:t>aka</w:t>
      </w:r>
      <w:r w:rsidRPr="002E5E80">
        <w:rPr>
          <w:rFonts w:ascii="EB Garamond 12" w:eastAsia="Adobe Myungjo Std M" w:hAnsi="EB Garamond 12" w:cs="Adobe Hebrew"/>
        </w:rPr>
        <w:t xml:space="preserve"> peran kepemimpinan adalah karakter yang dimiliki oleh pribadi individu seseorang. Baik yang bersifat pemberi semangat, motivator, inspirator, dan </w:t>
      </w:r>
      <w:r w:rsidRPr="002E5E80">
        <w:rPr>
          <w:rFonts w:ascii="EB Garamond 12" w:eastAsia="Adobe Myungjo Std M" w:hAnsi="EB Garamond 12" w:cs="Adobe Hebrew"/>
          <w:i/>
          <w:iCs/>
        </w:rPr>
        <w:t>maximizer</w:t>
      </w:r>
      <w:r w:rsidRPr="002E5E80">
        <w:rPr>
          <w:rFonts w:ascii="EB Garamond 12" w:eastAsia="Adobe Myungjo Std M" w:hAnsi="EB Garamond 12" w:cs="Adobe Hebrew"/>
        </w:rPr>
        <w:t>. Maka dari itu, dalam hal ini kepemimpinan memiliki peran sangat sentral dalam semua disiplin kerjaan, karena hal tersebut sangat berkaitan erat dengan pengorganisasian baik perusahaan maupun instansi pondok pesantren.</w:t>
      </w:r>
    </w:p>
    <w:p w:rsidR="002E5E80" w:rsidRPr="002E5E80" w:rsidRDefault="002E5E80" w:rsidP="002E5E80">
      <w:pPr>
        <w:ind w:firstLine="567"/>
        <w:jc w:val="both"/>
        <w:rPr>
          <w:rFonts w:ascii="EB Garamond 12" w:hAnsi="EB Garamond 12" w:cs="Adobe Hebrew"/>
          <w:b/>
          <w:bCs/>
        </w:rPr>
      </w:pPr>
      <w:r w:rsidRPr="002E5E80">
        <w:rPr>
          <w:rFonts w:ascii="EB Garamond 12" w:eastAsia="Adobe Myungjo Std M" w:hAnsi="EB Garamond 12" w:cs="Adobe Hebrew"/>
        </w:rPr>
        <w:t xml:space="preserve">Pondok pesantren adalah suatu lembaga pendidikan agama Islam yang tumbuh serta diakui masyarakat </w:t>
      </w:r>
      <w:r w:rsidRPr="002E5E80">
        <w:rPr>
          <w:rFonts w:ascii="EB Garamond 12" w:hAnsi="EB Garamond 12"/>
        </w:rPr>
        <w:t>sekitar</w:t>
      </w:r>
      <w:r w:rsidRPr="002E5E80">
        <w:rPr>
          <w:rFonts w:ascii="EB Garamond 12" w:eastAsia="Adobe Myungjo Std M" w:hAnsi="EB Garamond 12" w:cs="Adobe Hebrew"/>
        </w:rPr>
        <w:t xml:space="preserve">, dengan sistem asrama (komplek) dimana santri-santri menerima pendidikan agama melalui sistem pengajian atau madrasah yang sepenuhnya berada di bawah kedaulatan </w:t>
      </w:r>
      <w:r w:rsidRPr="002E5E80">
        <w:rPr>
          <w:rFonts w:ascii="EB Garamond 12" w:eastAsia="Adobe Myungjo Std M" w:hAnsi="EB Garamond 12" w:cs="Adobe Hebrew"/>
          <w:i/>
        </w:rPr>
        <w:t>leadership</w:t>
      </w:r>
      <w:r w:rsidRPr="002E5E80">
        <w:rPr>
          <w:rFonts w:ascii="EB Garamond 12" w:eastAsia="Adobe Myungjo Std M" w:hAnsi="EB Garamond 12" w:cs="Adobe Hebrew"/>
        </w:rPr>
        <w:t xml:space="preserve"> seorang atau beberapa orang kiai dengan ciri-ciri khas yang bersifat karismatik serta independen dalam segala hal.</w:t>
      </w:r>
      <w:r w:rsidRPr="002E5E80">
        <w:rPr>
          <w:rStyle w:val="FootnoteReference"/>
          <w:rFonts w:ascii="EB Garamond 12" w:eastAsia="Adobe Myungjo Std M" w:hAnsi="EB Garamond 12" w:cs="Adobe Hebrew"/>
        </w:rPr>
        <w:footnoteReference w:id="9"/>
      </w:r>
      <w:r w:rsidRPr="002E5E80">
        <w:rPr>
          <w:rFonts w:ascii="EB Garamond 12" w:hAnsi="EB Garamond 12" w:cs="Adobe Hebrew"/>
          <w:b/>
          <w:bCs/>
        </w:rPr>
        <w:t xml:space="preserve"> </w:t>
      </w:r>
      <w:r w:rsidRPr="002E5E80">
        <w:rPr>
          <w:rFonts w:ascii="EB Garamond 12" w:eastAsia="Adobe Myungjo Std M" w:hAnsi="EB Garamond 12" w:cs="Adobe Hebrew"/>
        </w:rPr>
        <w:t xml:space="preserve">Dengan demikian, pondok pesantren adalah suatu lembaga pendidikan Islam yang terdiri dari komplek yang di dalamnya terdapat seorang kiai (pendidik), yang mengajar dan mendidik para santri (anak didik) dengan sarana-sarana seperti masjid yang digunakan untuk menyelenggarakan pendidikan tersebut, serta didukung dengan adanya asrama atau pondok sebagai tempat tinggal para santri. </w:t>
      </w:r>
    </w:p>
    <w:p w:rsidR="002E5E80" w:rsidRPr="002E5E80" w:rsidRDefault="002E5E80" w:rsidP="002E5E80">
      <w:pPr>
        <w:ind w:firstLine="567"/>
        <w:jc w:val="both"/>
        <w:rPr>
          <w:rFonts w:ascii="EB Garamond 12" w:hAnsi="EB Garamond 12" w:cs="Adobe Hebrew"/>
          <w:b/>
          <w:bCs/>
        </w:rPr>
      </w:pPr>
      <w:r w:rsidRPr="002E5E80">
        <w:rPr>
          <w:rFonts w:ascii="EB Garamond 12" w:eastAsia="Adobe Myungjo Std M" w:hAnsi="EB Garamond 12" w:cs="Adobe Hebrew"/>
        </w:rPr>
        <w:t xml:space="preserve">Keberagamaan merupakan tingkat keimanan seseorang yang terbentuk melalui proses </w:t>
      </w:r>
      <w:r w:rsidRPr="002E5E80">
        <w:rPr>
          <w:rFonts w:ascii="EB Garamond 12" w:hAnsi="EB Garamond 12"/>
        </w:rPr>
        <w:t>perkembangan</w:t>
      </w:r>
      <w:r w:rsidRPr="002E5E80">
        <w:rPr>
          <w:rFonts w:ascii="EB Garamond 12" w:eastAsia="Adobe Myungjo Std M" w:hAnsi="EB Garamond 12" w:cs="Adobe Hebrew"/>
        </w:rPr>
        <w:t xml:space="preserve"> hidup yang berakumulasi dengan pengalaman. Akumulasi pengalaman hidup tersebut terefleksikan dalam pandangan hidup, sikap dan perilaku sehari-harinya. Seseorang akhirnya disebut matang (</w:t>
      </w:r>
      <w:r w:rsidRPr="002E5E80">
        <w:rPr>
          <w:rFonts w:ascii="EB Garamond 12" w:eastAsia="Adobe Myungjo Std M" w:hAnsi="EB Garamond 12" w:cs="Adobe Hebrew"/>
          <w:i/>
          <w:iCs/>
        </w:rPr>
        <w:t>mature</w:t>
      </w:r>
      <w:r w:rsidRPr="002E5E80">
        <w:rPr>
          <w:rFonts w:ascii="EB Garamond 12" w:eastAsia="Adobe Myungjo Std M" w:hAnsi="EB Garamond 12" w:cs="Adobe Hebrew"/>
        </w:rPr>
        <w:t xml:space="preserve">) dalam beragama apabila mampu melalui perjalanan usianya dengan menghasilkan </w:t>
      </w:r>
      <w:r w:rsidRPr="002E5E80">
        <w:rPr>
          <w:rFonts w:ascii="EB Garamond 12" w:eastAsia="Adobe Myungjo Std M" w:hAnsi="EB Garamond 12" w:cs="Adobe Hebrew"/>
        </w:rPr>
        <w:lastRenderedPageBreak/>
        <w:t>pengalaman-pengalaman yang menjadikannya mengalami perkembangan hidup yang meningkat dan positif. Sebaliknya orang yang tidak dapat mengakumulasikan berbagai pengalaman hidup sebagai pelajaran dan mengalami hambatan perkembangan hidup disebut orang yang tidak matang dalam beragama.</w:t>
      </w:r>
      <w:r w:rsidRPr="002E5E80">
        <w:rPr>
          <w:rStyle w:val="FootnoteReference"/>
          <w:rFonts w:ascii="EB Garamond 12" w:eastAsia="Adobe Myungjo Std M" w:hAnsi="EB Garamond 12" w:cs="Adobe Hebrew"/>
        </w:rPr>
        <w:footnoteReference w:id="10"/>
      </w:r>
    </w:p>
    <w:p w:rsidR="002E5E80" w:rsidRPr="002E5E80" w:rsidRDefault="002E5E80" w:rsidP="002E5E80">
      <w:pPr>
        <w:ind w:firstLine="567"/>
        <w:jc w:val="both"/>
        <w:rPr>
          <w:rFonts w:ascii="EB Garamond 12" w:hAnsi="EB Garamond 12" w:cs="Adobe Hebrew"/>
          <w:b/>
          <w:bCs/>
        </w:rPr>
      </w:pPr>
      <w:r w:rsidRPr="002E5E80">
        <w:rPr>
          <w:rFonts w:ascii="EB Garamond 12" w:eastAsia="Adobe Myungjo Std M" w:hAnsi="EB Garamond 12" w:cs="Adobe Hebrew"/>
        </w:rPr>
        <w:t xml:space="preserve">Dari </w:t>
      </w:r>
      <w:r w:rsidRPr="002E5E80">
        <w:rPr>
          <w:rFonts w:ascii="EB Garamond 12" w:hAnsi="EB Garamond 12"/>
        </w:rPr>
        <w:t>pengertian</w:t>
      </w:r>
      <w:r w:rsidRPr="002E5E80">
        <w:rPr>
          <w:rFonts w:ascii="EB Garamond 12" w:eastAsia="Adobe Myungjo Std M" w:hAnsi="EB Garamond 12" w:cs="Adobe Hebrew"/>
        </w:rPr>
        <w:t xml:space="preserve"> tersebut, keberagamaan dapat diartikan sebagai makna yang tersirat dalam hidup seseorang, bagaimana ia mampu </w:t>
      </w:r>
      <w:r w:rsidRPr="002E5E80">
        <w:rPr>
          <w:rFonts w:ascii="EB Garamond 12" w:hAnsi="EB Garamond 12"/>
        </w:rPr>
        <w:t>menjalankan</w:t>
      </w:r>
      <w:r w:rsidRPr="002E5E80">
        <w:rPr>
          <w:rFonts w:ascii="EB Garamond 12" w:eastAsia="Adobe Myungjo Std M" w:hAnsi="EB Garamond 12" w:cs="Adobe Hebrew"/>
        </w:rPr>
        <w:t xml:space="preserve"> ritualisasi ibadah kemanusiaan sebagai makhluk Tuhan, yang termanifestasi ke dalam kehidupan sehari-hari. Pengalaman dan pelajaran hidup individu dapat dijalankan dengan baik ketika keimanan semakin meningkatkan. Dengan begitu, tingkat keberagamaan pada saat hidup bermasyarakat akan semakin baik. </w:t>
      </w:r>
    </w:p>
    <w:p w:rsidR="002E5E80" w:rsidRPr="002E5E80" w:rsidRDefault="002E5E80" w:rsidP="002E5E80">
      <w:pPr>
        <w:ind w:firstLine="567"/>
        <w:jc w:val="both"/>
        <w:rPr>
          <w:rFonts w:ascii="EB Garamond 12" w:hAnsi="EB Garamond 12" w:cs="Adobe Hebrew"/>
          <w:b/>
          <w:bCs/>
        </w:rPr>
      </w:pPr>
      <w:r w:rsidRPr="002E5E80">
        <w:rPr>
          <w:rFonts w:ascii="EB Garamond 12" w:eastAsia="Adobe Myungjo Std M" w:hAnsi="EB Garamond 12" w:cs="Adobe Hebrew"/>
        </w:rPr>
        <w:t xml:space="preserve">Berdasarkan pengertian istilah di atas, maka dapat disimpulkan bahwa “karisma kiai pesantren”, mengandung istilah untuk </w:t>
      </w:r>
      <w:r w:rsidRPr="002E5E80">
        <w:rPr>
          <w:rFonts w:ascii="EB Garamond 12" w:hAnsi="EB Garamond 12"/>
        </w:rPr>
        <w:t>menjelaskan</w:t>
      </w:r>
      <w:r w:rsidRPr="002E5E80">
        <w:rPr>
          <w:rFonts w:ascii="EB Garamond 12" w:eastAsia="Adobe Myungjo Std M" w:hAnsi="EB Garamond 12" w:cs="Adobe Hebrew"/>
        </w:rPr>
        <w:t xml:space="preserve"> secara spesifik dalam skirpsi ini, yaitu peran seorang kiai dalam memimpin Pondok Pesantren mampu mempengaruhi kehidupan masyarakat dan santri yang bermukim hingga meningkatkan keimanan mereka dengan semakin dekat kepada Allah SWT.  </w:t>
      </w:r>
    </w:p>
    <w:p w:rsidR="002E5E80" w:rsidRPr="002E5E80" w:rsidRDefault="002E5E80" w:rsidP="002E5E80">
      <w:pPr>
        <w:ind w:firstLine="567"/>
        <w:jc w:val="both"/>
        <w:rPr>
          <w:rFonts w:ascii="EB Garamond 12" w:hAnsi="EB Garamond 12" w:cs="Adobe Hebrew"/>
          <w:b/>
          <w:bCs/>
        </w:rPr>
      </w:pPr>
      <w:r w:rsidRPr="002E5E80">
        <w:rPr>
          <w:rFonts w:ascii="EB Garamond 12" w:hAnsi="EB Garamond 12" w:cs="Adobe Hebrew"/>
        </w:rPr>
        <w:t>Sementara itu,</w:t>
      </w:r>
      <w:r w:rsidRPr="002E5E80">
        <w:rPr>
          <w:rFonts w:ascii="EB Garamond 12" w:hAnsi="EB Garamond 12" w:cs="Adobe Hebrew"/>
          <w:b/>
          <w:bCs/>
        </w:rPr>
        <w:t xml:space="preserve"> </w:t>
      </w:r>
      <w:r w:rsidRPr="002E5E80">
        <w:rPr>
          <w:rFonts w:ascii="EB Garamond 12" w:hAnsi="EB Garamond 12"/>
        </w:rPr>
        <w:t>kepemimpinan</w:t>
      </w:r>
      <w:r w:rsidRPr="002E5E80">
        <w:rPr>
          <w:rFonts w:ascii="EB Garamond 12" w:eastAsia="MingLiU_HKSCS" w:hAnsi="EB Garamond 12" w:cs="Adobe Hebrew"/>
        </w:rPr>
        <w:t xml:space="preserve"> dapat diartikan sebagai cara mempengaruhi orang lain, hal ini dapat dilihat sebagaimana ungkapan Jaques Jacobs, sebagaimana berikut ini: </w:t>
      </w:r>
    </w:p>
    <w:p w:rsidR="002E5E80" w:rsidRPr="002E5E80" w:rsidRDefault="002E5E80" w:rsidP="002E5E80">
      <w:pPr>
        <w:spacing w:before="100" w:after="100"/>
        <w:ind w:left="425" w:right="425"/>
        <w:jc w:val="both"/>
        <w:rPr>
          <w:rFonts w:ascii="EB Garamond 12" w:eastAsia="MingLiU_HKSCS" w:hAnsi="EB Garamond 12" w:cs="Adobe Hebrew"/>
        </w:rPr>
      </w:pPr>
      <w:r w:rsidRPr="002E5E80">
        <w:rPr>
          <w:rFonts w:ascii="EB Garamond 12" w:eastAsia="MingLiU_HKSCS" w:hAnsi="EB Garamond 12" w:cs="Adobe Hebrew"/>
        </w:rPr>
        <w:t xml:space="preserve"> “</w:t>
      </w:r>
      <w:r w:rsidRPr="002E5E80">
        <w:rPr>
          <w:rFonts w:ascii="EB Garamond 12" w:hAnsi="EB Garamond 12" w:cs="Adobe Hebrew"/>
        </w:rPr>
        <w:t>Leadership</w:t>
      </w:r>
      <w:r w:rsidRPr="002E5E80">
        <w:rPr>
          <w:rFonts w:ascii="EB Garamond 12" w:eastAsia="MingLiU_HKSCS" w:hAnsi="EB Garamond 12" w:cs="Adobe Hebrew"/>
        </w:rPr>
        <w:t xml:space="preserve"> is a process of giving purpose (meaningful direction) to collective effort, and causing willing effort to be expended to achieve purpose.”</w:t>
      </w:r>
      <w:r w:rsidRPr="002E5E80">
        <w:rPr>
          <w:rStyle w:val="FootnoteReference"/>
          <w:rFonts w:ascii="EB Garamond 12" w:eastAsia="MingLiU_HKSCS" w:hAnsi="EB Garamond 12" w:cs="Adobe Hebrew"/>
        </w:rPr>
        <w:footnoteReference w:id="11"/>
      </w:r>
    </w:p>
    <w:p w:rsidR="002E5E80" w:rsidRPr="002E5E80" w:rsidRDefault="002E5E80" w:rsidP="002E5E80">
      <w:pPr>
        <w:ind w:firstLine="567"/>
        <w:jc w:val="both"/>
        <w:rPr>
          <w:rFonts w:ascii="EB Garamond 12" w:eastAsia="MingLiU_HKSCS" w:hAnsi="EB Garamond 12" w:cs="Adobe Hebrew"/>
        </w:rPr>
      </w:pPr>
      <w:r w:rsidRPr="002E5E80">
        <w:rPr>
          <w:rFonts w:ascii="EB Garamond 12" w:eastAsia="MingLiU_HKSCS" w:hAnsi="EB Garamond 12" w:cs="Adobe Hebrew"/>
        </w:rPr>
        <w:t>Dapat diarikan bahwa kepemimpinan adalah sebuah proses memberi arti (pengarahan yang berarti) terhadap usaha kolektif dan mengakibatkan kesedian untuk melakukan usaha yang diinginkan untuk mencapai sasaran. Kepemimpinan secara istilah umum mungkin dapat dirumuskan sebagai kegiatan untuk mempengaruhi perilaku orang lain agar bekerja sama menuju kepada tujuan tertentu yang mereka inginkan. Artinya kepemimpinan adalah perilaku dari seorang individu yang memimpin aktivitas-aktivitas suatu kelompok ke suatu tujuan yang ingin dicapai bersama.</w:t>
      </w:r>
      <w:r w:rsidRPr="002E5E80">
        <w:rPr>
          <w:rStyle w:val="FootnoteReference"/>
          <w:rFonts w:ascii="EB Garamond 12" w:eastAsia="MingLiU_HKSCS" w:hAnsi="EB Garamond 12" w:cs="Adobe Hebrew"/>
        </w:rPr>
        <w:footnoteReference w:id="12"/>
      </w:r>
    </w:p>
    <w:p w:rsidR="002E5E80" w:rsidRPr="002E5E80" w:rsidRDefault="002E5E80" w:rsidP="002E5E80">
      <w:pPr>
        <w:ind w:firstLine="567"/>
        <w:jc w:val="both"/>
        <w:rPr>
          <w:rFonts w:ascii="EB Garamond 12" w:eastAsia="MingLiU_HKSCS" w:hAnsi="EB Garamond 12" w:cs="Adobe Hebrew"/>
        </w:rPr>
      </w:pPr>
      <w:r w:rsidRPr="002E5E80">
        <w:rPr>
          <w:rFonts w:ascii="EB Garamond 12" w:eastAsia="MingLiU_HKSCS" w:hAnsi="EB Garamond 12" w:cs="Adobe Hebrew"/>
        </w:rPr>
        <w:t xml:space="preserve">Dari beberapa definisi tersebut di atas, kepemimpinan identik dengan seorang pemimpin, dimana pemimpin </w:t>
      </w:r>
      <w:r w:rsidRPr="002E5E80">
        <w:rPr>
          <w:rFonts w:ascii="EB Garamond 12" w:hAnsi="EB Garamond 12"/>
        </w:rPr>
        <w:t>mempunyai</w:t>
      </w:r>
      <w:r w:rsidRPr="002E5E80">
        <w:rPr>
          <w:rFonts w:ascii="EB Garamond 12" w:eastAsia="MingLiU_HKSCS" w:hAnsi="EB Garamond 12" w:cs="Adobe Hebrew"/>
        </w:rPr>
        <w:t xml:space="preserve"> tugas atau tanggungjawab dalam menjalankan misi organisasi tidaklah mudah, karena untuk menjalankan misi organisasi tersebut pemimpin harus memiliki persyaratan untuk menjadi seorang pemimpin yang bertanggung jawab terhadap segala tugas yang diembannya untuk memenuhi tujuan dari organisasi yang dipimpinnya. Maka kepemimpinan dapat diartikan lebih spesifik adalah proses dimana seseorang memimpin (</w:t>
      </w:r>
      <w:r w:rsidRPr="002E5E80">
        <w:rPr>
          <w:rFonts w:ascii="EB Garamond 12" w:eastAsia="MingLiU_HKSCS" w:hAnsi="EB Garamond 12" w:cs="Adobe Hebrew"/>
          <w:i/>
          <w:iCs/>
        </w:rPr>
        <w:t>directs</w:t>
      </w:r>
      <w:r w:rsidRPr="002E5E80">
        <w:rPr>
          <w:rFonts w:ascii="EB Garamond 12" w:eastAsia="MingLiU_HKSCS" w:hAnsi="EB Garamond 12" w:cs="Adobe Hebrew"/>
        </w:rPr>
        <w:t>), membimbing (</w:t>
      </w:r>
      <w:r w:rsidRPr="002E5E80">
        <w:rPr>
          <w:rFonts w:ascii="EB Garamond 12" w:eastAsia="MingLiU_HKSCS" w:hAnsi="EB Garamond 12" w:cs="Adobe Hebrew"/>
          <w:i/>
          <w:iCs/>
        </w:rPr>
        <w:t>guides</w:t>
      </w:r>
      <w:r w:rsidRPr="002E5E80">
        <w:rPr>
          <w:rFonts w:ascii="EB Garamond 12" w:eastAsia="MingLiU_HKSCS" w:hAnsi="EB Garamond 12" w:cs="Adobe Hebrew"/>
        </w:rPr>
        <w:t>), mempengaruhi (</w:t>
      </w:r>
      <w:r w:rsidRPr="002E5E80">
        <w:rPr>
          <w:rFonts w:ascii="EB Garamond 12" w:eastAsia="MingLiU_HKSCS" w:hAnsi="EB Garamond 12" w:cs="Adobe Hebrew"/>
          <w:i/>
          <w:iCs/>
        </w:rPr>
        <w:t>influence</w:t>
      </w:r>
      <w:r w:rsidRPr="002E5E80">
        <w:rPr>
          <w:rFonts w:ascii="EB Garamond 12" w:eastAsia="MingLiU_HKSCS" w:hAnsi="EB Garamond 12" w:cs="Adobe Hebrew"/>
        </w:rPr>
        <w:t>), atau mengontrol (</w:t>
      </w:r>
      <w:r w:rsidRPr="002E5E80">
        <w:rPr>
          <w:rFonts w:ascii="EB Garamond 12" w:eastAsia="MingLiU_HKSCS" w:hAnsi="EB Garamond 12" w:cs="Adobe Hebrew"/>
          <w:i/>
          <w:iCs/>
        </w:rPr>
        <w:t>controls</w:t>
      </w:r>
      <w:r w:rsidRPr="002E5E80">
        <w:rPr>
          <w:rFonts w:ascii="EB Garamond 12" w:eastAsia="MingLiU_HKSCS" w:hAnsi="EB Garamond 12" w:cs="Adobe Hebrew"/>
        </w:rPr>
        <w:t>) pikiran, perasaan dan tingkah laku.</w:t>
      </w:r>
      <w:r w:rsidRPr="002E5E80">
        <w:rPr>
          <w:rStyle w:val="FootnoteReference"/>
          <w:rFonts w:ascii="EB Garamond 12" w:eastAsia="MingLiU_HKSCS" w:hAnsi="EB Garamond 12" w:cs="Adobe Hebrew"/>
        </w:rPr>
        <w:footnoteReference w:id="13"/>
      </w:r>
      <w:r w:rsidRPr="002E5E80">
        <w:rPr>
          <w:rFonts w:ascii="EB Garamond 12" w:eastAsia="MingLiU_HKSCS" w:hAnsi="EB Garamond 12" w:cs="Adobe Hebrew"/>
        </w:rPr>
        <w:t xml:space="preserve"> Untuk itulah, seorang pemimpin harus mempunyai karakteristik yang amanah atau terpercaya, dan bisa mengayoma seluruh masyarakat atau yang dipimpinnya. Tidak hanya duduk disinggah sana manus empuk dikursi yang megah. Oleh karena itu, dalam pengertian di atas kepemimpinan dalam landasan ini diartikan sebagai dasar-dasar pengertian dari kepemimpinan itu sendiri. </w:t>
      </w:r>
    </w:p>
    <w:p w:rsidR="002E5E80" w:rsidRPr="002E5E80" w:rsidRDefault="002E5E80" w:rsidP="002E5E80">
      <w:pPr>
        <w:ind w:firstLine="567"/>
        <w:jc w:val="both"/>
        <w:rPr>
          <w:rFonts w:ascii="EB Garamond 12" w:hAnsi="EB Garamond 12"/>
        </w:rPr>
      </w:pPr>
    </w:p>
    <w:p w:rsidR="002E5E80" w:rsidRPr="002E5E80" w:rsidRDefault="002E5E80" w:rsidP="002E5E80">
      <w:pPr>
        <w:pStyle w:val="ListParagraph"/>
        <w:numPr>
          <w:ilvl w:val="0"/>
          <w:numId w:val="1"/>
        </w:numPr>
        <w:ind w:left="284" w:hanging="284"/>
        <w:contextualSpacing w:val="0"/>
        <w:jc w:val="both"/>
        <w:rPr>
          <w:rFonts w:ascii="EB Garamond 12" w:eastAsia="Adobe Myungjo Std M" w:hAnsi="EB Garamond 12" w:cs="Adobe Hebrew"/>
          <w:b/>
        </w:rPr>
      </w:pPr>
      <w:r w:rsidRPr="002E5E80">
        <w:rPr>
          <w:rFonts w:ascii="EB Garamond 12" w:eastAsia="Adobe Myungjo Std M" w:hAnsi="EB Garamond 12" w:cs="Adobe Hebrew"/>
          <w:b/>
        </w:rPr>
        <w:t xml:space="preserve">Metode </w:t>
      </w:r>
      <w:r w:rsidRPr="002E5E80">
        <w:rPr>
          <w:rFonts w:ascii="EB Garamond 12" w:hAnsi="EB Garamond 12"/>
          <w:b/>
          <w:bCs/>
          <w:lang w:val="en-US"/>
        </w:rPr>
        <w:t>Penelitian</w:t>
      </w:r>
    </w:p>
    <w:p w:rsidR="002E5E80" w:rsidRPr="002E5E80" w:rsidRDefault="002E5E80" w:rsidP="002E5E80">
      <w:pPr>
        <w:spacing w:before="60"/>
        <w:ind w:firstLine="567"/>
        <w:jc w:val="both"/>
        <w:rPr>
          <w:rFonts w:ascii="EB Garamond 12" w:eastAsia="Adobe Myungjo Std M" w:hAnsi="EB Garamond 12" w:cs="Adobe Hebrew"/>
        </w:rPr>
      </w:pPr>
      <w:r w:rsidRPr="002E5E80">
        <w:rPr>
          <w:rFonts w:ascii="EB Garamond 12" w:eastAsia="Adobe Myungjo Std M" w:hAnsi="EB Garamond 12" w:cs="Adobe Hebrew"/>
        </w:rPr>
        <w:t xml:space="preserve">Penelitian ini </w:t>
      </w:r>
      <w:r w:rsidRPr="002E5E80">
        <w:rPr>
          <w:rFonts w:ascii="EB Garamond 12" w:hAnsi="EB Garamond 12"/>
        </w:rPr>
        <w:t>menggunakan</w:t>
      </w:r>
      <w:r w:rsidRPr="002E5E80">
        <w:rPr>
          <w:rFonts w:ascii="EB Garamond 12" w:eastAsia="Adobe Myungjo Std M" w:hAnsi="EB Garamond 12" w:cs="Adobe Hebrew"/>
        </w:rPr>
        <w:t xml:space="preserve"> pendekatan kualitatif. Metode kualitatif merupakan penelitian yang dimiliki sasaran penelitian yang terbatas tetapi dengan keterbatasannya itu dapat digali sebanyak mungkin data mengenai sasaran penelitian.</w:t>
      </w:r>
      <w:r w:rsidRPr="002E5E80">
        <w:rPr>
          <w:rStyle w:val="FootnoteReference"/>
          <w:rFonts w:ascii="EB Garamond 12" w:eastAsia="Adobe Myungjo Std M" w:hAnsi="EB Garamond 12" w:cs="Adobe Hebrew"/>
        </w:rPr>
        <w:footnoteReference w:id="14"/>
      </w:r>
      <w:r w:rsidRPr="002E5E80">
        <w:rPr>
          <w:rFonts w:ascii="EB Garamond 12" w:eastAsia="Adobe Myungjo Std M" w:hAnsi="EB Garamond 12" w:cs="Adobe Hebrew"/>
        </w:rPr>
        <w:t xml:space="preserve"> Metode ini dipilih peneliti untuk mengali data secara akurat yang diperoleh dari sumber data. Penelitian yang digunakan ini termasuk penelitian diskriptif, jika ditinjau dari </w:t>
      </w:r>
      <w:r w:rsidRPr="002E5E80">
        <w:rPr>
          <w:rFonts w:ascii="EB Garamond 12" w:eastAsia="Adobe Myungjo Std M" w:hAnsi="EB Garamond 12" w:cs="Adobe Hebrew"/>
        </w:rPr>
        <w:lastRenderedPageBreak/>
        <w:t>pemaparan dan kedalaman analisisnya. Penelitian deskriptif yaitu menganalisis dan menyajikan fakta secara sistematik sehingga dapat mudah dipahami dan disimpulkan.</w:t>
      </w:r>
      <w:r w:rsidRPr="002E5E80">
        <w:rPr>
          <w:rStyle w:val="FootnoteReference"/>
          <w:rFonts w:ascii="EB Garamond 12" w:eastAsia="Adobe Myungjo Std M" w:hAnsi="EB Garamond 12" w:cs="Adobe Hebrew"/>
        </w:rPr>
        <w:footnoteReference w:id="15"/>
      </w:r>
      <w:r w:rsidRPr="002E5E80">
        <w:rPr>
          <w:rFonts w:ascii="EB Garamond 12" w:eastAsia="Adobe Myungjo Std M" w:hAnsi="EB Garamond 12" w:cs="Adobe Hebrew"/>
        </w:rPr>
        <w:t xml:space="preserve"> Dalam penelitian ini dimaksudkan untuk mendeskripsikan peran kepemimpinan kiai pesantren terhadap keberagamaan masyarakat di lingkungan pondok pesantren Al-Qodir Cangkringan.</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Sumber data yang digunakan dalam penelitian ini adalah melalui </w:t>
      </w:r>
      <w:r w:rsidRPr="002E5E80">
        <w:rPr>
          <w:rFonts w:ascii="EB Garamond 12" w:eastAsia="Adobe Myungjo Std M" w:hAnsi="EB Garamond 12" w:cs="Adobe Hebrew"/>
          <w:i/>
        </w:rPr>
        <w:t>interview,</w:t>
      </w:r>
      <w:r w:rsidRPr="002E5E80">
        <w:rPr>
          <w:rFonts w:ascii="EB Garamond 12" w:eastAsia="Adobe Myungjo Std M" w:hAnsi="EB Garamond 12" w:cs="Adobe Hebrew"/>
        </w:rPr>
        <w:t xml:space="preserve"> observasi, dan penggunaan </w:t>
      </w:r>
      <w:r w:rsidRPr="002E5E80">
        <w:rPr>
          <w:rFonts w:ascii="EB Garamond 12" w:hAnsi="EB Garamond 12"/>
        </w:rPr>
        <w:t>instrumen</w:t>
      </w:r>
      <w:r w:rsidRPr="002E5E80">
        <w:rPr>
          <w:rFonts w:ascii="EB Garamond 12" w:eastAsia="Adobe Myungjo Std M" w:hAnsi="EB Garamond 12" w:cs="Adobe Hebrew"/>
        </w:rPr>
        <w:t xml:space="preserve"> yang khusus dirancang sesuai dengan tujuannya.</w:t>
      </w:r>
      <w:r w:rsidRPr="002E5E80">
        <w:rPr>
          <w:rStyle w:val="FootnoteReference"/>
          <w:rFonts w:ascii="EB Garamond 12" w:eastAsia="Adobe Myungjo Std M" w:hAnsi="EB Garamond 12" w:cs="Adobe Hebrew"/>
        </w:rPr>
        <w:footnoteReference w:id="16"/>
      </w:r>
      <w:r w:rsidRPr="002E5E80">
        <w:rPr>
          <w:rFonts w:ascii="EB Garamond 12" w:eastAsia="Adobe Myungjo Std M" w:hAnsi="EB Garamond 12" w:cs="Adobe Hebrew"/>
        </w:rPr>
        <w:t xml:space="preserve"> Sumber data penelitian ini adalah data yang diperoleh langsung dari subyek penelitian dapat memberikan informasi yang dibutuhkan peneliti. Perolehan data pada penelitian ini dilakukan melalui kegiatan wawancara dengan pihak Pondok Pesantren Al-Qodir Cangkringan, di antaranya Pengasuh, Santri dan Masyarakat. Dalam pengumpulan data, peneliti menggunakan metode observasi, wawancara, dan dokumentasi.</w:t>
      </w:r>
    </w:p>
    <w:p w:rsidR="002E5E80" w:rsidRPr="002E5E80" w:rsidRDefault="002E5E80" w:rsidP="002E5E80">
      <w:pPr>
        <w:ind w:firstLine="567"/>
        <w:jc w:val="both"/>
        <w:rPr>
          <w:rFonts w:ascii="EB Garamond 12" w:eastAsia="Adobe Myungjo Std M" w:hAnsi="EB Garamond 12" w:cs="Adobe Hebrew"/>
          <w:b/>
        </w:rPr>
      </w:pPr>
      <w:r w:rsidRPr="002E5E80">
        <w:rPr>
          <w:rFonts w:ascii="EB Garamond 12" w:eastAsia="Adobe Myungjo Std M" w:hAnsi="EB Garamond 12" w:cs="Adobe Hebrew"/>
        </w:rPr>
        <w:t xml:space="preserve">Metode analisis yang peneliti gunakan dalam menganalisis data adalah bersifat deskriptif kualitatif yaitu </w:t>
      </w:r>
      <w:r w:rsidRPr="002E5E80">
        <w:rPr>
          <w:rFonts w:ascii="EB Garamond 12" w:hAnsi="EB Garamond 12"/>
        </w:rPr>
        <w:t>penyajian</w:t>
      </w:r>
      <w:r w:rsidRPr="002E5E80">
        <w:rPr>
          <w:rFonts w:ascii="EB Garamond 12" w:eastAsia="Adobe Myungjo Std M" w:hAnsi="EB Garamond 12" w:cs="Adobe Hebrew"/>
        </w:rPr>
        <w:t xml:space="preserve"> data dalam bentuk tulisan dan menerangkan apa adanya sesuai data yang diperoleh dari hasil penelitian yang kemudian dilakukan analisis. Analisis data yang dilakukan biasanya bersifat manual.</w:t>
      </w:r>
      <w:r w:rsidRPr="002E5E80">
        <w:rPr>
          <w:rStyle w:val="FootnoteReference"/>
          <w:rFonts w:ascii="EB Garamond 12" w:eastAsia="Adobe Myungjo Std M" w:hAnsi="EB Garamond 12" w:cs="Adobe Hebrew"/>
        </w:rPr>
        <w:footnoteReference w:id="17"/>
      </w:r>
      <w:r w:rsidRPr="002E5E80">
        <w:rPr>
          <w:rFonts w:ascii="EB Garamond 12" w:eastAsia="Adobe Myungjo Std M" w:hAnsi="EB Garamond 12" w:cs="Adobe Hebrew"/>
        </w:rPr>
        <w:t xml:space="preserve"> Jadi, analisis data ini peneliti akan mendeskripsikan segala sesuatu tentang </w:t>
      </w:r>
      <w:r w:rsidRPr="002E5E80">
        <w:rPr>
          <w:rFonts w:ascii="EB Garamond 12" w:eastAsia="Adobe Myungjo Std M" w:hAnsi="EB Garamond 12" w:cs="Adobe Hebrew"/>
          <w:i/>
          <w:iCs/>
        </w:rPr>
        <w:t>leadership</w:t>
      </w:r>
      <w:r w:rsidRPr="002E5E80">
        <w:rPr>
          <w:rFonts w:ascii="EB Garamond 12" w:eastAsia="Adobe Myungjo Std M" w:hAnsi="EB Garamond 12" w:cs="Adobe Hebrew"/>
        </w:rPr>
        <w:t xml:space="preserve"> yang ada di dalam pondok pesantren dan faktor pendukung dan penghambatnya sesuai dengan apa yang didengar dan dilihat tanpa menguranginya. Tahapan-tahapan yang dilakukan adalah sebagian berikut: </w:t>
      </w:r>
      <w:r w:rsidRPr="002E5E80">
        <w:rPr>
          <w:rFonts w:ascii="EB Garamond 12" w:eastAsia="Adobe Myungjo Std M" w:hAnsi="EB Garamond 12" w:cs="Adobe Hebrew"/>
          <w:b/>
        </w:rPr>
        <w:t xml:space="preserve">(a) </w:t>
      </w:r>
      <w:r w:rsidRPr="002E5E80">
        <w:rPr>
          <w:rFonts w:ascii="EB Garamond 12" w:eastAsia="Adobe Myungjo Std M" w:hAnsi="EB Garamond 12" w:cs="Adobe Hebrew"/>
        </w:rPr>
        <w:t xml:space="preserve">Mengumpulkan data, yaitu data yang dikumpulkan berasal dari hasil observasi, wawancara dan studi dokumentasi. </w:t>
      </w:r>
      <w:r w:rsidRPr="002E5E80">
        <w:rPr>
          <w:rFonts w:ascii="EB Garamond 12" w:eastAsia="Adobe Myungjo Std M" w:hAnsi="EB Garamond 12" w:cs="Adobe Hebrew"/>
          <w:b/>
        </w:rPr>
        <w:t xml:space="preserve">(b) </w:t>
      </w:r>
      <w:r w:rsidRPr="002E5E80">
        <w:rPr>
          <w:rFonts w:ascii="EB Garamond 12" w:eastAsia="Adobe Myungjo Std M" w:hAnsi="EB Garamond 12" w:cs="Adobe Hebrew"/>
        </w:rPr>
        <w:t xml:space="preserve">Mengklarifikasi materi data, langkah ini digunakan untuk memilih data yang dapat dijadikan acuan untuk penelitian selanjutnya. Mengklarifikasi materi data dapat dilakukan dengan mengelompokkan data yang diperoleh dari hasil observasi, wawancara dan studi dokumentasi. </w:t>
      </w:r>
      <w:r w:rsidRPr="002E5E80">
        <w:rPr>
          <w:rFonts w:ascii="EB Garamond 12" w:eastAsia="Adobe Myungjo Std M" w:hAnsi="EB Garamond 12" w:cs="Adobe Hebrew"/>
          <w:b/>
        </w:rPr>
        <w:t xml:space="preserve">(c) </w:t>
      </w:r>
      <w:r w:rsidRPr="002E5E80">
        <w:rPr>
          <w:rFonts w:ascii="EB Garamond 12" w:eastAsia="Adobe Myungjo Std M" w:hAnsi="EB Garamond 12" w:cs="Adobe Hebrew"/>
        </w:rPr>
        <w:t>Mengedit, yaitu melakukan penelaahan terhadap data yang terkumpul melalui teknik-teknik yang digunakan kemudian dilakukan penelitian dan pemeriksaan kebenaran serta perbaikan apabila terdapat kesalahan sehingga mempermudah proses penelitian lebih lanjut.</w:t>
      </w:r>
      <w:r w:rsidRPr="002E5E80">
        <w:rPr>
          <w:rFonts w:ascii="EB Garamond 12" w:eastAsia="Adobe Myungjo Std M" w:hAnsi="EB Garamond 12" w:cs="Adobe Hebrew"/>
          <w:b/>
        </w:rPr>
        <w:t xml:space="preserve"> (c) </w:t>
      </w:r>
      <w:r w:rsidRPr="002E5E80">
        <w:rPr>
          <w:rFonts w:ascii="EB Garamond 12" w:eastAsia="Adobe Myungjo Std M" w:hAnsi="EB Garamond 12" w:cs="Adobe Hebrew"/>
        </w:rPr>
        <w:t>Menyajikan data, yaitu data yang telah ada dideskripsikan secara verbal kemudian diberikan penjelasan dan uraian berdasarkan pemikiran yang logis, serta memberikan argumentasi dan dapat ditarik kesimpulan.</w:t>
      </w:r>
      <w:r w:rsidRPr="002E5E80">
        <w:rPr>
          <w:rStyle w:val="FootnoteReference"/>
          <w:rFonts w:ascii="EB Garamond 12" w:eastAsia="Adobe Myungjo Std M" w:hAnsi="EB Garamond 12" w:cs="Adobe Hebrew"/>
        </w:rPr>
        <w:footnoteReference w:id="18"/>
      </w:r>
      <w:r w:rsidRPr="002E5E80">
        <w:rPr>
          <w:rFonts w:ascii="EB Garamond 12" w:eastAsia="Adobe Myungjo Std M" w:hAnsi="EB Garamond 12" w:cs="Adobe Hebrew"/>
        </w:rPr>
        <w:t xml:space="preserve"> </w:t>
      </w:r>
    </w:p>
    <w:p w:rsidR="002E5E80" w:rsidRPr="002E5E80" w:rsidRDefault="002E5E80" w:rsidP="002E5E80">
      <w:pPr>
        <w:ind w:firstLine="567"/>
        <w:jc w:val="both"/>
        <w:rPr>
          <w:rFonts w:ascii="EB Garamond 12" w:eastAsia="Adobe Myungjo Std M" w:hAnsi="EB Garamond 12" w:cs="Adobe Hebrew"/>
        </w:rPr>
      </w:pPr>
    </w:p>
    <w:p w:rsidR="002E5E80" w:rsidRPr="002E5E80" w:rsidRDefault="002E5E80" w:rsidP="002E5E80">
      <w:pPr>
        <w:jc w:val="both"/>
        <w:rPr>
          <w:rFonts w:ascii="EB Garamond 12" w:eastAsia="Adobe Myungjo Std M" w:hAnsi="EB Garamond 12" w:cs="Adobe Hebrew"/>
          <w:b/>
        </w:rPr>
      </w:pPr>
      <w:r w:rsidRPr="002E5E80">
        <w:rPr>
          <w:rFonts w:ascii="EB Garamond 12" w:eastAsia="Adobe Myungjo Std M" w:hAnsi="EB Garamond 12" w:cs="Adobe Hebrew"/>
          <w:b/>
        </w:rPr>
        <w:t xml:space="preserve">Nasihat Kiai Sebagai Spirit dalam Meningkatkan Keberagamaan </w:t>
      </w:r>
    </w:p>
    <w:p w:rsidR="002E5E80" w:rsidRPr="002E5E80" w:rsidRDefault="002E5E80" w:rsidP="002E5E80">
      <w:pPr>
        <w:spacing w:before="60"/>
        <w:ind w:firstLine="567"/>
        <w:jc w:val="both"/>
        <w:rPr>
          <w:rFonts w:ascii="EB Garamond 12" w:eastAsia="Adobe Fangsong Std R" w:hAnsi="EB Garamond 12" w:cs="Adobe Hebrew"/>
        </w:rPr>
      </w:pPr>
      <w:r w:rsidRPr="002E5E80">
        <w:rPr>
          <w:rFonts w:ascii="EB Garamond 12" w:hAnsi="EB Garamond 12"/>
        </w:rPr>
        <w:t>Pengasuh</w:t>
      </w:r>
      <w:r w:rsidRPr="002E5E80">
        <w:rPr>
          <w:rFonts w:ascii="EB Garamond 12" w:eastAsia="Adobe Fangsong Std R" w:hAnsi="EB Garamond 12" w:cs="Adobe Hebrew"/>
        </w:rPr>
        <w:t xml:space="preserve"> </w:t>
      </w:r>
      <w:r w:rsidRPr="002E5E80">
        <w:rPr>
          <w:rFonts w:ascii="EB Garamond 12" w:eastAsia="Adobe Myungjo Std M" w:hAnsi="EB Garamond 12" w:cs="Adobe Hebrew"/>
        </w:rPr>
        <w:t>merupakan</w:t>
      </w:r>
      <w:r w:rsidRPr="002E5E80">
        <w:rPr>
          <w:rFonts w:ascii="EB Garamond 12" w:eastAsia="Adobe Fangsong Std R" w:hAnsi="EB Garamond 12" w:cs="Adobe Hebrew"/>
        </w:rPr>
        <w:t xml:space="preserve"> orang pertama dalam organisasi, seperti diibaratkan tubuh, pengasuh adalah otak yang </w:t>
      </w:r>
      <w:r w:rsidRPr="002E5E80">
        <w:rPr>
          <w:rFonts w:ascii="EB Garamond 12" w:eastAsia="Adobe Myungjo Std M" w:hAnsi="EB Garamond 12" w:cs="Adobe Hebrew"/>
        </w:rPr>
        <w:t>mempunyai</w:t>
      </w:r>
      <w:r w:rsidRPr="002E5E80">
        <w:rPr>
          <w:rFonts w:ascii="EB Garamond 12" w:eastAsia="Adobe Fangsong Std R" w:hAnsi="EB Garamond 12" w:cs="Adobe Hebrew"/>
        </w:rPr>
        <w:t xml:space="preserve"> inisiatif dan menugaskan ke organ tubuh untuk menjalankan apa yang diinginkan. Begitu penting seorang pengasuh dalam organisasi, berhasil atau tidaknya tujuan organisasi, terletak pada kinerja seorang pengasuh. Pengasuh harus mempunyai suatu kelebihan agar para anggota menghormati dan segan kepadanya, sehingga tercipta fungsi instruksi, delegasi, konsultatif, partipasi dan fungsi pengasuh yang lain, serta hubungan kerjasama akan terjalin dengan baik.</w:t>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eastAsia="Adobe Fangsong Std R" w:hAnsi="EB Garamond 12" w:cs="Adobe Hebrew"/>
        </w:rPr>
        <w:t xml:space="preserve">Kelebihan seorang pengasuh bisa dengan cara berpikir, bertindak, dan peningkatan kebatinan. Pengasuh </w:t>
      </w:r>
      <w:r w:rsidRPr="002E5E80">
        <w:rPr>
          <w:rFonts w:ascii="EB Garamond 12" w:hAnsi="EB Garamond 12"/>
        </w:rPr>
        <w:t>adalah</w:t>
      </w:r>
      <w:r w:rsidRPr="002E5E80">
        <w:rPr>
          <w:rFonts w:ascii="EB Garamond 12" w:eastAsia="Adobe Fangsong Std R" w:hAnsi="EB Garamond 12" w:cs="Adobe Hebrew"/>
        </w:rPr>
        <w:t xml:space="preserve"> teladan yang mana setiap tingkah laku dan perbuatan akan ditiru serta menjadi sorotan dari para anggota dalam sebuah organisasi. Sama halnya dengan pengasuh pondok—yang jamak dipimpin oleh kiai—harus memiliki kelebihan dan pengetahuan yang luas sehingga para santri dapat menghormatinya. Dalam konteks ini dapat dikatakan bahwa kepengasuhan kiai sebagai seorang </w:t>
      </w:r>
      <w:r w:rsidRPr="002E5E80">
        <w:rPr>
          <w:rFonts w:ascii="EB Garamond 12" w:eastAsia="Adobe Fangsong Std R" w:hAnsi="EB Garamond 12" w:cs="Adobe Hebrew"/>
          <w:i/>
          <w:iCs/>
        </w:rPr>
        <w:t xml:space="preserve">suri tauladan </w:t>
      </w:r>
      <w:r w:rsidRPr="002E5E80">
        <w:rPr>
          <w:rFonts w:ascii="EB Garamond 12" w:eastAsia="Adobe Fangsong Std R" w:hAnsi="EB Garamond 12" w:cs="Adobe Hebrew"/>
        </w:rPr>
        <w:t>yang baik dan bijak dengan sendirinya akan disegani oleh para santri dan masyarakat dilingkungan pondok pesantren.</w:t>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eastAsia="Adobe Fangsong Std R" w:hAnsi="EB Garamond 12" w:cs="Adobe Hebrew"/>
        </w:rPr>
        <w:lastRenderedPageBreak/>
        <w:t xml:space="preserve">Kemampuan pengasuh secara otomatis, ia harus memiliki insting untuk melakukan intruksi dalam memberikan perintah secara jelas hingga mampu dilaksanakan anggotanya dengan baik. Komunikasi yang baik dan jelas sangat mempengaruhi hasil dari apa yang telah diperintahkan. </w:t>
      </w:r>
    </w:p>
    <w:p w:rsidR="002E5E80" w:rsidRPr="002E5E80" w:rsidRDefault="002E5E80" w:rsidP="002E5E80">
      <w:pPr>
        <w:spacing w:before="100" w:after="100"/>
        <w:ind w:left="425" w:right="425"/>
        <w:jc w:val="both"/>
        <w:rPr>
          <w:rFonts w:ascii="EB Garamond 12" w:eastAsia="Adobe Fangsong Std R" w:hAnsi="EB Garamond 12" w:cs="Adobe Hebrew"/>
        </w:rPr>
      </w:pPr>
      <w:r w:rsidRPr="002E5E80">
        <w:rPr>
          <w:rFonts w:ascii="EB Garamond 12" w:eastAsia="Adobe Fangsong Std R" w:hAnsi="EB Garamond 12" w:cs="Adobe Hebrew"/>
        </w:rPr>
        <w:t>“Menurut kami, pengasuh pondok saat ini mempunyai interaksi yang baik kepada anggotanya. Pengasuh harus menetapkan apa, bagaimana, bilamana, dan di mana suatu perintah. Kami sebagai bawahan atau anggota terus menjalakan apa yang telah di perintahkan, karena pengasuh memiliki kekuasaan untuk meminta bawahan atau jajaran dari anggota yayasan.”</w:t>
      </w:r>
      <w:r w:rsidRPr="002E5E80">
        <w:rPr>
          <w:rStyle w:val="FootnoteReference"/>
          <w:rFonts w:ascii="EB Garamond 12" w:eastAsia="Adobe Fangsong Std R" w:hAnsi="EB Garamond 12" w:cs="Adobe Hebrew"/>
        </w:rPr>
        <w:footnoteReference w:id="19"/>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hAnsi="EB Garamond 12"/>
        </w:rPr>
        <w:t>Pengasuh</w:t>
      </w:r>
      <w:r w:rsidRPr="002E5E80">
        <w:rPr>
          <w:rFonts w:ascii="EB Garamond 12" w:eastAsia="Adobe Fangsong Std R" w:hAnsi="EB Garamond 12" w:cs="Adobe Hebrew"/>
        </w:rPr>
        <w:t xml:space="preserve"> memberikan  perintah  yang baik dan sesuai dengan Syariat Islam. Sebagai  contoh, dalam menentukan formasi dewan guru dan pengurus,  pengasuh pondok  memberi  amanat untuk menentukan siapa saja yang pantas mengemban bagian tersebut, yang nantinya akan diolah kembali dan ditentukan dalam musyawarah forum pengurus yayasan. Pengasuh pondok memberikan perintah kepada guru, santri dan santriwatinya perintah dalam lingkup pendidikan dan keagamaan demi tercapainya visi dan misi pondok. Dalam menanggapi beragam masukan, pengasuh juga berperan sebagai pendengar dan penyimak berbagai persoalan, aspirasi, pendapat, perasaan, data, informasi dan lain-lain yang diungkapkan anggotanya.</w:t>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hAnsi="EB Garamond 12"/>
        </w:rPr>
        <w:t>Dorongan</w:t>
      </w:r>
      <w:r w:rsidRPr="002E5E80">
        <w:rPr>
          <w:rFonts w:ascii="EB Garamond 12" w:eastAsia="Adobe Fangsong Std R" w:hAnsi="EB Garamond 12" w:cs="Adobe Hebrew"/>
        </w:rPr>
        <w:t xml:space="preserve"> serta solusi yang baik dan tepat adalah  faktor yang mempengaruhi efektifitas seorang pengasuh. Pengasuh harus mampu menciptakan keseimbangan, mampu menentukan mana yang diprioritaskan dan mana yang ditunda. Peran ini dilakukan oleh seorang pengasuh memberikan saran dalam pemecahan masalah serta memberikan sumbangan informasi dan pendapat. Permasalahan  Pondok selalu ada baik dari dewan guru maupun santri. Misalkan, paling sering muncul terletak pada santri. Ketika dewan guru terutama Staff yayasan menemui masalah  seperti  adanya  kasus  santri mencuri uang temannya atau sering melanggar bahasa, hukuman atau sanksi seperti   apa  yang  pantas bagi pelanggar, maka semua permasalahan tersebut akan di konsultasikan kepada pimpinan terlebih dahulu. Segala aspek yang menyangkut urusan pondok akan dikonsultasikan dulu kepada pengasuh pondok.</w:t>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eastAsia="Adobe Fangsong Std R" w:hAnsi="EB Garamond 12" w:cs="Adobe Hebrew"/>
        </w:rPr>
        <w:t>Tugas pengasuh dalam fungsi partisipatif adalah mengerahkan tim kepada ketercapaian konsensus.</w:t>
      </w:r>
      <w:r w:rsidRPr="002E5E80">
        <w:rPr>
          <w:rStyle w:val="FootnoteReference"/>
          <w:rFonts w:ascii="EB Garamond 12" w:eastAsia="Adobe Fangsong Std R" w:hAnsi="EB Garamond 12" w:cs="Adobe Hebrew"/>
        </w:rPr>
        <w:footnoteReference w:id="20"/>
      </w:r>
      <w:r w:rsidRPr="002E5E80">
        <w:rPr>
          <w:rFonts w:ascii="EB Garamond 12" w:eastAsia="Adobe Fangsong Std R" w:hAnsi="EB Garamond 12" w:cs="Adobe Hebrew"/>
        </w:rPr>
        <w:t xml:space="preserve"> Tujuan </w:t>
      </w:r>
      <w:r w:rsidRPr="002E5E80">
        <w:rPr>
          <w:rFonts w:ascii="EB Garamond 12" w:hAnsi="EB Garamond 12"/>
        </w:rPr>
        <w:t>adalah</w:t>
      </w:r>
      <w:r w:rsidRPr="002E5E80">
        <w:rPr>
          <w:rFonts w:ascii="EB Garamond 12" w:eastAsia="Adobe Fangsong Std R" w:hAnsi="EB Garamond 12" w:cs="Adobe Hebrew"/>
        </w:rPr>
        <w:t xml:space="preserve"> sebagai pedoman dalam organisasi, segala aspek mengacu atau berkiblat kepada tujuan organisasi, yang pada akhirnya menjadi pondasi pengasuh dalam melaksanakan tugasnya untuk mengerahkan timnya, dan membina team work yang solid. Keikutsertaan pengauh sangatlah nampak, karena pimpinan tidak hanya menyuruh namun juga terlimbat langsung, seperti dalam pengajaran santri, pimpinan juga mempunyai jadwal mengajar, dalam suatu kegiatan besar seperti membuat panggung, terlihat salah satu diantara para pimpinan membantu pembuatan panggung, demi kelancaran acara tersebut.</w:t>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eastAsia="Adobe Fangsong Std R" w:hAnsi="EB Garamond 12" w:cs="Adobe Hebrew"/>
        </w:rPr>
        <w:t xml:space="preserve">Dalam berbagai kegiatan yang berhubungan dengan aktivitas kegiatan pondok, apabila pengasuh tidak bisa </w:t>
      </w:r>
      <w:r w:rsidRPr="002E5E80">
        <w:rPr>
          <w:rFonts w:ascii="EB Garamond 12" w:hAnsi="EB Garamond 12"/>
        </w:rPr>
        <w:t>menghadiri</w:t>
      </w:r>
      <w:r w:rsidRPr="002E5E80">
        <w:rPr>
          <w:rFonts w:ascii="EB Garamond 12" w:eastAsia="Adobe Fangsong Std R" w:hAnsi="EB Garamond 12" w:cs="Adobe Hebrew"/>
        </w:rPr>
        <w:t xml:space="preserve"> undangan, biasanya langsung memberikan delegasi kepada dewan pengurus yayasan lain. Delegasi  adalah  melimpahkan sebagian wewenang kepada orang yang dipercayainya seperti staff, divisi atau bawahannya. Hal ini ditujukan untuk mempermudah pekerjaan pengasuh dalam mengemban tugasnya, fungsi delegasi juga bisa disebut pembagian tugas terhadap staff dan bawahannya. Hal ini telah dilaksanakan oleh Pimpinan Pondok Modern Babussalam dengan membuat formasi dewan guru beserta pembagian tugas setiap bagiannya.</w:t>
      </w:r>
    </w:p>
    <w:p w:rsidR="002E5E80" w:rsidRPr="002E5E80" w:rsidRDefault="002E5E80" w:rsidP="002E5E80">
      <w:pPr>
        <w:ind w:firstLine="567"/>
        <w:jc w:val="both"/>
        <w:rPr>
          <w:rFonts w:ascii="EB Garamond 12" w:eastAsia="Adobe Fangsong Std R" w:hAnsi="EB Garamond 12" w:cs="Adobe Hebrew"/>
        </w:rPr>
      </w:pPr>
      <w:r w:rsidRPr="002E5E80">
        <w:rPr>
          <w:rFonts w:ascii="EB Garamond 12" w:eastAsia="Adobe Fangsong Std R" w:hAnsi="EB Garamond 12" w:cs="Adobe Hebrew"/>
        </w:rPr>
        <w:t xml:space="preserve">Kepercayaan kepada para staff merupakan pondasi dalam menjalankan semua peraturan yang ada di Pondok, sehingga kepercayaan tersebut dijaga oleh anggotanya dan tercipta keselarasan antara pimpinan dengan dewan guru dalam berorganisasi serta mendidik santri. Kepercayaan pimpinan dianggap amanat </w:t>
      </w:r>
      <w:r w:rsidRPr="002E5E80">
        <w:rPr>
          <w:rFonts w:ascii="EB Garamond 12" w:eastAsia="Adobe Fangsong Std R" w:hAnsi="EB Garamond 12" w:cs="Adobe Hebrew"/>
        </w:rPr>
        <w:lastRenderedPageBreak/>
        <w:t xml:space="preserve">yang harus dijaga dan dilaksanakan. Pengasuh harus mampu memberikan kepercayaan, sedang penerima delegasi </w:t>
      </w:r>
      <w:r w:rsidRPr="002E5E80">
        <w:rPr>
          <w:rFonts w:ascii="EB Garamond 12" w:hAnsi="EB Garamond 12"/>
        </w:rPr>
        <w:t>harus</w:t>
      </w:r>
      <w:r w:rsidRPr="002E5E80">
        <w:rPr>
          <w:rFonts w:ascii="EB Garamond 12" w:eastAsia="Adobe Fangsong Std R" w:hAnsi="EB Garamond 12" w:cs="Adobe Hebrew"/>
        </w:rPr>
        <w:t xml:space="preserve"> mampu memelihara  kepercayaan.</w:t>
      </w:r>
      <w:r w:rsidRPr="002E5E80">
        <w:rPr>
          <w:rStyle w:val="FootnoteReference"/>
          <w:rFonts w:ascii="EB Garamond 12" w:eastAsia="Adobe Fangsong Std R" w:hAnsi="EB Garamond 12" w:cs="Adobe Hebrew"/>
        </w:rPr>
        <w:footnoteReference w:id="21"/>
      </w:r>
    </w:p>
    <w:p w:rsidR="002E5E80" w:rsidRPr="002E5E80" w:rsidRDefault="002E5E80" w:rsidP="002E5E80">
      <w:pPr>
        <w:ind w:firstLine="567"/>
        <w:jc w:val="both"/>
        <w:rPr>
          <w:rFonts w:ascii="EB Garamond 12" w:eastAsia="Adobe Myungjo Std M" w:hAnsi="EB Garamond 12" w:cs="Adobe Hebrew"/>
        </w:rPr>
      </w:pPr>
    </w:p>
    <w:p w:rsidR="002E5E80" w:rsidRPr="002E5E80" w:rsidRDefault="002E5E80" w:rsidP="002E5E80">
      <w:pPr>
        <w:jc w:val="both"/>
        <w:rPr>
          <w:rFonts w:ascii="EB Garamond 12" w:eastAsia="Adobe Myungjo Std M" w:hAnsi="EB Garamond 12" w:cs="Adobe Hebrew"/>
          <w:b/>
        </w:rPr>
      </w:pPr>
      <w:r w:rsidRPr="002E5E80">
        <w:rPr>
          <w:rFonts w:ascii="EB Garamond 12" w:eastAsia="Adobe Myungjo Std M" w:hAnsi="EB Garamond 12" w:cs="Adobe Hebrew"/>
          <w:b/>
        </w:rPr>
        <w:t>Kiai Sebagai Penjaga Tradisi Islam-Indonesia</w:t>
      </w:r>
    </w:p>
    <w:p w:rsidR="002E5E80" w:rsidRPr="002E5E80" w:rsidRDefault="002E5E80" w:rsidP="002E5E80">
      <w:pPr>
        <w:spacing w:before="60"/>
        <w:ind w:firstLine="567"/>
        <w:jc w:val="both"/>
        <w:rPr>
          <w:rFonts w:ascii="EB Garamond 12" w:hAnsi="EB Garamond 12" w:cs="Adobe Hebrew"/>
        </w:rPr>
      </w:pPr>
      <w:r w:rsidRPr="002E5E80">
        <w:rPr>
          <w:rFonts w:ascii="EB Garamond 12" w:eastAsia="Adobe Fangsong Std R" w:hAnsi="EB Garamond 12" w:cs="Adobe Hebrew"/>
        </w:rPr>
        <w:t>Dalam</w:t>
      </w:r>
      <w:r w:rsidRPr="002E5E80">
        <w:rPr>
          <w:rFonts w:ascii="EB Garamond 12" w:hAnsi="EB Garamond 12" w:cs="Adobe Hebrew"/>
        </w:rPr>
        <w:t xml:space="preserve"> berbagai literatur, perbincangan soal kiai tidak pernah lepas dari persoalan gerakan secara sosial. </w:t>
      </w:r>
      <w:r w:rsidRPr="002E5E80">
        <w:rPr>
          <w:rFonts w:ascii="EB Garamond 12" w:hAnsi="EB Garamond 12"/>
        </w:rPr>
        <w:t>Tentu</w:t>
      </w:r>
      <w:r w:rsidRPr="002E5E80">
        <w:rPr>
          <w:rFonts w:ascii="EB Garamond 12" w:hAnsi="EB Garamond 12" w:cs="Adobe Hebrew"/>
        </w:rPr>
        <w:t xml:space="preserve">, hasil penelitian ini, pembahasannya mengacu pada hasil dari deskripsi di lapangan, terkait dengan bagaimana proses tatanan dapat dibentuk oleh kiai, gerakan sosial para kiai adalah fokus utama yang lain. Gerakan pada ranah sosial, tindakan kiai merupakan perpaduan yang mengacu pada eksistensi kiai dengan lingkungannya. Di mana aktivitas politik para kiai misalnya, pun menjadi hal yang menarik, yang banyak dikaji oleh para peneliti sebelumnya. </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Gelar sebagai kiai memiliki definisi yang agak berbeda dengan gelar sebagai ulama. Hal ini terlihat lebih pada konteks sosialnya. Walaupun kemudian, kemampuan pengetahuan agama dari kedua gelar ini dalam tingkatan yang sama, kiai lebih dipandang tinggi daripada ulama. Horikoshi menilai bahwa kiai memiliki nilai lebih daripada ulama. Secara tampilan fisik, Horikoshi menganggap bahwa sifat khas seorang kiai adalah terus terang, berani, dan cenderung blak-blakan.</w:t>
      </w:r>
      <w:r w:rsidRPr="002E5E80">
        <w:rPr>
          <w:rStyle w:val="FootnoteReference"/>
          <w:rFonts w:ascii="EB Garamond 12" w:hAnsi="EB Garamond 12" w:cs="Adobe Hebrew"/>
        </w:rPr>
        <w:footnoteReference w:id="22"/>
      </w:r>
      <w:r w:rsidRPr="002E5E80">
        <w:rPr>
          <w:rFonts w:ascii="EB Garamond 12" w:hAnsi="EB Garamond 12" w:cs="Adobe Hebrew"/>
        </w:rPr>
        <w:t xml:space="preserve"> Namun demikian, hal tersebut juga dipengaruhi oleh keunggulannya dalam memahami dan melakukan kontekstualisasi dalam masyarakat setempat. Berikut dengan permasalahan-permasalahan lokal yang dihadapinya. </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Kiai bisa saja menjelaskan persoalan teologi yang rumit pada seorang petani yang awam dalam pendidikan formal maupun agama, namun dengan bahasa yang mudah dan lekat dengan permasalahan yang sedang dihadapinya. Pada gilirannya, ide yang dibawa oleh kiai mudah dipahami oleh para petani, sehingga menjadi solusi permasalahan yang sedang dialami.</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Sebenarnya, perbedaan definisi antara dua gelar tersebut terdapat pada status dan pengaruh. Dalam kajian Geertz, kiai disebutnya sebagai makelar budaya (</w:t>
      </w:r>
      <w:r w:rsidRPr="002E5E80">
        <w:rPr>
          <w:rFonts w:ascii="EB Garamond 12" w:hAnsi="EB Garamond 12" w:cs="Adobe Hebrew"/>
          <w:i/>
          <w:iCs/>
        </w:rPr>
        <w:t>cultural broker</w:t>
      </w:r>
      <w:r w:rsidRPr="002E5E80">
        <w:rPr>
          <w:rFonts w:ascii="EB Garamond 12" w:hAnsi="EB Garamond 12" w:cs="Adobe Hebrew"/>
        </w:rPr>
        <w:t xml:space="preserve">) yang sanggup menyaring arus </w:t>
      </w:r>
      <w:r w:rsidRPr="002E5E80">
        <w:rPr>
          <w:rFonts w:ascii="EB Garamond 12" w:hAnsi="EB Garamond 12"/>
        </w:rPr>
        <w:t>informasi</w:t>
      </w:r>
      <w:r w:rsidRPr="002E5E80">
        <w:rPr>
          <w:rFonts w:ascii="EB Garamond 12" w:hAnsi="EB Garamond 12" w:cs="Adobe Hebrew"/>
        </w:rPr>
        <w:t xml:space="preserve"> yang masuk ke lingkungan santri, menularkan apa yang dianggap berguna, dan membuang apa yang dianggap dapat merusak bagi mereka. Namun, menurut Geertz, peranan penyaring itu akan macet pada saat arus informasi yang masuk begitu deras dan tidak mungkin lagi disaring oleh kiai. Dalam keadaan demikian, kiai akan kehilangan peranannya dalam perubahan sosial. Akibat peranannya yang sekunder dan tidak kreatif, kiai akan mengalami kesenjangan budaya (</w:t>
      </w:r>
      <w:r w:rsidRPr="002E5E80">
        <w:rPr>
          <w:rFonts w:ascii="EB Garamond 12" w:hAnsi="EB Garamond 12" w:cs="Adobe Hebrew"/>
          <w:i/>
          <w:iCs/>
        </w:rPr>
        <w:t>cultural lag</w:t>
      </w:r>
      <w:r w:rsidRPr="002E5E80">
        <w:rPr>
          <w:rFonts w:ascii="EB Garamond 12" w:hAnsi="EB Garamond 12" w:cs="Adobe Hebrew"/>
        </w:rPr>
        <w:t>) dengan masyarakat di sekitarnya. Geertz mengatakan bahwa kiai adalah peran kepemimpinan yang efektif dalam konteks komunikasi dan transfer ide terhadap masyarakatnya.</w:t>
      </w:r>
      <w:r w:rsidRPr="002E5E80">
        <w:rPr>
          <w:rStyle w:val="FootnoteReference"/>
          <w:rFonts w:ascii="EB Garamond 12" w:hAnsi="EB Garamond 12" w:cs="Adobe Hebrew"/>
        </w:rPr>
        <w:footnoteReference w:id="23"/>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Peran kiai memliki sentralitas nyata, yang mana kiai adalah seorang ahli dalam komunikasi dalam persoalan keislaman (agama) kepada masyarakat kelas bawah. Sebagai sebuah usaha pengembangan sekolah agama, ia memiliki masa beradaptasi dan mendiami satu tempat tertentu dalam kurun waktu yang lama. Namun, dalam beberapa hal, secara konseptual kiai tidak juga bergerak hanya sebagai makelar budaya seperti yang diasumsikan oleh Geertz tersebut. Dalam banyak kasus, kiai sering berperan kreatif dalam perubahan sosial. Masalah yang dihadapinya adalah bagaimana kebutuhan akan perubahan itu dapat dipenuhi tanpa merusak ikatan-ikatan sosial yang telah ada sebelumnya, melainkan justru dengan memanfaatkan ikatan-ikatan itu sebagai mekanisme perubahan sosial yang diinginkannya.</w:t>
      </w:r>
      <w:r w:rsidRPr="002E5E80">
        <w:rPr>
          <w:rStyle w:val="FootnoteReference"/>
          <w:rFonts w:ascii="EB Garamond 12" w:hAnsi="EB Garamond 12" w:cs="Adobe Hebrew"/>
        </w:rPr>
        <w:footnoteReference w:id="24"/>
      </w:r>
    </w:p>
    <w:p w:rsidR="002E5E80" w:rsidRPr="002E5E80" w:rsidRDefault="002E5E80" w:rsidP="002E5E80">
      <w:pPr>
        <w:spacing w:after="160"/>
        <w:ind w:firstLine="720"/>
        <w:jc w:val="both"/>
        <w:rPr>
          <w:rFonts w:ascii="EB Garamond 12" w:hAnsi="EB Garamond 12" w:cs="Adobe Hebrew"/>
        </w:rPr>
      </w:pPr>
      <w:r w:rsidRPr="002E5E80">
        <w:rPr>
          <w:rFonts w:ascii="EB Garamond 12" w:hAnsi="EB Garamond 12" w:cs="Adobe Hebrew"/>
        </w:rPr>
        <w:t xml:space="preserve">Dalam beberapa kasus, misalkan, adanya tindakan adaptatif  yang dilakukan oleh kiai adalah pembangunan lembaga-lembaga pendidikan yang mulai dikembangkan arah dan pengaturan pengembangannya. Pondok pesantren tradisional mulai mengenai sistem yang agak lebih modern seperti </w:t>
      </w:r>
      <w:r w:rsidRPr="002E5E80">
        <w:rPr>
          <w:rFonts w:ascii="EB Garamond 12" w:hAnsi="EB Garamond 12" w:cs="Adobe Hebrew"/>
        </w:rPr>
        <w:lastRenderedPageBreak/>
        <w:t xml:space="preserve">kurikulum pengetahuan umum hingga pada alat-alat penunjang pendidikannya seperti meja dan kursi. Hal ini dilakukan  oleh,  misalnya,  </w:t>
      </w:r>
      <w:r w:rsidRPr="002E5E80">
        <w:rPr>
          <w:rFonts w:ascii="EB Garamond 12" w:eastAsia="Adobe Fangsong Std R" w:hAnsi="EB Garamond 12" w:cs="Adobe Hebrew"/>
        </w:rPr>
        <w:t>KH. Mohammad Syafi’i Baidhowi sebagai pengasuh Pondok Pesantren Ma’hadut Tholabah</w:t>
      </w:r>
      <w:r w:rsidRPr="002E5E80">
        <w:rPr>
          <w:rFonts w:ascii="EB Garamond 12" w:hAnsi="EB Garamond 12" w:cs="Adobe Hebrew"/>
        </w:rPr>
        <w:t>, yang  mengembangkan pola pendidikan pondok pesantrennya lebih modern. Walaupun kemudian muncul tanggapan-tanggapan negatif dan penolakan oleh beberapa kiai yang lain, namun pada akhirnya perkembangan metode pendidikan yang diterapkannya ini pelan-pelan diikuti pula oleh pesantren yang lainnya.</w:t>
      </w:r>
    </w:p>
    <w:p w:rsidR="002E5E80" w:rsidRPr="002E5E80" w:rsidRDefault="002E5E80" w:rsidP="002E5E80">
      <w:pPr>
        <w:spacing w:before="100" w:after="100"/>
        <w:ind w:left="425" w:right="425"/>
        <w:jc w:val="both"/>
        <w:rPr>
          <w:rFonts w:ascii="EB Garamond 12" w:hAnsi="EB Garamond 12" w:cs="Adobe Hebrew"/>
        </w:rPr>
      </w:pPr>
      <w:r w:rsidRPr="002E5E80">
        <w:rPr>
          <w:rFonts w:ascii="EB Garamond 12" w:hAnsi="EB Garamond 12" w:cs="Adobe Hebrew"/>
        </w:rPr>
        <w:t>“Setelah diketahui orang banyak bahwa KH. Baidlowi adalah seorang kiai, banyak orang membuatkan sebuah madrasah baginya, dan langgar al-Habib Lutfi ini mendapat kehormatan menjadi gedungnya”.</w:t>
      </w:r>
      <w:r w:rsidRPr="002E5E80">
        <w:rPr>
          <w:rStyle w:val="FootnoteReference"/>
          <w:rFonts w:ascii="EB Garamond 12" w:hAnsi="EB Garamond 12" w:cs="Adobe Hebrew"/>
        </w:rPr>
        <w:footnoteReference w:id="25"/>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Selanjutnya, seorang kiai dapat meyakinkan bahwa dirinya dan segala hal yang didirikannya adalah demi kepentingan dan kebutuhan masyarakat setempat. Oleh karena itu, kepercayaan masyarakat di sekelilingnya atas segala aktivitasnya mendapat dukungan penuh. Pada perkembangannya, masyarakat ikut menjaga atas apa yang dibangun oleh kiai bersangkutan.</w:t>
      </w:r>
    </w:p>
    <w:p w:rsidR="002E5E80" w:rsidRPr="002E5E80" w:rsidRDefault="002E5E80" w:rsidP="002E5E80">
      <w:pPr>
        <w:spacing w:before="100" w:after="100"/>
        <w:ind w:left="425" w:right="425"/>
        <w:jc w:val="both"/>
        <w:rPr>
          <w:rFonts w:ascii="EB Garamond 12" w:hAnsi="EB Garamond 12" w:cs="Adobe Hebrew"/>
        </w:rPr>
      </w:pPr>
      <w:r w:rsidRPr="002E5E80">
        <w:rPr>
          <w:rFonts w:ascii="EB Garamond 12" w:hAnsi="EB Garamond 12" w:cs="Adobe Hebrew"/>
        </w:rPr>
        <w:t>“Satu kenyataan bahwa KH. Baidlowi berhasil menjadikan masyarakat merasakan bahwa madrasahnya adalah milik seluruh masyarakat. Bahwa masyarakat melekat menjadi satu dengan pesantrennya. Dengan demikian maka masyarakat mempunyai keberanian serta kemampuan untuk memikul segala keperluan madrasah ini, termasuk mendirikan gedungnya yang baru dengan 5 lokasi”.</w:t>
      </w:r>
      <w:r w:rsidRPr="002E5E80">
        <w:rPr>
          <w:rStyle w:val="FootnoteReference"/>
          <w:rFonts w:ascii="EB Garamond 12" w:hAnsi="EB Garamond 12" w:cs="Adobe Hebrew"/>
        </w:rPr>
        <w:footnoteReference w:id="26"/>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 xml:space="preserve">Di sini, pernyataan Geertz bahwa kiai adalah makelar budaya menjadi kurang relevan. Definisi Geertz mengenai kiai ini tidak pas untuk ditempatkan dalam memahami sosok kiai secara umum. Makelar budaya sebagai peran dari kiai akan lebih tepat jika dilihat lebih pada satu peranan dari begitu luasnya peranan kiai dalam masyarakatnya. Kiai sebagai makelar budaya akan lebih tepat dipahami jika kondisi yang ada adalah bahwa kiai dalam masyarakat bersangkutan tersebut masih merupakan tokoh tunggal yang benar-benar menjadi sentral segala aktivitas masyarakat. Namun, tentunya kondisi masyarakat yang seperti ini akan sangat jarang ditemui. Bahkan, penelitian Geertz dalam </w:t>
      </w:r>
      <w:r w:rsidRPr="002E5E80">
        <w:rPr>
          <w:rFonts w:ascii="EB Garamond 12" w:hAnsi="EB Garamond 12" w:cs="Adobe Hebrew"/>
          <w:i/>
          <w:iCs/>
        </w:rPr>
        <w:t>Religion of Java</w:t>
      </w:r>
      <w:r w:rsidRPr="002E5E80">
        <w:rPr>
          <w:rFonts w:ascii="EB Garamond 12" w:hAnsi="EB Garamond 12" w:cs="Adobe Hebrew"/>
        </w:rPr>
        <w:t xml:space="preserve">-nya di Desa Mojokuto pun menunjukkan bahwa masyarakat santri yang menjunjung tinggi sosok kiainya tidak lagi mengkondisikan kiai sebagai satu-satunya jalan masuk informasi yang datang ke masyarakatnya. </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Terdapat perkembangan-perkembangan dalam konteks sosial yang membuat informasi (dan budaya) yang masuk tidak lagi harus melalui kiai. Walaupun memang tidak dapat disangkal bahwa kiai memiliki peranan yang masih sangat menentukan dalam penilaian masyarakat atas informasi yang mereka terima itu baik atau tidak dengan pendapat kiai, namun perubahan sosial yang dihasilkan dari masuknya informasi sedikit banyak akan mengubah pula peranan kiai sebagai makelar budaya.</w:t>
      </w:r>
    </w:p>
    <w:p w:rsidR="002E5E80" w:rsidRPr="002E5E80" w:rsidRDefault="002E5E80" w:rsidP="002E5E80">
      <w:pPr>
        <w:ind w:firstLine="567"/>
        <w:jc w:val="both"/>
        <w:rPr>
          <w:rFonts w:ascii="EB Garamond 12" w:hAnsi="EB Garamond 12" w:cs="Adobe Hebrew"/>
        </w:rPr>
      </w:pPr>
      <w:r w:rsidRPr="002E5E80">
        <w:rPr>
          <w:rFonts w:ascii="EB Garamond 12" w:hAnsi="EB Garamond 12"/>
        </w:rPr>
        <w:t>Secara</w:t>
      </w:r>
      <w:r w:rsidRPr="002E5E80">
        <w:rPr>
          <w:rFonts w:ascii="EB Garamond 12" w:hAnsi="EB Garamond 12" w:cs="Adobe Hebrew"/>
        </w:rPr>
        <w:t xml:space="preserve"> umum, yang dilakukan kiai merupakan perjuangan dalam satu kerangka keseluruhan dari peran kiai, menggambarkan cita-cita  fundamental serta tujuan untuk tetap mempertahankan peran mereka dalam masyarakat. Menurut Horikoshi, keterlibatan dan keprihatinan politik kiai dalam turut memikirkan nasib masyarakat merupakan tugas sekunder dan pada saat bersamaan merupakan bagian yang penting dari perjuangan Islam. Kurang dapat dimengerti apa alasan Horikoshi untuk mengatakan bahwa tugas kiai dalam ranah perjuangan kemasyarakatan adalah tugas sekunder mengingat sejarah mengatakan bahwa tugas keagamaan dan sosial adalah dua sisi mata uang sebagai tugas para kiai. Horikoshi secara implisit menekankan bahwa fungsi keulamaan yang primer kemudian adalah fungsi keagamaan; bahwa peran ulama yang paling bernilai sebagaimana telah berlangsung adalah peran tradisional mereka sebagai </w:t>
      </w:r>
      <w:r w:rsidRPr="002E5E80">
        <w:rPr>
          <w:rFonts w:ascii="EB Garamond 12" w:hAnsi="EB Garamond 12" w:cs="Adobe Hebrew"/>
        </w:rPr>
        <w:lastRenderedPageBreak/>
        <w:t>penanggungjawab dalam mempertahankan keyakinan itu sendiri. Melalui pengajaran ilmu-ilmu agama, ulama melestarikan praktik-praktik  ortodoksi keagamaan para penganutnya.</w:t>
      </w:r>
      <w:r w:rsidRPr="002E5E80">
        <w:rPr>
          <w:rStyle w:val="FootnoteReference"/>
          <w:rFonts w:ascii="EB Garamond 12" w:hAnsi="EB Garamond 12" w:cs="Adobe Hebrew"/>
        </w:rPr>
        <w:footnoteReference w:id="27"/>
      </w:r>
      <w:r w:rsidRPr="002E5E80">
        <w:rPr>
          <w:rFonts w:ascii="EB Garamond 12" w:hAnsi="EB Garamond 12" w:cs="Adobe Hebrew"/>
        </w:rPr>
        <w:t xml:space="preserve"> </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 xml:space="preserve">Dalam konteks sosio-politik, gerakan kiai pun sering ditopang dengan beberapa organisasi yang dapat mewadahi secara efektif dalam upaya dakwahnya. Nahdlatul Ulama (NU) yang merupakan organisasi kaum tradisionalis, diisi oleh para kiai. Perlu dijelaskan sebelumnya bahwa dalam pemahaman umum, </w:t>
      </w:r>
      <w:r w:rsidRPr="002E5E80">
        <w:rPr>
          <w:rFonts w:ascii="EB Garamond 12" w:hAnsi="EB Garamond 12"/>
        </w:rPr>
        <w:t>pada</w:t>
      </w:r>
      <w:r w:rsidRPr="002E5E80">
        <w:rPr>
          <w:rFonts w:ascii="EB Garamond 12" w:hAnsi="EB Garamond 12" w:cs="Adobe Hebrew"/>
        </w:rPr>
        <w:t xml:space="preserve"> perkembangannya dengan banyaknya dinamika sosial-politik di Indonesia, kiai sering diidentikan dengan kaum tradisionalis; di mana di sisi satunya, berdiri kaum puritan yang cenderung menggunakan cara-cara yang lebih mekanistik dan mengandalkan perkembangan metode-metode  fundamentalistis dalam jalan dakwahnya.</w:t>
      </w:r>
    </w:p>
    <w:p w:rsidR="002E5E80" w:rsidRPr="002E5E80" w:rsidRDefault="002E5E80" w:rsidP="002E5E80">
      <w:pPr>
        <w:ind w:firstLine="567"/>
        <w:jc w:val="both"/>
        <w:rPr>
          <w:rFonts w:ascii="EB Garamond 12" w:hAnsi="EB Garamond 12" w:cs="Adobe Hebrew"/>
        </w:rPr>
      </w:pPr>
      <w:r w:rsidRPr="002E5E80">
        <w:rPr>
          <w:rFonts w:ascii="EB Garamond 12" w:hAnsi="EB Garamond 12"/>
        </w:rPr>
        <w:t>Dalam</w:t>
      </w:r>
      <w:r w:rsidRPr="002E5E80">
        <w:rPr>
          <w:rFonts w:ascii="EB Garamond 12" w:hAnsi="EB Garamond 12" w:cs="Adobe Hebrew"/>
        </w:rPr>
        <w:t xml:space="preserve"> organisasi NU ini, para kiai berkomunikasi satu dengan lain, dalam satu daerah atau antardaerah, untuk membicarakan mengenai bagaimana dakwah yang akan mereka lakukan ke depannya. Dan, menarik dikatakan di sini bahwa dakwah dan perkembangan yang ada dalam pemikiran para kiai tersebut tidak melulu soal agama, namun juga persoalan ekonomi, pendidikan, dan kesejahteraan sosial. Hal ini pun diakui Deliar Noor sebagai perbedaan antara ulama yang condong kepada arah gerakan purifikasi Islam dengan para kiai tradisionalis dalam pola pikir dakwah di masyarakatnya. Dikatakan Noor bahwa memang pada awal perkembangan Islam era kontemporer di Indonesia (sekitaran dari awal tahun 1900-an), para ulama puritan lebih mementingkan gerakan dakwah keagamaan, walaupun beberapa memang langsung menuju pengembangan kemasyarakatan (misalnya, Muhammadiyah). Namun, pada umumnya, para ulama selalu menaruh perhatiannya pada masalah umat; yang tentunya selalu akan menyentuh persoalan kesejahteraan sosial juga.</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 xml:space="preserve">Namun demikian, hal yang sebenarnya paling diharapkan dalam sosok kiai adalah fungsi sosial-kemasyarakatannya itu sendiri. Dalam hal ini, memang pesantren sebagai institusi pendidikan yang dibentuk oleh kiai bersangkutan adalah kegiatan utama yang selalu diupayakan untuk ada. Hal tersebut pada banyak sisi dikarenakan sifat gerakan kiai sebagai aktivitas dakwah, mengubah kondisi menuju ke arah yang lebih baik. Pendidikan adalah aset utama dalam sebuah masyarakat sebagai prasyarat dari perubahan di masa yang akan datang. Walaupun demikian, upaya perubahan yang dilakukan oleh para kiai biasanya tidak terbatas  hanya dengan mengadakan pendidikan dalam sebuah masyarakat. </w:t>
      </w:r>
    </w:p>
    <w:p w:rsidR="002E5E80" w:rsidRPr="002E5E80" w:rsidRDefault="002E5E80" w:rsidP="002E5E80">
      <w:pPr>
        <w:ind w:firstLine="567"/>
        <w:jc w:val="both"/>
        <w:rPr>
          <w:rFonts w:ascii="EB Garamond 12" w:hAnsi="EB Garamond 12" w:cs="Adobe Hebrew"/>
        </w:rPr>
      </w:pPr>
      <w:r w:rsidRPr="002E5E80">
        <w:rPr>
          <w:rFonts w:ascii="EB Garamond 12" w:hAnsi="EB Garamond 12" w:cs="Adobe Hebrew"/>
        </w:rPr>
        <w:t>Pada kenyataannya, pondok pesantren lebih merupakan pusat peradaban sebuah masyarakat tertentu dengan perkembangan teknologi dan fasilitas-fasilitasnya. Hal ini akan lebih tampak jika terjadi ketidakstabilan Negara dalam perannya terhadap masyarakat. Kiai dan institusi yang dibentuknya mengisi kekosongan oleh Negara dengan menyediakan segala hal yang dibutuhkan masyarakat sekitar.</w:t>
      </w:r>
    </w:p>
    <w:p w:rsidR="002E5E80" w:rsidRPr="002E5E80" w:rsidRDefault="002E5E80" w:rsidP="002E5E80">
      <w:pPr>
        <w:jc w:val="center"/>
        <w:rPr>
          <w:rFonts w:ascii="EB Garamond 12" w:hAnsi="EB Garamond 12" w:cs="Adobe Hebrew"/>
          <w:b/>
          <w:bCs/>
        </w:rPr>
      </w:pPr>
    </w:p>
    <w:p w:rsidR="002E5E80" w:rsidRPr="002E5E80" w:rsidRDefault="002E5E80" w:rsidP="002E5E80">
      <w:pPr>
        <w:pStyle w:val="ListParagraph"/>
        <w:numPr>
          <w:ilvl w:val="0"/>
          <w:numId w:val="1"/>
        </w:numPr>
        <w:ind w:left="284" w:hanging="284"/>
        <w:contextualSpacing w:val="0"/>
        <w:jc w:val="both"/>
        <w:rPr>
          <w:rFonts w:ascii="EB Garamond 12" w:hAnsi="EB Garamond 12" w:cs="Adobe Hebrew"/>
          <w:b/>
          <w:bCs/>
        </w:rPr>
      </w:pPr>
      <w:r w:rsidRPr="002E5E80">
        <w:rPr>
          <w:rFonts w:ascii="EB Garamond 12" w:hAnsi="EB Garamond 12" w:cs="Adobe Hebrew"/>
          <w:b/>
          <w:bCs/>
        </w:rPr>
        <w:t>Penutup</w:t>
      </w:r>
    </w:p>
    <w:p w:rsidR="002E5E80" w:rsidRPr="002E5E80" w:rsidRDefault="002E5E80" w:rsidP="002E5E80">
      <w:pPr>
        <w:spacing w:before="60"/>
        <w:ind w:firstLine="567"/>
        <w:jc w:val="both"/>
        <w:rPr>
          <w:rFonts w:ascii="EB Garamond 12" w:hAnsi="EB Garamond 12" w:cs="Adobe Hebrew"/>
        </w:rPr>
      </w:pPr>
      <w:r w:rsidRPr="002E5E80">
        <w:rPr>
          <w:rFonts w:ascii="EB Garamond 12" w:hAnsi="EB Garamond 12" w:cs="Adobe Hebrew"/>
        </w:rPr>
        <w:t xml:space="preserve">Peran </w:t>
      </w:r>
      <w:r w:rsidRPr="002E5E80">
        <w:rPr>
          <w:rFonts w:ascii="EB Garamond 12" w:eastAsia="Adobe Myungjo Std M" w:hAnsi="EB Garamond 12" w:cs="Adobe Hebrew"/>
        </w:rPr>
        <w:t>kiai</w:t>
      </w:r>
      <w:r w:rsidRPr="002E5E80">
        <w:rPr>
          <w:rFonts w:ascii="EB Garamond 12" w:hAnsi="EB Garamond 12" w:cs="Adobe Hebrew"/>
        </w:rPr>
        <w:t xml:space="preserve"> dalam meningkatkan keberagamaan masyarakat berdasarkan hasil kajian penelitian ini, dapat diklasifikasi yang terdiri dari dua hal, yaitu (1) nasihat kiai sebagai spirit dalam meningkatkan keberagamaan; dan (2) kiai sebagai penjaga tradisi Islam-Indonesia. </w:t>
      </w:r>
      <w:r w:rsidRPr="002E5E80">
        <w:rPr>
          <w:rFonts w:ascii="EB Garamond 12" w:hAnsi="EB Garamond 12" w:cs="Adobe Hebrew"/>
          <w:b/>
          <w:bCs/>
        </w:rPr>
        <w:t xml:space="preserve">Pertama, </w:t>
      </w:r>
      <w:r w:rsidRPr="002E5E80">
        <w:rPr>
          <w:rFonts w:ascii="EB Garamond 12" w:hAnsi="EB Garamond 12" w:cs="Adobe Hebrew"/>
        </w:rPr>
        <w:t xml:space="preserve">peran kiai menjadi posisi sentral dalam kehidupan masyarakat. Di mana nasihat-nasihat yang dikeluarkan kiai, setiap kali ceramah atau pengajian rutin, secara tidak langsung mampu meningkatkan keberagamaan masyarakat. Misalkan, apabila ada orang yang malas mengikuti majlis ilmu atau ibadah wajib (solat), dengan nada menyentuh dan perkatan halus mampu membangkitkan gairah untuk mendekatkan diri kepada Tuhan. </w:t>
      </w:r>
    </w:p>
    <w:p w:rsidR="002E5E80" w:rsidRPr="002E5E80" w:rsidRDefault="002E5E80" w:rsidP="002E5E80">
      <w:pPr>
        <w:ind w:firstLine="567"/>
        <w:jc w:val="both"/>
        <w:rPr>
          <w:rFonts w:ascii="EB Garamond 12" w:hAnsi="EB Garamond 12"/>
        </w:rPr>
      </w:pPr>
      <w:r w:rsidRPr="002E5E80">
        <w:rPr>
          <w:rFonts w:ascii="EB Garamond 12" w:hAnsi="EB Garamond 12" w:cs="Adobe Hebrew"/>
          <w:b/>
          <w:bCs/>
        </w:rPr>
        <w:t xml:space="preserve">Kedua, </w:t>
      </w:r>
      <w:r w:rsidRPr="002E5E80">
        <w:rPr>
          <w:rFonts w:ascii="EB Garamond 12" w:hAnsi="EB Garamond 12" w:cs="Adobe Hebrew"/>
        </w:rPr>
        <w:t xml:space="preserve">kiai sebagai penjaga tradisi Islam-Indonesia di Pon-Pos Al-Qodir terlihat jelas dengan setiap aktivitas dan kegiatan yang dilakukan. Ini artinya, Islam di Indonesia berbeda dengan Islam yang ada di Timur </w:t>
      </w:r>
      <w:r w:rsidRPr="002E5E80">
        <w:rPr>
          <w:rFonts w:ascii="EB Garamond 12" w:hAnsi="EB Garamond 12"/>
        </w:rPr>
        <w:t>Tengah</w:t>
      </w:r>
      <w:r w:rsidRPr="002E5E80">
        <w:rPr>
          <w:rFonts w:ascii="EB Garamond 12" w:hAnsi="EB Garamond 12" w:cs="Adobe Hebrew"/>
        </w:rPr>
        <w:t xml:space="preserve"> dan negara lain di dunia. Kegiatan dalam menjaga tradisi misalnya, ada khusus ziarah kubur, tahlilan, pelaksanaan PHBI, chaul, dan lain sebagainya. Hal ini salah satu identitas ke-Islaman Indonesia yang terus di jaga di Pon-Pes Al-Qodir dalam menjalankan aktivitas sehari-hari.</w:t>
      </w:r>
    </w:p>
    <w:p w:rsidR="00B345FC" w:rsidRPr="00323B6F" w:rsidRDefault="00A129B2" w:rsidP="00323B6F">
      <w:pPr>
        <w:pStyle w:val="BodyText"/>
        <w:jc w:val="center"/>
        <w:rPr>
          <w:rFonts w:ascii="EB Garamond 12" w:hAnsi="EB Garamond 12"/>
          <w:b/>
          <w:bCs/>
          <w:lang w:val="id-ID"/>
        </w:rPr>
      </w:pPr>
      <w:r w:rsidRPr="00323B6F">
        <w:rPr>
          <w:rFonts w:ascii="EB Garamond 12" w:hAnsi="EB Garamond 12"/>
          <w:b/>
          <w:bCs/>
          <w:lang w:val="id-ID"/>
        </w:rPr>
        <w:lastRenderedPageBreak/>
        <w:t>DAFTAR PUSTAKA</w:t>
      </w:r>
    </w:p>
    <w:p w:rsidR="00A129B2" w:rsidRPr="00323B6F" w:rsidRDefault="00A129B2" w:rsidP="00323B6F">
      <w:pPr>
        <w:ind w:left="720" w:hanging="720"/>
        <w:jc w:val="both"/>
        <w:rPr>
          <w:rFonts w:ascii="EB Garamond 12" w:hAnsi="EB Garamond 12"/>
        </w:rPr>
      </w:pP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hAnsi="EB Garamond 12"/>
        </w:rPr>
        <w:t>Abdul</w:t>
      </w:r>
      <w:r w:rsidRPr="002E5E80">
        <w:rPr>
          <w:rFonts w:ascii="EB Garamond 12" w:eastAsia="Adobe Myungjo Std M" w:hAnsi="EB Garamond 12" w:cs="Adobe Hebrew"/>
        </w:rPr>
        <w:t xml:space="preserve"> Mujib, </w:t>
      </w:r>
      <w:r w:rsidRPr="002E5E80">
        <w:rPr>
          <w:rFonts w:ascii="EB Garamond 12" w:eastAsia="Adobe Myungjo Std M" w:hAnsi="EB Garamond 12" w:cs="Adobe Hebrew"/>
          <w:i/>
          <w:iCs/>
        </w:rPr>
        <w:t>Kepribadian Dalam Psikologi Islam,</w:t>
      </w:r>
      <w:r w:rsidRPr="002E5E80">
        <w:rPr>
          <w:rFonts w:ascii="EB Garamond 12" w:eastAsia="Adobe Myungjo Std M" w:hAnsi="EB Garamond 12" w:cs="Adobe Hebrew"/>
        </w:rPr>
        <w:t>(Jakarta: PT. Raja Grafindo Persada, 2006).</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eastAsia="Adobe Myungjo Std M" w:hAnsi="EB Garamond 12" w:cs="Adobe Hebrew"/>
        </w:rPr>
        <w:t xml:space="preserve">Ahmad Salabi, </w:t>
      </w:r>
      <w:r w:rsidRPr="002E5E80">
        <w:rPr>
          <w:rFonts w:ascii="EB Garamond 12" w:eastAsia="Adobe Myungjo Std M" w:hAnsi="EB Garamond 12" w:cs="Adobe Hebrew"/>
          <w:i/>
          <w:iCs/>
        </w:rPr>
        <w:t>Al Siyasah wa Al Iqtisad fi Tafkir Al Islam</w:t>
      </w:r>
      <w:r w:rsidRPr="002E5E80">
        <w:rPr>
          <w:rFonts w:ascii="EB Garamond 12" w:eastAsia="Adobe Myungjo Std M" w:hAnsi="EB Garamond 12" w:cs="Adobe Hebrew"/>
        </w:rPr>
        <w:t xml:space="preserve">, (Kairo: Maktabah al Nahdah Mishriyah, 1984). </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eastAsia="Adobe Myungjo Std M" w:hAnsi="EB Garamond 12" w:cs="Adobe Hebrew"/>
        </w:rPr>
        <w:t xml:space="preserve">Burhan Bungin, </w:t>
      </w:r>
      <w:r w:rsidRPr="002E5E80">
        <w:rPr>
          <w:rFonts w:ascii="EB Garamond 12" w:eastAsia="Adobe Myungjo Std M" w:hAnsi="EB Garamond 12" w:cs="Adobe Hebrew"/>
          <w:i/>
        </w:rPr>
        <w:t xml:space="preserve">Metode Penelitian Sosial: Format Kuantitatif dan Kualitatif, </w:t>
      </w:r>
      <w:r w:rsidRPr="002E5E80">
        <w:rPr>
          <w:rFonts w:ascii="EB Garamond 12" w:eastAsia="Adobe Myungjo Std M" w:hAnsi="EB Garamond 12" w:cs="Adobe Hebrew"/>
        </w:rPr>
        <w:t xml:space="preserve">(Surabaya: Airlangga </w:t>
      </w:r>
      <w:r w:rsidRPr="002E5E80">
        <w:rPr>
          <w:rFonts w:ascii="EB Garamond 12" w:hAnsi="EB Garamond 12"/>
        </w:rPr>
        <w:t>University</w:t>
      </w:r>
      <w:r w:rsidRPr="002E5E80">
        <w:rPr>
          <w:rFonts w:ascii="EB Garamond 12" w:eastAsia="Adobe Myungjo Std M" w:hAnsi="EB Garamond 12" w:cs="Adobe Hebrew"/>
        </w:rPr>
        <w:t>, 2001).</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Clifford Geertz, “The Javanese Kijaji: The Changing Role of a Cultural Broker”, dalam </w:t>
      </w:r>
      <w:r w:rsidRPr="002E5E80">
        <w:rPr>
          <w:rFonts w:ascii="EB Garamond 12" w:hAnsi="EB Garamond 12" w:cs="Adobe Hebrew"/>
          <w:i/>
          <w:iCs/>
        </w:rPr>
        <w:t>Comparative Studies in Society and History</w:t>
      </w:r>
      <w:r w:rsidRPr="002E5E80">
        <w:rPr>
          <w:rFonts w:ascii="EB Garamond 12" w:hAnsi="EB Garamond 12" w:cs="Adobe Hebrew"/>
        </w:rPr>
        <w:t>, Vol. 2, No. 2 (1960): 229-230.</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Fahmi Al Fiqri, “Motivasi dan Kematangan Beragama Mahasiswa Santri Pondok Pesantren Fauzul Muslimin Kotagede Yogyakarta”, </w:t>
      </w:r>
      <w:r w:rsidRPr="002E5E80">
        <w:rPr>
          <w:rFonts w:ascii="EB Garamond 12" w:hAnsi="EB Garamond 12" w:cs="Adobe Hebrew"/>
          <w:i/>
          <w:iCs/>
        </w:rPr>
        <w:t xml:space="preserve">skripsi </w:t>
      </w:r>
      <w:r w:rsidRPr="002E5E80">
        <w:rPr>
          <w:rFonts w:ascii="EB Garamond 12" w:hAnsi="EB Garamond 12" w:cs="Adobe Hebrew"/>
        </w:rPr>
        <w:t>tidak diterbitkan, (Yogyakarta: Fakultas Dakwah dan Komunikasi UIN Sunan Kalijaga, 2013).</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hAnsi="EB Garamond 12"/>
        </w:rPr>
        <w:t>Gunawan</w:t>
      </w:r>
      <w:r w:rsidRPr="002E5E80">
        <w:rPr>
          <w:rFonts w:ascii="EB Garamond 12" w:eastAsia="Adobe Myungjo Std M" w:hAnsi="EB Garamond 12" w:cs="Adobe Hebrew"/>
        </w:rPr>
        <w:t xml:space="preserve"> Tjahjono, </w:t>
      </w:r>
      <w:r w:rsidRPr="002E5E80">
        <w:rPr>
          <w:rFonts w:ascii="EB Garamond 12" w:eastAsia="Adobe Myungjo Std M" w:hAnsi="EB Garamond 12" w:cs="Adobe Hebrew"/>
          <w:i/>
          <w:iCs/>
        </w:rPr>
        <w:t>Agama dan Upacara,</w:t>
      </w:r>
      <w:r w:rsidRPr="002E5E80">
        <w:rPr>
          <w:rFonts w:ascii="EB Garamond 12" w:eastAsia="Adobe Myungjo Std M" w:hAnsi="EB Garamond 12" w:cs="Adobe Hebrew"/>
        </w:rPr>
        <w:t xml:space="preserve"> (Jakarta: Buku Antar Bangsa, </w:t>
      </w:r>
      <w:r w:rsidRPr="002E5E80">
        <w:rPr>
          <w:rFonts w:ascii="EB Garamond 12" w:eastAsia="Adobe Myungjo Std M" w:hAnsi="EB Garamond 12" w:cs="Adobe Hebrew"/>
          <w:lang w:val="sv-SE"/>
        </w:rPr>
        <w:t>2002</w:t>
      </w:r>
      <w:r w:rsidRPr="002E5E80">
        <w:rPr>
          <w:rFonts w:ascii="EB Garamond 12" w:eastAsia="Adobe Myungjo Std M" w:hAnsi="EB Garamond 12" w:cs="Adobe Hebrew"/>
        </w:rPr>
        <w:t>)</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eastAsia="Adobe Myungjo Std M" w:hAnsi="EB Garamond 12" w:cs="Adobe Hebrew"/>
        </w:rPr>
        <w:t xml:space="preserve">Haris Herdiansyah, </w:t>
      </w:r>
      <w:r w:rsidRPr="002E5E80">
        <w:rPr>
          <w:rFonts w:ascii="EB Garamond 12" w:eastAsia="Adobe Myungjo Std M" w:hAnsi="EB Garamond 12" w:cs="Adobe Hebrew"/>
          <w:i/>
        </w:rPr>
        <w:t>Metodelogi Penelitian Kualitatif</w:t>
      </w:r>
      <w:r w:rsidRPr="002E5E80">
        <w:rPr>
          <w:rFonts w:ascii="EB Garamond 12" w:eastAsia="Adobe Myungjo Std M" w:hAnsi="EB Garamond 12" w:cs="Adobe Hebrew"/>
        </w:rPr>
        <w:t>,( Jakarta: Salemba Humanika, 2010).</w:t>
      </w:r>
    </w:p>
    <w:p w:rsidR="002E5E80" w:rsidRPr="002E5E80" w:rsidRDefault="002E5E80" w:rsidP="002E5E80">
      <w:pPr>
        <w:spacing w:after="60"/>
        <w:ind w:left="425" w:hanging="425"/>
        <w:jc w:val="both"/>
        <w:rPr>
          <w:rFonts w:ascii="EB Garamond 12" w:hAnsi="EB Garamond 12" w:cs="Adobe Hebrew"/>
        </w:rPr>
      </w:pPr>
      <w:r w:rsidRPr="002E5E80">
        <w:rPr>
          <w:rFonts w:ascii="EB Garamond 12" w:eastAsia="Calibri" w:hAnsi="EB Garamond 12" w:cs="Adobe Hebrew"/>
          <w:color w:val="201E1E"/>
          <w:spacing w:val="1"/>
        </w:rPr>
        <w:t>Hiroko</w:t>
      </w:r>
      <w:r w:rsidRPr="002E5E80">
        <w:rPr>
          <w:rFonts w:ascii="EB Garamond 12" w:hAnsi="EB Garamond 12" w:cs="Adobe Hebrew"/>
          <w:color w:val="201E1E"/>
          <w:spacing w:val="1"/>
        </w:rPr>
        <w:t xml:space="preserve"> </w:t>
      </w:r>
      <w:r w:rsidRPr="002E5E80">
        <w:rPr>
          <w:rFonts w:ascii="EB Garamond 12" w:eastAsia="Calibri" w:hAnsi="EB Garamond 12" w:cs="Adobe Hebrew"/>
          <w:color w:val="201E1E"/>
          <w:spacing w:val="1"/>
        </w:rPr>
        <w:t>Horikoshi</w:t>
      </w:r>
      <w:r w:rsidRPr="002E5E80">
        <w:rPr>
          <w:rFonts w:ascii="EB Garamond 12" w:eastAsia="Calibri" w:hAnsi="EB Garamond 12" w:cs="Adobe Hebrew"/>
          <w:color w:val="201E1E"/>
        </w:rPr>
        <w:t>,</w:t>
      </w:r>
      <w:r w:rsidRPr="002E5E80">
        <w:rPr>
          <w:rFonts w:ascii="EB Garamond 12" w:hAnsi="EB Garamond 12" w:cs="Adobe Hebrew"/>
          <w:color w:val="201E1E"/>
        </w:rPr>
        <w:t xml:space="preserve"> </w:t>
      </w:r>
      <w:r w:rsidRPr="002E5E80">
        <w:rPr>
          <w:rFonts w:ascii="EB Garamond 12" w:eastAsia="Calibri" w:hAnsi="EB Garamond 12" w:cs="Adobe Hebrew"/>
          <w:i/>
          <w:iCs/>
          <w:color w:val="201E1E"/>
          <w:spacing w:val="1"/>
        </w:rPr>
        <w:t>Kia</w:t>
      </w:r>
      <w:r w:rsidRPr="002E5E80">
        <w:rPr>
          <w:rFonts w:ascii="EB Garamond 12" w:eastAsia="Calibri" w:hAnsi="EB Garamond 12" w:cs="Adobe Hebrew"/>
          <w:i/>
          <w:iCs/>
          <w:color w:val="201E1E"/>
        </w:rPr>
        <w:t>i</w:t>
      </w:r>
      <w:r w:rsidRPr="002E5E80">
        <w:rPr>
          <w:rFonts w:ascii="EB Garamond 12" w:eastAsia="Calibri" w:hAnsi="EB Garamond 12" w:cs="Adobe Hebrew"/>
          <w:i/>
          <w:iCs/>
          <w:color w:val="201E1E"/>
          <w:spacing w:val="23"/>
        </w:rPr>
        <w:t xml:space="preserve"> </w:t>
      </w:r>
      <w:r w:rsidRPr="002E5E80">
        <w:rPr>
          <w:rFonts w:ascii="EB Garamond 12" w:eastAsia="Calibri" w:hAnsi="EB Garamond 12" w:cs="Adobe Hebrew"/>
          <w:i/>
          <w:iCs/>
          <w:color w:val="201E1E"/>
          <w:spacing w:val="1"/>
        </w:rPr>
        <w:t>da</w:t>
      </w:r>
      <w:r w:rsidRPr="002E5E80">
        <w:rPr>
          <w:rFonts w:ascii="EB Garamond 12" w:eastAsia="Calibri" w:hAnsi="EB Garamond 12" w:cs="Adobe Hebrew"/>
          <w:i/>
          <w:iCs/>
          <w:color w:val="201E1E"/>
        </w:rPr>
        <w:t>n</w:t>
      </w:r>
      <w:r w:rsidRPr="002E5E80">
        <w:rPr>
          <w:rFonts w:ascii="EB Garamond 12" w:eastAsia="Calibri" w:hAnsi="EB Garamond 12" w:cs="Adobe Hebrew"/>
          <w:i/>
          <w:iCs/>
          <w:color w:val="201E1E"/>
          <w:spacing w:val="17"/>
        </w:rPr>
        <w:t xml:space="preserve"> </w:t>
      </w:r>
      <w:r w:rsidRPr="002E5E80">
        <w:rPr>
          <w:rFonts w:ascii="EB Garamond 12" w:eastAsia="Calibri" w:hAnsi="EB Garamond 12" w:cs="Adobe Hebrew"/>
          <w:i/>
          <w:iCs/>
          <w:color w:val="201E1E"/>
          <w:spacing w:val="1"/>
        </w:rPr>
        <w:t>Perubaha</w:t>
      </w:r>
      <w:r w:rsidRPr="002E5E80">
        <w:rPr>
          <w:rFonts w:ascii="EB Garamond 12" w:eastAsia="Calibri" w:hAnsi="EB Garamond 12" w:cs="Adobe Hebrew"/>
          <w:i/>
          <w:iCs/>
          <w:color w:val="201E1E"/>
        </w:rPr>
        <w:t>n</w:t>
      </w:r>
      <w:r w:rsidRPr="002E5E80">
        <w:rPr>
          <w:rFonts w:ascii="EB Garamond 12" w:eastAsia="Calibri" w:hAnsi="EB Garamond 12" w:cs="Adobe Hebrew"/>
          <w:i/>
          <w:iCs/>
          <w:color w:val="201E1E"/>
          <w:spacing w:val="-2"/>
        </w:rPr>
        <w:t xml:space="preserve"> </w:t>
      </w:r>
      <w:r w:rsidRPr="002E5E80">
        <w:rPr>
          <w:rFonts w:ascii="EB Garamond 12" w:eastAsia="Calibri" w:hAnsi="EB Garamond 12" w:cs="Adobe Hebrew"/>
          <w:i/>
          <w:iCs/>
          <w:color w:val="201E1E"/>
          <w:spacing w:val="1"/>
        </w:rPr>
        <w:t>Sosia</w:t>
      </w:r>
      <w:r w:rsidRPr="002E5E80">
        <w:rPr>
          <w:rFonts w:ascii="EB Garamond 12" w:eastAsia="Calibri" w:hAnsi="EB Garamond 12" w:cs="Adobe Hebrew"/>
          <w:i/>
          <w:iCs/>
          <w:color w:val="201E1E"/>
        </w:rPr>
        <w:t>l</w:t>
      </w:r>
      <w:r w:rsidRPr="002E5E80">
        <w:rPr>
          <w:rFonts w:ascii="EB Garamond 12" w:eastAsia="Calibri" w:hAnsi="EB Garamond 12" w:cs="Adobe Hebrew"/>
          <w:color w:val="201E1E"/>
        </w:rPr>
        <w:t>,</w:t>
      </w:r>
      <w:r w:rsidRPr="002E5E80">
        <w:rPr>
          <w:rFonts w:ascii="EB Garamond 12" w:hAnsi="EB Garamond 12" w:cs="Adobe Hebrew"/>
          <w:color w:val="201E1E"/>
        </w:rPr>
        <w:t xml:space="preserve"> </w:t>
      </w:r>
      <w:r w:rsidRPr="002E5E80">
        <w:rPr>
          <w:rFonts w:ascii="EB Garamond 12" w:hAnsi="EB Garamond 12" w:cs="Adobe Hebrew"/>
          <w:color w:val="201E1E"/>
          <w:spacing w:val="47"/>
        </w:rPr>
        <w:t>(</w:t>
      </w:r>
      <w:r w:rsidRPr="002E5E80">
        <w:rPr>
          <w:rFonts w:ascii="EB Garamond 12" w:eastAsia="Calibri" w:hAnsi="EB Garamond 12" w:cs="Adobe Hebrew"/>
          <w:color w:val="201E1E"/>
        </w:rPr>
        <w:t xml:space="preserve">Jakarta: </w:t>
      </w:r>
      <w:r w:rsidRPr="002E5E80">
        <w:rPr>
          <w:rFonts w:ascii="EB Garamond 12" w:eastAsia="Calibri" w:hAnsi="EB Garamond 12" w:cs="Adobe Hebrew"/>
          <w:color w:val="201E1E"/>
          <w:spacing w:val="2"/>
        </w:rPr>
        <w:t xml:space="preserve"> </w:t>
      </w:r>
      <w:r w:rsidRPr="002E5E80">
        <w:rPr>
          <w:rFonts w:ascii="EB Garamond 12" w:hAnsi="EB Garamond 12" w:cs="Adobe Hebrew"/>
          <w:color w:val="201E1E"/>
          <w:w w:val="101"/>
        </w:rPr>
        <w:t>P3M,</w:t>
      </w:r>
      <w:r w:rsidRPr="002E5E80">
        <w:rPr>
          <w:rFonts w:ascii="EB Garamond 12" w:eastAsia="Calibri" w:hAnsi="EB Garamond 12" w:cs="Adobe Hebrew"/>
          <w:color w:val="201E1E"/>
          <w:w w:val="101"/>
        </w:rPr>
        <w:t xml:space="preserve"> </w:t>
      </w:r>
      <w:r w:rsidRPr="002E5E80">
        <w:rPr>
          <w:rFonts w:ascii="EB Garamond 12" w:hAnsi="EB Garamond 12" w:cs="Adobe Hebrew"/>
        </w:rPr>
        <w:t xml:space="preserve">1987). </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Hyas </w:t>
      </w:r>
      <w:r w:rsidRPr="002E5E80">
        <w:rPr>
          <w:rFonts w:ascii="EB Garamond 12" w:hAnsi="EB Garamond 12"/>
        </w:rPr>
        <w:t>Arief</w:t>
      </w:r>
      <w:r w:rsidRPr="002E5E80">
        <w:rPr>
          <w:rFonts w:ascii="EB Garamond 12" w:hAnsi="EB Garamond 12" w:cs="Adobe Hebrew"/>
        </w:rPr>
        <w:t xml:space="preserve"> Purwanto, “Kepemimpinan Kiai Dalam Membentuk Etos Kerja Santri: Studi Kasus di Badan Usaha Milik Pesantren An-Nawawi Berjan Gebang Purworejo”, </w:t>
      </w:r>
      <w:r w:rsidRPr="002E5E80">
        <w:rPr>
          <w:rFonts w:ascii="EB Garamond 12" w:hAnsi="EB Garamond 12" w:cs="Adobe Hebrew"/>
          <w:i/>
          <w:iCs/>
        </w:rPr>
        <w:t xml:space="preserve">skripsi </w:t>
      </w:r>
      <w:r w:rsidRPr="002E5E80">
        <w:rPr>
          <w:rFonts w:ascii="EB Garamond 12" w:hAnsi="EB Garamond 12" w:cs="Adobe Hebrew"/>
        </w:rPr>
        <w:t xml:space="preserve">tidak diterbitkan, (Yogyakarta: Fakultas Dakwah dan Komunikasi UIN Sunan Kalijaga, 2015). </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Jacobs, </w:t>
      </w:r>
      <w:r w:rsidRPr="002E5E80">
        <w:rPr>
          <w:rFonts w:ascii="EB Garamond 12" w:hAnsi="EB Garamond 12"/>
        </w:rPr>
        <w:t>Jaques</w:t>
      </w:r>
      <w:r w:rsidRPr="002E5E80">
        <w:rPr>
          <w:rFonts w:ascii="EB Garamond 12" w:hAnsi="EB Garamond 12" w:cs="Adobe Hebrew"/>
        </w:rPr>
        <w:t xml:space="preserve">, </w:t>
      </w:r>
      <w:r w:rsidRPr="002E5E80">
        <w:rPr>
          <w:rFonts w:ascii="EB Garamond 12" w:hAnsi="EB Garamond 12" w:cs="Adobe Hebrew"/>
          <w:i/>
          <w:iCs/>
        </w:rPr>
        <w:t>Leadership</w:t>
      </w:r>
      <w:r w:rsidRPr="002E5E80">
        <w:rPr>
          <w:rFonts w:ascii="EB Garamond 12" w:hAnsi="EB Garamond 12" w:cs="Adobe Hebrew"/>
        </w:rPr>
        <w:t>, (Hawai: Happer, 1990).</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Mamik </w:t>
      </w:r>
      <w:r w:rsidRPr="002E5E80">
        <w:rPr>
          <w:rFonts w:ascii="EB Garamond 12" w:hAnsi="EB Garamond 12"/>
        </w:rPr>
        <w:t>Nurhayati</w:t>
      </w:r>
      <w:r w:rsidRPr="002E5E80">
        <w:rPr>
          <w:rFonts w:ascii="EB Garamond 12" w:hAnsi="EB Garamond 12" w:cs="Adobe Hebrew"/>
        </w:rPr>
        <w:t xml:space="preserve">, “Pengaruh Kematangan Beragama Terhadap Sikap Sosial Mahasiswa Lembaga Dakwah Sekolah Tinggi Agama Islam Negeri Salatiga 2012”, </w:t>
      </w:r>
      <w:r w:rsidRPr="002E5E80">
        <w:rPr>
          <w:rFonts w:ascii="EB Garamond 12" w:hAnsi="EB Garamond 12" w:cs="Adobe Hebrew"/>
          <w:i/>
          <w:iCs/>
        </w:rPr>
        <w:t xml:space="preserve">skripsi </w:t>
      </w:r>
      <w:r w:rsidRPr="002E5E80">
        <w:rPr>
          <w:rFonts w:ascii="EB Garamond 12" w:hAnsi="EB Garamond 12" w:cs="Adobe Hebrew"/>
        </w:rPr>
        <w:t xml:space="preserve">tidak diterbitkan, (Salatiga: Fakultas Dakwah IAIN Salatiga, 2012).  </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lang w:val="sv-SE"/>
        </w:rPr>
        <w:t>Mujamil</w:t>
      </w:r>
      <w:r w:rsidRPr="002E5E80">
        <w:rPr>
          <w:rFonts w:ascii="EB Garamond 12" w:hAnsi="EB Garamond 12" w:cs="Adobe Hebrew"/>
        </w:rPr>
        <w:t xml:space="preserve"> </w:t>
      </w:r>
      <w:r w:rsidRPr="002E5E80">
        <w:rPr>
          <w:rFonts w:ascii="EB Garamond 12" w:hAnsi="EB Garamond 12" w:cs="Adobe Hebrew"/>
          <w:lang w:val="sv-SE"/>
        </w:rPr>
        <w:t>Qomar,</w:t>
      </w:r>
      <w:r w:rsidRPr="002E5E80">
        <w:rPr>
          <w:rFonts w:ascii="EB Garamond 12" w:hAnsi="EB Garamond 12" w:cs="Adobe Hebrew"/>
        </w:rPr>
        <w:t xml:space="preserve"> </w:t>
      </w:r>
      <w:r w:rsidRPr="002E5E80">
        <w:rPr>
          <w:rFonts w:ascii="EB Garamond 12" w:hAnsi="EB Garamond 12" w:cs="Adobe Hebrew"/>
          <w:i/>
          <w:lang w:val="sv-SE"/>
        </w:rPr>
        <w:t>Manajemen Pendidikan Islam</w:t>
      </w:r>
      <w:r w:rsidRPr="002E5E80">
        <w:rPr>
          <w:rFonts w:ascii="EB Garamond 12" w:hAnsi="EB Garamond 12" w:cs="Adobe Hebrew"/>
          <w:i/>
        </w:rPr>
        <w:t>: S</w:t>
      </w:r>
      <w:r w:rsidRPr="002E5E80">
        <w:rPr>
          <w:rFonts w:ascii="EB Garamond 12" w:hAnsi="EB Garamond 12" w:cs="Adobe Hebrew"/>
          <w:i/>
          <w:lang w:val="sv-SE"/>
        </w:rPr>
        <w:t>trategi Baru Pengelolaan Lembaga Pendidikan</w:t>
      </w:r>
      <w:r w:rsidRPr="002E5E80">
        <w:rPr>
          <w:rFonts w:ascii="EB Garamond 12" w:hAnsi="EB Garamond 12" w:cs="Adobe Hebrew"/>
        </w:rPr>
        <w:t>, (Yogyakarta:</w:t>
      </w:r>
      <w:r w:rsidRPr="002E5E80">
        <w:rPr>
          <w:rFonts w:ascii="EB Garamond 12" w:hAnsi="EB Garamond 12" w:cs="Adobe Hebrew"/>
          <w:lang w:val="sv-SE"/>
        </w:rPr>
        <w:t xml:space="preserve"> Erlangga, 2007</w:t>
      </w:r>
      <w:r w:rsidRPr="002E5E80">
        <w:rPr>
          <w:rFonts w:ascii="EB Garamond 12" w:hAnsi="EB Garamond 12" w:cs="Adobe Hebrew"/>
        </w:rPr>
        <w:t>).</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eastAsia="Adobe Myungjo Std M" w:hAnsi="EB Garamond 12" w:cs="Adobe Hebrew"/>
        </w:rPr>
        <w:t xml:space="preserve">Mujamil </w:t>
      </w:r>
      <w:r w:rsidRPr="002E5E80">
        <w:rPr>
          <w:rFonts w:ascii="EB Garamond 12" w:hAnsi="EB Garamond 12"/>
        </w:rPr>
        <w:t>Qomar</w:t>
      </w:r>
      <w:r w:rsidRPr="002E5E80">
        <w:rPr>
          <w:rFonts w:ascii="EB Garamond 12" w:eastAsia="Adobe Myungjo Std M" w:hAnsi="EB Garamond 12" w:cs="Adobe Hebrew"/>
          <w:i/>
        </w:rPr>
        <w:t>, Pesantren Dari Transformasi Metodologi Menuju Demokratisasi Institusi</w:t>
      </w:r>
      <w:r w:rsidRPr="002E5E80">
        <w:rPr>
          <w:rFonts w:ascii="EB Garamond 12" w:eastAsia="Adobe Myungjo Std M" w:hAnsi="EB Garamond 12" w:cs="Adobe Hebrew"/>
        </w:rPr>
        <w:t>, (Jakarta: Erlangga, 2002).</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Onong </w:t>
      </w:r>
      <w:r w:rsidRPr="002E5E80">
        <w:rPr>
          <w:rFonts w:ascii="EB Garamond 12" w:hAnsi="EB Garamond 12"/>
        </w:rPr>
        <w:t>Uchjana</w:t>
      </w:r>
      <w:r w:rsidRPr="002E5E80">
        <w:rPr>
          <w:rFonts w:ascii="EB Garamond 12" w:hAnsi="EB Garamond 12" w:cs="Adobe Hebrew"/>
        </w:rPr>
        <w:t xml:space="preserve"> Effendy, </w:t>
      </w:r>
      <w:r w:rsidRPr="002E5E80">
        <w:rPr>
          <w:rFonts w:ascii="EB Garamond 12" w:hAnsi="EB Garamond 12" w:cs="Adobe Hebrew"/>
          <w:i/>
          <w:iCs/>
        </w:rPr>
        <w:t xml:space="preserve">Human Relations and Public Relation, </w:t>
      </w:r>
      <w:r w:rsidRPr="002E5E80">
        <w:rPr>
          <w:rFonts w:ascii="EB Garamond 12" w:hAnsi="EB Garamond 12" w:cs="Adobe Hebrew"/>
        </w:rPr>
        <w:t>(Bandung: Mandar Maju, 2009).</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eastAsia="Adobe Myungjo Std M" w:hAnsi="EB Garamond 12" w:cs="Adobe Hebrew"/>
        </w:rPr>
        <w:t xml:space="preserve">Saifuddin </w:t>
      </w:r>
      <w:r w:rsidRPr="002E5E80">
        <w:rPr>
          <w:rFonts w:ascii="EB Garamond 12" w:hAnsi="EB Garamond 12"/>
        </w:rPr>
        <w:t>Azwar</w:t>
      </w:r>
      <w:r w:rsidRPr="002E5E80">
        <w:rPr>
          <w:rFonts w:ascii="EB Garamond 12" w:eastAsia="Adobe Myungjo Std M" w:hAnsi="EB Garamond 12" w:cs="Adobe Hebrew"/>
        </w:rPr>
        <w:t xml:space="preserve">, </w:t>
      </w:r>
      <w:r w:rsidRPr="002E5E80">
        <w:rPr>
          <w:rFonts w:ascii="EB Garamond 12" w:eastAsia="Adobe Myungjo Std M" w:hAnsi="EB Garamond 12" w:cs="Adobe Hebrew"/>
          <w:i/>
        </w:rPr>
        <w:t xml:space="preserve">Metode Penelitian, </w:t>
      </w:r>
      <w:r w:rsidRPr="002E5E80">
        <w:rPr>
          <w:rFonts w:ascii="EB Garamond 12" w:eastAsia="Adobe Myungjo Std M" w:hAnsi="EB Garamond 12" w:cs="Adobe Hebrew"/>
        </w:rPr>
        <w:t>(Yogyakarta: Pustaka Pelajar, 2010).</w:t>
      </w:r>
    </w:p>
    <w:p w:rsidR="002E5E80" w:rsidRPr="002E5E80" w:rsidRDefault="002E5E80" w:rsidP="002E5E80">
      <w:pPr>
        <w:spacing w:after="60"/>
        <w:ind w:left="425" w:hanging="425"/>
        <w:jc w:val="both"/>
        <w:rPr>
          <w:rFonts w:ascii="EB Garamond 12" w:eastAsia="Adobe Myungjo Std M" w:hAnsi="EB Garamond 12" w:cs="Adobe Hebrew"/>
        </w:rPr>
      </w:pPr>
      <w:r w:rsidRPr="002E5E80">
        <w:rPr>
          <w:rFonts w:ascii="EB Garamond 12" w:eastAsia="Adobe Myungjo Std M" w:hAnsi="EB Garamond 12" w:cs="Adobe Hebrew"/>
        </w:rPr>
        <w:t xml:space="preserve">Sugiyono,  </w:t>
      </w:r>
      <w:r w:rsidRPr="002E5E80">
        <w:rPr>
          <w:rFonts w:ascii="EB Garamond 12" w:eastAsia="Adobe Myungjo Std M" w:hAnsi="EB Garamond 12" w:cs="Adobe Hebrew"/>
          <w:i/>
        </w:rPr>
        <w:t>Metode Penelitian Pendidikan: Pendekatan Kuantitatif, Kualitatif, dan R &amp; D,</w:t>
      </w:r>
      <w:r w:rsidRPr="002E5E80">
        <w:rPr>
          <w:rFonts w:ascii="EB Garamond 12" w:eastAsia="Adobe Myungjo Std M" w:hAnsi="EB Garamond 12" w:cs="Adobe Hebrew"/>
        </w:rPr>
        <w:t xml:space="preserve"> (Bandung: </w:t>
      </w:r>
      <w:r w:rsidRPr="002E5E80">
        <w:rPr>
          <w:rFonts w:ascii="EB Garamond 12" w:hAnsi="EB Garamond 12"/>
        </w:rPr>
        <w:t>Alfabeta</w:t>
      </w:r>
      <w:r w:rsidRPr="002E5E80">
        <w:rPr>
          <w:rFonts w:ascii="EB Garamond 12" w:eastAsia="Adobe Myungjo Std M" w:hAnsi="EB Garamond 12" w:cs="Adobe Hebrew"/>
        </w:rPr>
        <w:t xml:space="preserve"> 2007).</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Sunindhia </w:t>
      </w:r>
      <w:r w:rsidRPr="002E5E80">
        <w:rPr>
          <w:rFonts w:ascii="EB Garamond 12" w:hAnsi="EB Garamond 12"/>
        </w:rPr>
        <w:t>dan</w:t>
      </w:r>
      <w:r w:rsidRPr="002E5E80">
        <w:rPr>
          <w:rFonts w:ascii="EB Garamond 12" w:hAnsi="EB Garamond 12" w:cs="Adobe Hebrew"/>
        </w:rPr>
        <w:t xml:space="preserve"> Ninik Widiyanti, </w:t>
      </w:r>
      <w:r w:rsidRPr="002E5E80">
        <w:rPr>
          <w:rFonts w:ascii="EB Garamond 12" w:hAnsi="EB Garamond 12" w:cs="Adobe Hebrew"/>
          <w:i/>
          <w:iCs/>
        </w:rPr>
        <w:t>Kepemimpinan dalam Masyarakat Modern</w:t>
      </w:r>
      <w:r w:rsidRPr="002E5E80">
        <w:rPr>
          <w:rFonts w:ascii="EB Garamond 12" w:hAnsi="EB Garamond 12" w:cs="Adobe Hebrew"/>
        </w:rPr>
        <w:t>, (Jakarta: Rineka Cipta, 1993).</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Syarqawi </w:t>
      </w:r>
      <w:r w:rsidRPr="002E5E80">
        <w:rPr>
          <w:rFonts w:ascii="EB Garamond 12" w:hAnsi="EB Garamond 12"/>
        </w:rPr>
        <w:t>Dhofir</w:t>
      </w:r>
      <w:r w:rsidRPr="002E5E80">
        <w:rPr>
          <w:rFonts w:ascii="EB Garamond 12" w:hAnsi="EB Garamond 12" w:cs="Adobe Hebrew"/>
        </w:rPr>
        <w:t xml:space="preserve">, </w:t>
      </w:r>
      <w:r w:rsidRPr="002E5E80">
        <w:rPr>
          <w:rFonts w:ascii="EB Garamond 12" w:hAnsi="EB Garamond 12" w:cs="Adobe Hebrew"/>
          <w:i/>
          <w:iCs/>
        </w:rPr>
        <w:t>Kekuasaan dan Otoritas Kiai dalam Pondok Pesantren</w:t>
      </w:r>
      <w:r w:rsidRPr="002E5E80">
        <w:rPr>
          <w:rFonts w:ascii="EB Garamond 12" w:hAnsi="EB Garamond 12" w:cs="Adobe Hebrew"/>
        </w:rPr>
        <w:t xml:space="preserve">, (Surabaya: UNESA Press, 2004). </w:t>
      </w:r>
    </w:p>
    <w:p w:rsidR="002E5E80" w:rsidRPr="002E5E80" w:rsidRDefault="002E5E80" w:rsidP="002E5E80">
      <w:pPr>
        <w:spacing w:after="60"/>
        <w:ind w:left="425" w:hanging="425"/>
        <w:jc w:val="both"/>
        <w:rPr>
          <w:rFonts w:ascii="EB Garamond 12" w:hAnsi="EB Garamond 12" w:cs="Adobe Hebrew"/>
        </w:rPr>
      </w:pPr>
      <w:r w:rsidRPr="002E5E80">
        <w:rPr>
          <w:rFonts w:ascii="EB Garamond 12" w:hAnsi="EB Garamond 12" w:cs="Adobe Hebrew"/>
        </w:rPr>
        <w:t xml:space="preserve">Wallace, </w:t>
      </w:r>
      <w:r w:rsidRPr="002E5E80">
        <w:rPr>
          <w:rFonts w:ascii="EB Garamond 12" w:hAnsi="EB Garamond 12"/>
        </w:rPr>
        <w:t>Antony</w:t>
      </w:r>
      <w:r w:rsidRPr="002E5E80">
        <w:rPr>
          <w:rFonts w:ascii="EB Garamond 12" w:hAnsi="EB Garamond 12" w:cs="Adobe Hebrew"/>
        </w:rPr>
        <w:t xml:space="preserve"> F. C. (1956) “Revitalization movements” American Anthropologist, vol. 58.</w:t>
      </w:r>
    </w:p>
    <w:p w:rsidR="002E5E80" w:rsidRPr="002E5E80" w:rsidRDefault="002E5E80" w:rsidP="002E5E80">
      <w:pPr>
        <w:spacing w:after="60"/>
        <w:ind w:left="425" w:hanging="425"/>
        <w:jc w:val="both"/>
        <w:rPr>
          <w:rFonts w:ascii="EB Garamond 12" w:hAnsi="EB Garamond 12"/>
        </w:rPr>
      </w:pPr>
      <w:r w:rsidRPr="002E5E80">
        <w:rPr>
          <w:rFonts w:ascii="EB Garamond 12" w:hAnsi="EB Garamond 12"/>
        </w:rPr>
        <w:t>Yasmadi</w:t>
      </w:r>
      <w:r w:rsidRPr="002E5E80">
        <w:rPr>
          <w:rFonts w:ascii="EB Garamond 12" w:hAnsi="EB Garamond 12" w:cs="Adobe Hebrew"/>
        </w:rPr>
        <w:t xml:space="preserve">, </w:t>
      </w:r>
      <w:r w:rsidRPr="002E5E80">
        <w:rPr>
          <w:rFonts w:ascii="EB Garamond 12" w:hAnsi="EB Garamond 12" w:cs="Adobe Hebrew"/>
          <w:i/>
          <w:iCs/>
        </w:rPr>
        <w:t>Modernisasi Pesantren:  Kritik  Nurcholish Madjid  terhadap Pendidikan Islam Tradisional</w:t>
      </w:r>
      <w:r w:rsidRPr="002E5E80">
        <w:rPr>
          <w:rFonts w:ascii="EB Garamond 12" w:hAnsi="EB Garamond 12" w:cs="Adobe Hebrew"/>
        </w:rPr>
        <w:t>, (Jakarta: Ciputat Press, 2002).</w:t>
      </w:r>
    </w:p>
    <w:sectPr w:rsidR="002E5E80" w:rsidRPr="002E5E80" w:rsidSect="002E5E80">
      <w:headerReference w:type="even" r:id="rId7"/>
      <w:headerReference w:type="default" r:id="rId8"/>
      <w:footerReference w:type="even" r:id="rId9"/>
      <w:footerReference w:type="default" r:id="rId10"/>
      <w:headerReference w:type="first" r:id="rId11"/>
      <w:pgSz w:w="11907" w:h="16840" w:code="9"/>
      <w:pgMar w:top="1418" w:right="1134" w:bottom="1418" w:left="1134" w:header="720" w:footer="720"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09" w:rsidRDefault="00D42309" w:rsidP="00B345FC">
      <w:r>
        <w:separator/>
      </w:r>
    </w:p>
  </w:endnote>
  <w:endnote w:type="continuationSeparator" w:id="0">
    <w:p w:rsidR="00D42309" w:rsidRDefault="00D42309" w:rsidP="00B3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 Garamond 12">
    <w:panose1 w:val="02020502060206020403"/>
    <w:charset w:val="00"/>
    <w:family w:val="roman"/>
    <w:pitch w:val="variable"/>
    <w:sig w:usb0="E00002FF" w:usb1="5201E4FB" w:usb2="0000002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Myungjo Std M">
    <w:panose1 w:val="02020600000000000000"/>
    <w:charset w:val="80"/>
    <w:family w:val="roman"/>
    <w:notTrueType/>
    <w:pitch w:val="variable"/>
    <w:sig w:usb0="800002A7" w:usb1="29D7FCFB" w:usb2="00000010" w:usb3="00000000" w:csb0="002A0005" w:csb1="00000000"/>
  </w:font>
  <w:font w:name="Adobe Hebrew">
    <w:panose1 w:val="02040503050201020203"/>
    <w:charset w:val="00"/>
    <w:family w:val="roman"/>
    <w:notTrueType/>
    <w:pitch w:val="variable"/>
    <w:sig w:usb0="8000086F" w:usb1="4000204A" w:usb2="00000000" w:usb3="00000000" w:csb0="00000021" w:csb1="00000000"/>
  </w:font>
  <w:font w:name="MingLiU_HKSCS">
    <w:panose1 w:val="02020500000000000000"/>
    <w:charset w:val="88"/>
    <w:family w:val="roman"/>
    <w:pitch w:val="variable"/>
    <w:sig w:usb0="A00002FF" w:usb1="38CFFCFA" w:usb2="00000016" w:usb3="00000000" w:csb0="00100001" w:csb1="00000000"/>
  </w:font>
  <w:font w:name="Adobe Fangsong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79318405"/>
      <w:docPartObj>
        <w:docPartGallery w:val="Page Numbers (Bottom of Page)"/>
        <w:docPartUnique/>
      </w:docPartObj>
    </w:sdtPr>
    <w:sdtEndPr>
      <w:rPr>
        <w:noProof/>
      </w:rPr>
    </w:sdtEndPr>
    <w:sdtContent>
      <w:p w:rsidR="00CA262A" w:rsidRPr="0013561B" w:rsidRDefault="00CA262A" w:rsidP="00400112">
        <w:pPr>
          <w:pStyle w:val="Footer"/>
          <w:tabs>
            <w:tab w:val="clear" w:pos="4680"/>
            <w:tab w:val="clear" w:pos="9360"/>
            <w:tab w:val="right" w:pos="9639"/>
          </w:tabs>
          <w:rPr>
            <w:sz w:val="20"/>
            <w:szCs w:val="20"/>
          </w:rPr>
        </w:pPr>
        <w:r w:rsidRPr="0013561B">
          <w:rPr>
            <w:sz w:val="20"/>
            <w:szCs w:val="20"/>
          </w:rPr>
          <w:fldChar w:fldCharType="begin"/>
        </w:r>
        <w:r w:rsidRPr="0013561B">
          <w:rPr>
            <w:sz w:val="20"/>
            <w:szCs w:val="20"/>
          </w:rPr>
          <w:instrText xml:space="preserve"> PAGE   \* MERGEFORMAT </w:instrText>
        </w:r>
        <w:r w:rsidRPr="0013561B">
          <w:rPr>
            <w:sz w:val="20"/>
            <w:szCs w:val="20"/>
          </w:rPr>
          <w:fldChar w:fldCharType="separate"/>
        </w:r>
        <w:r w:rsidR="000278A6">
          <w:rPr>
            <w:noProof/>
            <w:sz w:val="20"/>
            <w:szCs w:val="20"/>
          </w:rPr>
          <w:t>82</w:t>
        </w:r>
        <w:r w:rsidRPr="0013561B">
          <w:rPr>
            <w:noProof/>
            <w:sz w:val="20"/>
            <w:szCs w:val="20"/>
          </w:rPr>
          <w:fldChar w:fldCharType="end"/>
        </w:r>
        <w:r>
          <w:rPr>
            <w:noProof/>
            <w:sz w:val="20"/>
            <w:szCs w:val="20"/>
          </w:rPr>
          <w:tab/>
        </w:r>
        <w:r w:rsidRPr="00EE6B0E">
          <w:rPr>
            <w:b/>
            <w:bCs/>
            <w:noProof/>
            <w:sz w:val="20"/>
            <w:szCs w:val="20"/>
            <w:lang w:val="en-US"/>
          </w:rPr>
          <w:t>APLIKASIA: Jurnal Aplikasi Ilmu-ilmu Agama</w:t>
        </w:r>
        <w:r w:rsidRPr="00EE6B0E">
          <w:rPr>
            <w:noProof/>
            <w:sz w:val="20"/>
            <w:szCs w:val="20"/>
            <w:lang w:val="en-US"/>
          </w:rPr>
          <w:t>, Vol. 1</w:t>
        </w:r>
        <w:r w:rsidR="00307610">
          <w:rPr>
            <w:noProof/>
            <w:sz w:val="20"/>
            <w:szCs w:val="20"/>
            <w:lang w:val="en-US"/>
          </w:rPr>
          <w:t>8</w:t>
        </w:r>
        <w:r w:rsidRPr="00EE6B0E">
          <w:rPr>
            <w:noProof/>
            <w:sz w:val="20"/>
            <w:szCs w:val="20"/>
            <w:lang w:val="en-US"/>
          </w:rPr>
          <w:t xml:space="preserve">, No. </w:t>
        </w:r>
        <w:r w:rsidR="00307610">
          <w:rPr>
            <w:noProof/>
            <w:sz w:val="20"/>
            <w:szCs w:val="20"/>
            <w:lang w:val="en-US"/>
          </w:rPr>
          <w:t>1</w:t>
        </w:r>
        <w:r w:rsidRPr="00EE6B0E">
          <w:rPr>
            <w:noProof/>
            <w:sz w:val="20"/>
            <w:szCs w:val="20"/>
            <w:lang w:val="en-US"/>
          </w:rPr>
          <w:t>, 201</w:t>
        </w:r>
        <w:r w:rsidR="00400112">
          <w:rPr>
            <w:noProof/>
            <w:sz w:val="20"/>
            <w:szCs w:val="20"/>
            <w:lang w:val="en-US"/>
          </w:rPr>
          <w:t>8</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2A" w:rsidRPr="0013561B" w:rsidRDefault="00CA262A" w:rsidP="00307610">
    <w:pPr>
      <w:pStyle w:val="Footer"/>
      <w:tabs>
        <w:tab w:val="clear" w:pos="4680"/>
        <w:tab w:val="clear" w:pos="9360"/>
        <w:tab w:val="right" w:pos="9639"/>
      </w:tabs>
      <w:rPr>
        <w:sz w:val="20"/>
        <w:szCs w:val="20"/>
      </w:rPr>
    </w:pPr>
    <w:r w:rsidRPr="000642F5">
      <w:rPr>
        <w:b/>
        <w:bCs/>
        <w:noProof/>
        <w:sz w:val="20"/>
        <w:szCs w:val="20"/>
        <w:lang w:val="en-US"/>
      </w:rPr>
      <w:t>APLIKASIA: Jurnal Aplikasi Ilmu-ilmu Agama</w:t>
    </w:r>
    <w:r w:rsidRPr="000642F5">
      <w:rPr>
        <w:noProof/>
        <w:sz w:val="20"/>
        <w:szCs w:val="20"/>
        <w:lang w:val="en-US"/>
      </w:rPr>
      <w:t>, Vol. 1</w:t>
    </w:r>
    <w:r w:rsidR="00307610">
      <w:rPr>
        <w:noProof/>
        <w:sz w:val="20"/>
        <w:szCs w:val="20"/>
        <w:lang w:val="en-US"/>
      </w:rPr>
      <w:t>8</w:t>
    </w:r>
    <w:r w:rsidRPr="000642F5">
      <w:rPr>
        <w:noProof/>
        <w:sz w:val="20"/>
        <w:szCs w:val="20"/>
        <w:lang w:val="en-US"/>
      </w:rPr>
      <w:t xml:space="preserve">, No. </w:t>
    </w:r>
    <w:r w:rsidR="00307610">
      <w:rPr>
        <w:noProof/>
        <w:sz w:val="20"/>
        <w:szCs w:val="20"/>
        <w:lang w:val="en-US"/>
      </w:rPr>
      <w:t>1</w:t>
    </w:r>
    <w:r w:rsidRPr="000642F5">
      <w:rPr>
        <w:noProof/>
        <w:sz w:val="20"/>
        <w:szCs w:val="20"/>
        <w:lang w:val="en-US"/>
      </w:rPr>
      <w:t>, 201</w:t>
    </w:r>
    <w:r w:rsidR="00307610">
      <w:rPr>
        <w:noProof/>
        <w:sz w:val="20"/>
        <w:szCs w:val="20"/>
        <w:lang w:val="en-US"/>
      </w:rPr>
      <w:t>8</w:t>
    </w:r>
    <w:sdt>
      <w:sdtPr>
        <w:rPr>
          <w:sz w:val="20"/>
          <w:szCs w:val="20"/>
        </w:rPr>
        <w:id w:val="-1282647222"/>
        <w:docPartObj>
          <w:docPartGallery w:val="Page Numbers (Bottom of Page)"/>
          <w:docPartUnique/>
        </w:docPartObj>
      </w:sdtPr>
      <w:sdtEndPr>
        <w:rPr>
          <w:noProof/>
        </w:rPr>
      </w:sdtEndPr>
      <w:sdtContent>
        <w:r w:rsidRPr="0013561B">
          <w:rPr>
            <w:sz w:val="20"/>
            <w:szCs w:val="20"/>
          </w:rPr>
          <w:tab/>
        </w:r>
        <w:r w:rsidRPr="0013561B">
          <w:rPr>
            <w:sz w:val="20"/>
            <w:szCs w:val="20"/>
          </w:rPr>
          <w:fldChar w:fldCharType="begin"/>
        </w:r>
        <w:r w:rsidRPr="0013561B">
          <w:rPr>
            <w:sz w:val="20"/>
            <w:szCs w:val="20"/>
          </w:rPr>
          <w:instrText xml:space="preserve"> PAGE   \* MERGEFORMAT </w:instrText>
        </w:r>
        <w:r w:rsidRPr="0013561B">
          <w:rPr>
            <w:sz w:val="20"/>
            <w:szCs w:val="20"/>
          </w:rPr>
          <w:fldChar w:fldCharType="separate"/>
        </w:r>
        <w:r w:rsidR="000278A6">
          <w:rPr>
            <w:noProof/>
            <w:sz w:val="20"/>
            <w:szCs w:val="20"/>
          </w:rPr>
          <w:t>83</w:t>
        </w:r>
        <w:r w:rsidRPr="0013561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09" w:rsidRDefault="00D42309" w:rsidP="00B345FC">
      <w:r>
        <w:separator/>
      </w:r>
    </w:p>
  </w:footnote>
  <w:footnote w:type="continuationSeparator" w:id="0">
    <w:p w:rsidR="00D42309" w:rsidRDefault="00D42309" w:rsidP="00B345FC">
      <w:r>
        <w:continuationSeparator/>
      </w:r>
    </w:p>
  </w:footnote>
  <w:footnote w:id="1">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t>
      </w:r>
      <w:r w:rsidRPr="002E5E80">
        <w:rPr>
          <w:rFonts w:ascii="EB Garamond 12" w:eastAsia="Adobe Myungjo Std M" w:hAnsi="EB Garamond 12" w:cs="Adobe Hebrew"/>
          <w:szCs w:val="20"/>
        </w:rPr>
        <w:t xml:space="preserve">Gunawan Tjahjono, </w:t>
      </w:r>
      <w:r w:rsidRPr="002E5E80">
        <w:rPr>
          <w:rFonts w:ascii="EB Garamond 12" w:eastAsia="Adobe Myungjo Std M" w:hAnsi="EB Garamond 12" w:cs="Adobe Hebrew"/>
          <w:i/>
          <w:iCs/>
          <w:szCs w:val="20"/>
        </w:rPr>
        <w:t>Agama dan Upacara,</w:t>
      </w:r>
      <w:r w:rsidRPr="002E5E80">
        <w:rPr>
          <w:rFonts w:ascii="EB Garamond 12" w:eastAsia="Adobe Myungjo Std M" w:hAnsi="EB Garamond 12" w:cs="Adobe Hebrew"/>
          <w:szCs w:val="20"/>
        </w:rPr>
        <w:t xml:space="preserve"> (Jakarta: Buku Antar Bangsa, </w:t>
      </w:r>
      <w:r w:rsidRPr="002E5E80">
        <w:rPr>
          <w:rFonts w:ascii="EB Garamond 12" w:eastAsia="Adobe Myungjo Std M" w:hAnsi="EB Garamond 12" w:cs="Adobe Hebrew"/>
          <w:szCs w:val="20"/>
          <w:lang w:val="sv-SE"/>
        </w:rPr>
        <w:t>2002</w:t>
      </w:r>
      <w:r w:rsidRPr="002E5E80">
        <w:rPr>
          <w:rFonts w:ascii="EB Garamond 12" w:eastAsia="Adobe Myungjo Std M" w:hAnsi="EB Garamond 12" w:cs="Adobe Hebrew"/>
          <w:szCs w:val="20"/>
        </w:rPr>
        <w:t>), hal.</w:t>
      </w:r>
      <w:r w:rsidRPr="002E5E80">
        <w:rPr>
          <w:rFonts w:ascii="EB Garamond 12" w:eastAsia="Adobe Myungjo Std M" w:hAnsi="EB Garamond 12" w:cs="Adobe Hebrew"/>
          <w:szCs w:val="20"/>
          <w:lang w:val="sv-SE"/>
        </w:rPr>
        <w:t xml:space="preserve"> 20</w:t>
      </w:r>
      <w:r w:rsidRPr="002E5E80">
        <w:rPr>
          <w:rFonts w:ascii="EB Garamond 12" w:eastAsia="Adobe Myungjo Std M" w:hAnsi="EB Garamond 12" w:cs="Adobe Hebrew"/>
          <w:szCs w:val="20"/>
        </w:rPr>
        <w:t>.</w:t>
      </w:r>
    </w:p>
  </w:footnote>
  <w:footnote w:id="2">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t>
      </w:r>
      <w:r w:rsidRPr="002E5E80">
        <w:rPr>
          <w:rFonts w:ascii="EB Garamond 12" w:hAnsi="EB Garamond 12" w:cs="Adobe Hebrew"/>
          <w:szCs w:val="20"/>
          <w:lang w:val="sv-SE"/>
        </w:rPr>
        <w:t>Mujamil</w:t>
      </w:r>
      <w:r w:rsidRPr="002E5E80">
        <w:rPr>
          <w:rFonts w:ascii="EB Garamond 12" w:hAnsi="EB Garamond 12" w:cs="Adobe Hebrew"/>
          <w:szCs w:val="20"/>
        </w:rPr>
        <w:t xml:space="preserve"> </w:t>
      </w:r>
      <w:r w:rsidRPr="002E5E80">
        <w:rPr>
          <w:rFonts w:ascii="EB Garamond 12" w:hAnsi="EB Garamond 12" w:cs="Adobe Hebrew"/>
          <w:szCs w:val="20"/>
          <w:lang w:val="sv-SE"/>
        </w:rPr>
        <w:t>Qomar,</w:t>
      </w:r>
      <w:r w:rsidRPr="002E5E80">
        <w:rPr>
          <w:rFonts w:ascii="EB Garamond 12" w:hAnsi="EB Garamond 12" w:cs="Adobe Hebrew"/>
          <w:szCs w:val="20"/>
        </w:rPr>
        <w:t xml:space="preserve"> </w:t>
      </w:r>
      <w:r w:rsidRPr="002E5E80">
        <w:rPr>
          <w:rFonts w:ascii="EB Garamond 12" w:hAnsi="EB Garamond 12" w:cs="Adobe Hebrew"/>
          <w:i/>
          <w:szCs w:val="20"/>
          <w:lang w:val="sv-SE"/>
        </w:rPr>
        <w:t>Manajemen Pendidikan Islam</w:t>
      </w:r>
      <w:r w:rsidRPr="002E5E80">
        <w:rPr>
          <w:rFonts w:ascii="EB Garamond 12" w:hAnsi="EB Garamond 12" w:cs="Adobe Hebrew"/>
          <w:i/>
          <w:szCs w:val="20"/>
        </w:rPr>
        <w:t>: S</w:t>
      </w:r>
      <w:r w:rsidRPr="002E5E80">
        <w:rPr>
          <w:rFonts w:ascii="EB Garamond 12" w:hAnsi="EB Garamond 12" w:cs="Adobe Hebrew"/>
          <w:i/>
          <w:szCs w:val="20"/>
          <w:lang w:val="sv-SE"/>
        </w:rPr>
        <w:t>trategi Baru Pengelolaan Lembaga Pendidikan</w:t>
      </w:r>
      <w:r w:rsidRPr="002E5E80">
        <w:rPr>
          <w:rFonts w:ascii="EB Garamond 12" w:hAnsi="EB Garamond 12" w:cs="Adobe Hebrew"/>
          <w:szCs w:val="20"/>
        </w:rPr>
        <w:t>, (Yogyakarta:</w:t>
      </w:r>
      <w:r w:rsidRPr="002E5E80">
        <w:rPr>
          <w:rFonts w:ascii="EB Garamond 12" w:hAnsi="EB Garamond 12" w:cs="Adobe Hebrew"/>
          <w:szCs w:val="20"/>
          <w:lang w:val="sv-SE"/>
        </w:rPr>
        <w:t xml:space="preserve"> Erlangga, 2007</w:t>
      </w:r>
      <w:r w:rsidRPr="002E5E80">
        <w:rPr>
          <w:rFonts w:ascii="EB Garamond 12" w:hAnsi="EB Garamond 12" w:cs="Adobe Hebrew"/>
          <w:szCs w:val="20"/>
        </w:rPr>
        <w:t xml:space="preserve">), hal. </w:t>
      </w:r>
      <w:r w:rsidRPr="002E5E80">
        <w:rPr>
          <w:rFonts w:ascii="EB Garamond 12" w:eastAsia="Adobe Myungjo Std M" w:hAnsi="EB Garamond 12" w:cs="Adobe Hebrew"/>
          <w:szCs w:val="20"/>
          <w:lang w:val="sv-SE"/>
        </w:rPr>
        <w:t>58</w:t>
      </w:r>
      <w:r w:rsidRPr="002E5E80">
        <w:rPr>
          <w:rFonts w:ascii="EB Garamond 12" w:eastAsia="Adobe Myungjo Std M" w:hAnsi="EB Garamond 12" w:cs="Adobe Hebrew"/>
          <w:szCs w:val="20"/>
        </w:rPr>
        <w:t>.</w:t>
      </w:r>
    </w:p>
  </w:footnote>
  <w:footnote w:id="3">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Hyas Arief Purwanto, “Kepemimpinan Kiai Dalam Membentuk Etos Kerja Santri: Studi Kasus di Badan Usaha Milik Pesantren An-Nawawi Berjan Gebang Purworejo”, </w:t>
      </w:r>
      <w:r w:rsidRPr="002E5E80">
        <w:rPr>
          <w:rFonts w:ascii="EB Garamond 12" w:hAnsi="EB Garamond 12" w:cs="Adobe Hebrew"/>
          <w:i/>
          <w:iCs/>
          <w:szCs w:val="20"/>
        </w:rPr>
        <w:t xml:space="preserve">skripsi </w:t>
      </w:r>
      <w:r w:rsidRPr="002E5E80">
        <w:rPr>
          <w:rFonts w:ascii="EB Garamond 12" w:hAnsi="EB Garamond 12" w:cs="Adobe Hebrew"/>
          <w:szCs w:val="20"/>
        </w:rPr>
        <w:t xml:space="preserve">tidak diterbitkan, (Yogyakarta: Fakultas Dakwah dan Komunikasi UIN Sunan Kalijaga, 2015). </w:t>
      </w:r>
    </w:p>
  </w:footnote>
  <w:footnote w:id="4">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Fahmi Al Fiqri, “Motivasi dan Kematangan Beragama Mahasiswa Santri Pondok Pesantren Fauzul Muslimin Kotagede Yogyakarta”, </w:t>
      </w:r>
      <w:r w:rsidRPr="002E5E80">
        <w:rPr>
          <w:rFonts w:ascii="EB Garamond 12" w:hAnsi="EB Garamond 12" w:cs="Adobe Hebrew"/>
          <w:i/>
          <w:iCs/>
          <w:szCs w:val="20"/>
        </w:rPr>
        <w:t xml:space="preserve">skripsi </w:t>
      </w:r>
      <w:r w:rsidRPr="002E5E80">
        <w:rPr>
          <w:rFonts w:ascii="EB Garamond 12" w:hAnsi="EB Garamond 12" w:cs="Adobe Hebrew"/>
          <w:szCs w:val="20"/>
        </w:rPr>
        <w:t xml:space="preserve">tidak diterbitkan, (Yogyakarta: Fakultas Dakwah dan Komunikasi UIN Sunan Kalijaga, 2013). </w:t>
      </w:r>
    </w:p>
  </w:footnote>
  <w:footnote w:id="5">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Mamik Nurhayati, “Pengaruh Kematangan Beragama Terhadap Sikap Sosial Mahasiswa Lembaga Dakwah Sekolah Tinggi Agama Islam Negeri Salatiga 2012”, </w:t>
      </w:r>
      <w:r w:rsidRPr="002E5E80">
        <w:rPr>
          <w:rFonts w:ascii="EB Garamond 12" w:hAnsi="EB Garamond 12" w:cs="Adobe Hebrew"/>
          <w:i/>
          <w:iCs/>
          <w:szCs w:val="20"/>
        </w:rPr>
        <w:t xml:space="preserve">skripsi </w:t>
      </w:r>
      <w:r w:rsidRPr="002E5E80">
        <w:rPr>
          <w:rFonts w:ascii="EB Garamond 12" w:hAnsi="EB Garamond 12" w:cs="Adobe Hebrew"/>
          <w:szCs w:val="20"/>
        </w:rPr>
        <w:t xml:space="preserve">tidak diterbitkan, (Salatiga: Fakultas Dakwah IAIN Salatiga, 2012).  </w:t>
      </w:r>
    </w:p>
  </w:footnote>
  <w:footnote w:id="6">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Wallace, Antony F. C. (1956) “Revitalization movements” American Anthropologist, vol. 58, hlm. 230.</w:t>
      </w:r>
    </w:p>
  </w:footnote>
  <w:footnote w:id="7">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KBBI Online, http://kbbi.web.id/peran, akses tanggal 7 April 2017. </w:t>
      </w:r>
    </w:p>
  </w:footnote>
  <w:footnote w:id="8">
    <w:p w:rsidR="002E5E80" w:rsidRPr="002E5E80" w:rsidRDefault="002E5E80" w:rsidP="002E5E80">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 Ahmad Salabi, </w:t>
      </w:r>
      <w:r w:rsidRPr="002E5E80">
        <w:rPr>
          <w:rFonts w:ascii="EB Garamond 12" w:eastAsia="Adobe Myungjo Std M" w:hAnsi="EB Garamond 12" w:cs="Adobe Hebrew"/>
          <w:i/>
          <w:iCs/>
          <w:szCs w:val="20"/>
        </w:rPr>
        <w:t>Al Siyasah wa Al Iqtisad fi Tafkir Al Islam</w:t>
      </w:r>
      <w:r w:rsidRPr="002E5E80">
        <w:rPr>
          <w:rFonts w:ascii="EB Garamond 12" w:eastAsia="Adobe Myungjo Std M" w:hAnsi="EB Garamond 12" w:cs="Adobe Hebrew"/>
          <w:szCs w:val="20"/>
        </w:rPr>
        <w:t xml:space="preserve">, (Kairo: Maktabah al Nahdah Mishriyah, 1984), hal. 29. </w:t>
      </w:r>
    </w:p>
  </w:footnote>
  <w:footnote w:id="9">
    <w:p w:rsidR="002E5E80" w:rsidRPr="002E5E80" w:rsidRDefault="002E5E80" w:rsidP="002E5E80">
      <w:pPr>
        <w:pStyle w:val="FootnoteText"/>
        <w:ind w:firstLine="567"/>
        <w:jc w:val="both"/>
        <w:rPr>
          <w:rFonts w:ascii="EB Garamond 12" w:eastAsia="Adobe Myungjo Std M" w:hAnsi="EB Garamond 12" w:cs="Adobe Hebrew"/>
          <w:szCs w:val="20"/>
          <w:lang w:val="en-US"/>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 Mujamil Qomar</w:t>
      </w:r>
      <w:r w:rsidRPr="002E5E80">
        <w:rPr>
          <w:rFonts w:ascii="EB Garamond 12" w:eastAsia="Adobe Myungjo Std M" w:hAnsi="EB Garamond 12" w:cs="Adobe Hebrew"/>
          <w:i/>
          <w:szCs w:val="20"/>
        </w:rPr>
        <w:t>, Pesantren Dari Transformasi Metodologi Menuju Demokratisasi Institusi</w:t>
      </w:r>
      <w:r w:rsidRPr="002E5E80">
        <w:rPr>
          <w:rFonts w:ascii="EB Garamond 12" w:eastAsia="Adobe Myungjo Std M" w:hAnsi="EB Garamond 12" w:cs="Adobe Hebrew"/>
          <w:szCs w:val="20"/>
        </w:rPr>
        <w:t>, (Jakarta: Erlangga, 2002), hal.2.</w:t>
      </w:r>
    </w:p>
  </w:footnote>
  <w:footnote w:id="10">
    <w:p w:rsidR="002E5E80" w:rsidRPr="002E5E80" w:rsidRDefault="002E5E80" w:rsidP="002E5E80">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AbdulMujib, </w:t>
      </w:r>
      <w:r w:rsidRPr="002E5E80">
        <w:rPr>
          <w:rFonts w:ascii="EB Garamond 12" w:eastAsia="Adobe Myungjo Std M" w:hAnsi="EB Garamond 12" w:cs="Adobe Hebrew"/>
          <w:i/>
          <w:iCs/>
          <w:szCs w:val="20"/>
        </w:rPr>
        <w:t>Kepribadian Dalam Psikologi Islam,</w:t>
      </w:r>
      <w:r w:rsidRPr="002E5E80">
        <w:rPr>
          <w:rFonts w:ascii="EB Garamond 12" w:eastAsia="Adobe Myungjo Std M" w:hAnsi="EB Garamond 12" w:cs="Adobe Hebrew"/>
          <w:szCs w:val="20"/>
        </w:rPr>
        <w:t xml:space="preserve">(Jakarta: PT. Raja Grafindo Persada, 2006), hal. 81. </w:t>
      </w:r>
    </w:p>
  </w:footnote>
  <w:footnote w:id="11">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Jacobs, Jaques, </w:t>
      </w:r>
      <w:r w:rsidRPr="002E5E80">
        <w:rPr>
          <w:rFonts w:ascii="EB Garamond 12" w:hAnsi="EB Garamond 12" w:cs="Adobe Hebrew"/>
          <w:i/>
          <w:iCs/>
          <w:szCs w:val="20"/>
        </w:rPr>
        <w:t>Leadership</w:t>
      </w:r>
      <w:r w:rsidRPr="002E5E80">
        <w:rPr>
          <w:rFonts w:ascii="EB Garamond 12" w:hAnsi="EB Garamond 12" w:cs="Adobe Hebrew"/>
          <w:szCs w:val="20"/>
        </w:rPr>
        <w:t>, (Hawai: Happer, 1990), hlm. 28.</w:t>
      </w:r>
    </w:p>
  </w:footnote>
  <w:footnote w:id="12">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Sunindhia dan Ninik Widiyanti, </w:t>
      </w:r>
      <w:r w:rsidRPr="002E5E80">
        <w:rPr>
          <w:rFonts w:ascii="EB Garamond 12" w:hAnsi="EB Garamond 12" w:cs="Adobe Hebrew"/>
          <w:i/>
          <w:iCs/>
          <w:szCs w:val="20"/>
        </w:rPr>
        <w:t>Kepemimpinan dalam Masyarakat Modern</w:t>
      </w:r>
      <w:r w:rsidRPr="002E5E80">
        <w:rPr>
          <w:rFonts w:ascii="EB Garamond 12" w:hAnsi="EB Garamond 12" w:cs="Adobe Hebrew"/>
          <w:szCs w:val="20"/>
        </w:rPr>
        <w:t xml:space="preserve">, (Jakarta: Rineka Cipta, 1993),hlm. 4. </w:t>
      </w:r>
    </w:p>
  </w:footnote>
  <w:footnote w:id="13">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Onong Uchjana Effendy, </w:t>
      </w:r>
      <w:r w:rsidRPr="002E5E80">
        <w:rPr>
          <w:rFonts w:ascii="EB Garamond 12" w:hAnsi="EB Garamond 12" w:cs="Adobe Hebrew"/>
          <w:i/>
          <w:iCs/>
          <w:szCs w:val="20"/>
        </w:rPr>
        <w:t xml:space="preserve">Human Relations and Public Relation, </w:t>
      </w:r>
      <w:r w:rsidRPr="002E5E80">
        <w:rPr>
          <w:rFonts w:ascii="EB Garamond 12" w:hAnsi="EB Garamond 12" w:cs="Adobe Hebrew"/>
          <w:szCs w:val="20"/>
        </w:rPr>
        <w:t xml:space="preserve">(Bandung: Mandar Maju, 2009), hlm. 198. </w:t>
      </w:r>
    </w:p>
  </w:footnote>
  <w:footnote w:id="14">
    <w:p w:rsidR="002E5E80" w:rsidRPr="002E5E80" w:rsidRDefault="002E5E80" w:rsidP="002E5E80">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 Burhan Bungin, </w:t>
      </w:r>
      <w:r w:rsidRPr="002E5E80">
        <w:rPr>
          <w:rFonts w:ascii="EB Garamond 12" w:eastAsia="Adobe Myungjo Std M" w:hAnsi="EB Garamond 12" w:cs="Adobe Hebrew"/>
          <w:i/>
          <w:szCs w:val="20"/>
        </w:rPr>
        <w:t xml:space="preserve">Metode Penelitian Sosial: Format Kuantitatif dan Kualitatif, </w:t>
      </w:r>
      <w:r w:rsidRPr="002E5E80">
        <w:rPr>
          <w:rFonts w:ascii="EB Garamond 12" w:eastAsia="Adobe Myungjo Std M" w:hAnsi="EB Garamond 12" w:cs="Adobe Hebrew"/>
          <w:szCs w:val="20"/>
        </w:rPr>
        <w:t>(Surabaya: Airlangga University, 2001), hal. 29.</w:t>
      </w:r>
    </w:p>
  </w:footnote>
  <w:footnote w:id="15">
    <w:p w:rsidR="002E5E80" w:rsidRPr="002E5E80" w:rsidRDefault="002E5E80" w:rsidP="002E5E80">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Sugiyono,  </w:t>
      </w:r>
      <w:r w:rsidRPr="002E5E80">
        <w:rPr>
          <w:rFonts w:ascii="EB Garamond 12" w:eastAsia="Adobe Myungjo Std M" w:hAnsi="EB Garamond 12" w:cs="Adobe Hebrew"/>
          <w:i/>
          <w:szCs w:val="20"/>
        </w:rPr>
        <w:t>Metode Penelitian Pendidikan: Pendekatan Kuantitatif, Kualitatif, dan R &amp; D,</w:t>
      </w:r>
      <w:r w:rsidRPr="002E5E80">
        <w:rPr>
          <w:rFonts w:ascii="EB Garamond 12" w:eastAsia="Adobe Myungjo Std M" w:hAnsi="EB Garamond 12" w:cs="Adobe Hebrew"/>
          <w:szCs w:val="20"/>
        </w:rPr>
        <w:t xml:space="preserve"> (Bandung: Alfabeta 2007), hal. 3.</w:t>
      </w:r>
    </w:p>
  </w:footnote>
  <w:footnote w:id="16">
    <w:p w:rsidR="002E5E80" w:rsidRPr="002E5E80" w:rsidRDefault="002E5E80" w:rsidP="002E5E80">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Saifuddin Azwar, </w:t>
      </w:r>
      <w:r w:rsidRPr="002E5E80">
        <w:rPr>
          <w:rFonts w:ascii="EB Garamond 12" w:eastAsia="Adobe Myungjo Std M" w:hAnsi="EB Garamond 12" w:cs="Adobe Hebrew"/>
          <w:i/>
          <w:szCs w:val="20"/>
        </w:rPr>
        <w:t xml:space="preserve">Metode Penelitian, </w:t>
      </w:r>
      <w:r w:rsidRPr="002E5E80">
        <w:rPr>
          <w:rFonts w:ascii="EB Garamond 12" w:eastAsia="Adobe Myungjo Std M" w:hAnsi="EB Garamond 12" w:cs="Adobe Hebrew"/>
          <w:szCs w:val="20"/>
        </w:rPr>
        <w:t>(Yogyakarta: Pustaka Pelajar, 2010), hal. 36.</w:t>
      </w:r>
    </w:p>
  </w:footnote>
  <w:footnote w:id="17">
    <w:p w:rsidR="002E5E80" w:rsidRPr="002E5E80" w:rsidRDefault="002E5E80" w:rsidP="00147F8E">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szCs w:val="20"/>
        </w:rPr>
        <w:t xml:space="preserve"> Haris Herdiansyah, </w:t>
      </w:r>
      <w:r w:rsidRPr="002E5E80">
        <w:rPr>
          <w:rFonts w:ascii="EB Garamond 12" w:eastAsia="Adobe Myungjo Std M" w:hAnsi="EB Garamond 12" w:cs="Adobe Hebrew"/>
          <w:i/>
          <w:szCs w:val="20"/>
        </w:rPr>
        <w:t>Metodelogi Penelitian Kualitatif</w:t>
      </w:r>
      <w:r w:rsidRPr="002E5E80">
        <w:rPr>
          <w:rFonts w:ascii="EB Garamond 12" w:eastAsia="Adobe Myungjo Std M" w:hAnsi="EB Garamond 12" w:cs="Adobe Hebrew"/>
          <w:szCs w:val="20"/>
        </w:rPr>
        <w:t>,( Jakarta: Salemba Humanika, 2010), hal  48.</w:t>
      </w:r>
    </w:p>
  </w:footnote>
  <w:footnote w:id="18">
    <w:p w:rsidR="002E5E80" w:rsidRPr="002E5E80" w:rsidRDefault="002E5E80" w:rsidP="002E5E80">
      <w:pPr>
        <w:pStyle w:val="FootnoteText"/>
        <w:ind w:firstLine="567"/>
        <w:jc w:val="both"/>
        <w:rPr>
          <w:rFonts w:ascii="EB Garamond 12" w:eastAsia="Adobe Myungjo Std M" w:hAnsi="EB Garamond 12" w:cs="Adobe Hebrew"/>
          <w:szCs w:val="20"/>
        </w:rPr>
      </w:pPr>
      <w:r w:rsidRPr="002E5E80">
        <w:rPr>
          <w:rStyle w:val="FootnoteReference"/>
          <w:rFonts w:ascii="EB Garamond 12" w:eastAsia="Adobe Myungjo Std M" w:hAnsi="EB Garamond 12" w:cs="Adobe Hebrew"/>
          <w:szCs w:val="20"/>
        </w:rPr>
        <w:footnoteRef/>
      </w:r>
      <w:r w:rsidRPr="002E5E80">
        <w:rPr>
          <w:rFonts w:ascii="EB Garamond 12" w:eastAsia="Adobe Myungjo Std M" w:hAnsi="EB Garamond 12" w:cs="Adobe Hebrew"/>
          <w:i/>
          <w:szCs w:val="20"/>
        </w:rPr>
        <w:t xml:space="preserve">Ibid., </w:t>
      </w:r>
      <w:r w:rsidRPr="002E5E80">
        <w:rPr>
          <w:rFonts w:ascii="EB Garamond 12" w:eastAsia="Adobe Myungjo Std M" w:hAnsi="EB Garamond 12" w:cs="Adobe Hebrew"/>
          <w:szCs w:val="20"/>
        </w:rPr>
        <w:t>hal. 334.</w:t>
      </w:r>
    </w:p>
  </w:footnote>
  <w:footnote w:id="19">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Wawancara dengan Kiai Ma’mun, tanggal 12 September 2016. </w:t>
      </w:r>
    </w:p>
  </w:footnote>
  <w:footnote w:id="20">
    <w:p w:rsidR="002E5E80" w:rsidRPr="002E5E80" w:rsidRDefault="002E5E80" w:rsidP="002E5E80">
      <w:pPr>
        <w:pStyle w:val="FootnoteText"/>
        <w:ind w:firstLine="567"/>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Syarqawi Dhofir, </w:t>
      </w:r>
      <w:r w:rsidRPr="002E5E80">
        <w:rPr>
          <w:rFonts w:ascii="EB Garamond 12" w:hAnsi="EB Garamond 12" w:cs="Adobe Hebrew"/>
          <w:i/>
          <w:iCs/>
          <w:szCs w:val="20"/>
        </w:rPr>
        <w:t>Kekuasaan dan Otoritas Kiai dalam Pondok Pesantren</w:t>
      </w:r>
      <w:r w:rsidRPr="002E5E80">
        <w:rPr>
          <w:rFonts w:ascii="EB Garamond 12" w:hAnsi="EB Garamond 12" w:cs="Adobe Hebrew"/>
          <w:szCs w:val="20"/>
        </w:rPr>
        <w:t xml:space="preserve">, (Surabaya: UNESA Press, 2004), hal. 12. </w:t>
      </w:r>
    </w:p>
  </w:footnote>
  <w:footnote w:id="21">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Yasmadi, </w:t>
      </w:r>
      <w:r w:rsidRPr="002E5E80">
        <w:rPr>
          <w:rFonts w:ascii="EB Garamond 12" w:hAnsi="EB Garamond 12" w:cs="Adobe Hebrew"/>
          <w:i/>
          <w:iCs/>
          <w:szCs w:val="20"/>
        </w:rPr>
        <w:t>Modernisasi Pesantren:  Kritik  Nurcholish Madjid  terhadap Pendidikan Islam Tradisional</w:t>
      </w:r>
      <w:r w:rsidRPr="002E5E80">
        <w:rPr>
          <w:rFonts w:ascii="EB Garamond 12" w:hAnsi="EB Garamond 12" w:cs="Adobe Hebrew"/>
          <w:szCs w:val="20"/>
        </w:rPr>
        <w:t xml:space="preserve">, (Jakarta: Ciputat Press, 2002), hal. 65-67. </w:t>
      </w:r>
    </w:p>
  </w:footnote>
  <w:footnote w:id="22">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t>
      </w:r>
      <w:r w:rsidRPr="002E5E80">
        <w:rPr>
          <w:rFonts w:ascii="EB Garamond 12" w:eastAsia="Calibri" w:hAnsi="EB Garamond 12" w:cs="Adobe Hebrew"/>
          <w:color w:val="201E1E"/>
          <w:spacing w:val="1"/>
          <w:szCs w:val="20"/>
        </w:rPr>
        <w:t>Hiroko</w:t>
      </w:r>
      <w:r w:rsidRPr="002E5E80">
        <w:rPr>
          <w:rFonts w:ascii="EB Garamond 12" w:hAnsi="EB Garamond 12" w:cs="Adobe Hebrew"/>
          <w:color w:val="201E1E"/>
          <w:spacing w:val="1"/>
          <w:szCs w:val="20"/>
        </w:rPr>
        <w:t xml:space="preserve"> </w:t>
      </w:r>
      <w:r w:rsidRPr="002E5E80">
        <w:rPr>
          <w:rFonts w:ascii="EB Garamond 12" w:eastAsia="Calibri" w:hAnsi="EB Garamond 12" w:cs="Adobe Hebrew"/>
          <w:color w:val="201E1E"/>
          <w:spacing w:val="1"/>
          <w:szCs w:val="20"/>
        </w:rPr>
        <w:t>Horikoshi</w:t>
      </w:r>
      <w:r w:rsidRPr="002E5E80">
        <w:rPr>
          <w:rFonts w:ascii="EB Garamond 12" w:eastAsia="Calibri" w:hAnsi="EB Garamond 12" w:cs="Adobe Hebrew"/>
          <w:color w:val="201E1E"/>
          <w:szCs w:val="20"/>
        </w:rPr>
        <w:t>,</w:t>
      </w:r>
      <w:r w:rsidRPr="002E5E80">
        <w:rPr>
          <w:rFonts w:ascii="EB Garamond 12" w:hAnsi="EB Garamond 12" w:cs="Adobe Hebrew"/>
          <w:color w:val="201E1E"/>
          <w:szCs w:val="20"/>
        </w:rPr>
        <w:t xml:space="preserve"> </w:t>
      </w:r>
      <w:r w:rsidRPr="002E5E80">
        <w:rPr>
          <w:rFonts w:ascii="EB Garamond 12" w:eastAsia="Calibri" w:hAnsi="EB Garamond 12" w:cs="Adobe Hebrew"/>
          <w:i/>
          <w:iCs/>
          <w:color w:val="201E1E"/>
          <w:spacing w:val="1"/>
          <w:szCs w:val="20"/>
        </w:rPr>
        <w:t>Kia</w:t>
      </w:r>
      <w:r w:rsidRPr="002E5E80">
        <w:rPr>
          <w:rFonts w:ascii="EB Garamond 12" w:eastAsia="Calibri" w:hAnsi="EB Garamond 12" w:cs="Adobe Hebrew"/>
          <w:i/>
          <w:iCs/>
          <w:color w:val="201E1E"/>
          <w:szCs w:val="20"/>
        </w:rPr>
        <w:t>i</w:t>
      </w:r>
      <w:r w:rsidRPr="002E5E80">
        <w:rPr>
          <w:rFonts w:ascii="EB Garamond 12" w:eastAsia="Calibri" w:hAnsi="EB Garamond 12" w:cs="Adobe Hebrew"/>
          <w:i/>
          <w:iCs/>
          <w:color w:val="201E1E"/>
          <w:spacing w:val="23"/>
          <w:szCs w:val="20"/>
        </w:rPr>
        <w:t xml:space="preserve"> </w:t>
      </w:r>
      <w:r w:rsidRPr="002E5E80">
        <w:rPr>
          <w:rFonts w:ascii="EB Garamond 12" w:eastAsia="Calibri" w:hAnsi="EB Garamond 12" w:cs="Adobe Hebrew"/>
          <w:i/>
          <w:iCs/>
          <w:color w:val="201E1E"/>
          <w:spacing w:val="1"/>
          <w:szCs w:val="20"/>
        </w:rPr>
        <w:t>da</w:t>
      </w:r>
      <w:r w:rsidRPr="002E5E80">
        <w:rPr>
          <w:rFonts w:ascii="EB Garamond 12" w:eastAsia="Calibri" w:hAnsi="EB Garamond 12" w:cs="Adobe Hebrew"/>
          <w:i/>
          <w:iCs/>
          <w:color w:val="201E1E"/>
          <w:szCs w:val="20"/>
        </w:rPr>
        <w:t>n</w:t>
      </w:r>
      <w:r w:rsidRPr="002E5E80">
        <w:rPr>
          <w:rFonts w:ascii="EB Garamond 12" w:eastAsia="Calibri" w:hAnsi="EB Garamond 12" w:cs="Adobe Hebrew"/>
          <w:i/>
          <w:iCs/>
          <w:color w:val="201E1E"/>
          <w:spacing w:val="17"/>
          <w:szCs w:val="20"/>
        </w:rPr>
        <w:t xml:space="preserve"> </w:t>
      </w:r>
      <w:r w:rsidRPr="002E5E80">
        <w:rPr>
          <w:rFonts w:ascii="EB Garamond 12" w:eastAsia="Calibri" w:hAnsi="EB Garamond 12" w:cs="Adobe Hebrew"/>
          <w:i/>
          <w:iCs/>
          <w:color w:val="201E1E"/>
          <w:spacing w:val="1"/>
          <w:szCs w:val="20"/>
        </w:rPr>
        <w:t>Perubaha</w:t>
      </w:r>
      <w:r w:rsidRPr="002E5E80">
        <w:rPr>
          <w:rFonts w:ascii="EB Garamond 12" w:eastAsia="Calibri" w:hAnsi="EB Garamond 12" w:cs="Adobe Hebrew"/>
          <w:i/>
          <w:iCs/>
          <w:color w:val="201E1E"/>
          <w:szCs w:val="20"/>
        </w:rPr>
        <w:t>n</w:t>
      </w:r>
      <w:r w:rsidRPr="002E5E80">
        <w:rPr>
          <w:rFonts w:ascii="EB Garamond 12" w:eastAsia="Calibri" w:hAnsi="EB Garamond 12" w:cs="Adobe Hebrew"/>
          <w:i/>
          <w:iCs/>
          <w:color w:val="201E1E"/>
          <w:spacing w:val="-2"/>
          <w:szCs w:val="20"/>
        </w:rPr>
        <w:t xml:space="preserve"> </w:t>
      </w:r>
      <w:r w:rsidRPr="002E5E80">
        <w:rPr>
          <w:rFonts w:ascii="EB Garamond 12" w:eastAsia="Calibri" w:hAnsi="EB Garamond 12" w:cs="Adobe Hebrew"/>
          <w:i/>
          <w:iCs/>
          <w:color w:val="201E1E"/>
          <w:spacing w:val="1"/>
          <w:szCs w:val="20"/>
        </w:rPr>
        <w:t>Sosia</w:t>
      </w:r>
      <w:r w:rsidRPr="002E5E80">
        <w:rPr>
          <w:rFonts w:ascii="EB Garamond 12" w:eastAsia="Calibri" w:hAnsi="EB Garamond 12" w:cs="Adobe Hebrew"/>
          <w:i/>
          <w:iCs/>
          <w:color w:val="201E1E"/>
          <w:szCs w:val="20"/>
        </w:rPr>
        <w:t>l</w:t>
      </w:r>
      <w:r w:rsidRPr="002E5E80">
        <w:rPr>
          <w:rFonts w:ascii="EB Garamond 12" w:eastAsia="Calibri" w:hAnsi="EB Garamond 12" w:cs="Adobe Hebrew"/>
          <w:color w:val="201E1E"/>
          <w:szCs w:val="20"/>
        </w:rPr>
        <w:t>,</w:t>
      </w:r>
      <w:r w:rsidRPr="002E5E80">
        <w:rPr>
          <w:rFonts w:ascii="EB Garamond 12" w:hAnsi="EB Garamond 12" w:cs="Adobe Hebrew"/>
          <w:color w:val="201E1E"/>
          <w:szCs w:val="20"/>
        </w:rPr>
        <w:t xml:space="preserve"> </w:t>
      </w:r>
      <w:r w:rsidRPr="002E5E80">
        <w:rPr>
          <w:rFonts w:ascii="EB Garamond 12" w:hAnsi="EB Garamond 12" w:cs="Adobe Hebrew"/>
          <w:color w:val="201E1E"/>
          <w:spacing w:val="47"/>
          <w:szCs w:val="20"/>
        </w:rPr>
        <w:t>(</w:t>
      </w:r>
      <w:r w:rsidRPr="002E5E80">
        <w:rPr>
          <w:rFonts w:ascii="EB Garamond 12" w:eastAsia="Calibri" w:hAnsi="EB Garamond 12" w:cs="Adobe Hebrew"/>
          <w:color w:val="201E1E"/>
          <w:szCs w:val="20"/>
        </w:rPr>
        <w:t xml:space="preserve">Jakarta: </w:t>
      </w:r>
      <w:r w:rsidRPr="002E5E80">
        <w:rPr>
          <w:rFonts w:ascii="EB Garamond 12" w:eastAsia="Calibri" w:hAnsi="EB Garamond 12" w:cs="Adobe Hebrew"/>
          <w:color w:val="201E1E"/>
          <w:spacing w:val="2"/>
          <w:szCs w:val="20"/>
        </w:rPr>
        <w:t xml:space="preserve"> </w:t>
      </w:r>
      <w:r w:rsidRPr="002E5E80">
        <w:rPr>
          <w:rFonts w:ascii="EB Garamond 12" w:hAnsi="EB Garamond 12" w:cs="Adobe Hebrew"/>
          <w:color w:val="201E1E"/>
          <w:w w:val="101"/>
          <w:szCs w:val="20"/>
        </w:rPr>
        <w:t>P3M,</w:t>
      </w:r>
      <w:r w:rsidRPr="002E5E80">
        <w:rPr>
          <w:rFonts w:ascii="EB Garamond 12" w:eastAsia="Calibri" w:hAnsi="EB Garamond 12" w:cs="Adobe Hebrew"/>
          <w:color w:val="201E1E"/>
          <w:w w:val="101"/>
          <w:szCs w:val="20"/>
        </w:rPr>
        <w:t xml:space="preserve"> </w:t>
      </w:r>
      <w:r w:rsidRPr="002E5E80">
        <w:rPr>
          <w:rFonts w:ascii="EB Garamond 12" w:hAnsi="EB Garamond 12" w:cs="Adobe Hebrew"/>
          <w:szCs w:val="20"/>
        </w:rPr>
        <w:t xml:space="preserve">1987), hal. 47. </w:t>
      </w:r>
    </w:p>
  </w:footnote>
  <w:footnote w:id="23">
    <w:p w:rsidR="002E5E80" w:rsidRPr="002E5E80" w:rsidRDefault="002E5E80" w:rsidP="002E5E80">
      <w:pPr>
        <w:pStyle w:val="FootnoteText"/>
        <w:ind w:firstLine="567"/>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Clifford Geertz, “The Javanese Kijaji: The Changing Role of a Cultural Broker”, dalam </w:t>
      </w:r>
      <w:r w:rsidRPr="002E5E80">
        <w:rPr>
          <w:rFonts w:ascii="EB Garamond 12" w:hAnsi="EB Garamond 12" w:cs="Adobe Hebrew"/>
          <w:i/>
          <w:iCs/>
          <w:szCs w:val="20"/>
        </w:rPr>
        <w:t>Comparative Studies in Society and History</w:t>
      </w:r>
      <w:r w:rsidRPr="002E5E80">
        <w:rPr>
          <w:rFonts w:ascii="EB Garamond 12" w:hAnsi="EB Garamond 12" w:cs="Adobe Hebrew"/>
          <w:szCs w:val="20"/>
        </w:rPr>
        <w:t>, Vol. 2, No. 2 (1960), hal. 229-230.</w:t>
      </w:r>
    </w:p>
  </w:footnote>
  <w:footnote w:id="24">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Abdurrahman Wahid, dalam “Kata Pengantar”, dalam </w:t>
      </w:r>
      <w:r w:rsidRPr="002E5E80">
        <w:rPr>
          <w:rFonts w:ascii="EB Garamond 12" w:eastAsia="Calibri" w:hAnsi="EB Garamond 12" w:cs="Adobe Hebrew"/>
          <w:color w:val="201E1E"/>
          <w:spacing w:val="1"/>
          <w:szCs w:val="20"/>
        </w:rPr>
        <w:t>Hiroko</w:t>
      </w:r>
      <w:r w:rsidRPr="002E5E80">
        <w:rPr>
          <w:rFonts w:ascii="EB Garamond 12" w:hAnsi="EB Garamond 12" w:cs="Adobe Hebrew"/>
          <w:color w:val="201E1E"/>
          <w:spacing w:val="1"/>
          <w:szCs w:val="20"/>
        </w:rPr>
        <w:t xml:space="preserve"> </w:t>
      </w:r>
      <w:r w:rsidRPr="002E5E80">
        <w:rPr>
          <w:rFonts w:ascii="EB Garamond 12" w:eastAsia="Calibri" w:hAnsi="EB Garamond 12" w:cs="Adobe Hebrew"/>
          <w:color w:val="201E1E"/>
          <w:spacing w:val="1"/>
          <w:szCs w:val="20"/>
        </w:rPr>
        <w:t>Horikoshi</w:t>
      </w:r>
      <w:r w:rsidRPr="002E5E80">
        <w:rPr>
          <w:rFonts w:ascii="EB Garamond 12" w:eastAsia="Calibri" w:hAnsi="EB Garamond 12" w:cs="Adobe Hebrew"/>
          <w:color w:val="201E1E"/>
          <w:szCs w:val="20"/>
        </w:rPr>
        <w:t>,</w:t>
      </w:r>
      <w:r w:rsidRPr="002E5E80">
        <w:rPr>
          <w:rFonts w:ascii="EB Garamond 12" w:hAnsi="EB Garamond 12" w:cs="Adobe Hebrew"/>
          <w:color w:val="201E1E"/>
          <w:szCs w:val="20"/>
        </w:rPr>
        <w:t xml:space="preserve"> </w:t>
      </w:r>
      <w:r w:rsidRPr="002E5E80">
        <w:rPr>
          <w:rFonts w:ascii="EB Garamond 12" w:eastAsia="Calibri" w:hAnsi="EB Garamond 12" w:cs="Adobe Hebrew"/>
          <w:i/>
          <w:iCs/>
          <w:color w:val="201E1E"/>
          <w:spacing w:val="1"/>
          <w:szCs w:val="20"/>
        </w:rPr>
        <w:t>Kia</w:t>
      </w:r>
      <w:r w:rsidRPr="002E5E80">
        <w:rPr>
          <w:rFonts w:ascii="EB Garamond 12" w:eastAsia="Calibri" w:hAnsi="EB Garamond 12" w:cs="Adobe Hebrew"/>
          <w:i/>
          <w:iCs/>
          <w:color w:val="201E1E"/>
          <w:szCs w:val="20"/>
        </w:rPr>
        <w:t>i</w:t>
      </w:r>
      <w:r w:rsidRPr="002E5E80">
        <w:rPr>
          <w:rFonts w:ascii="EB Garamond 12" w:eastAsia="Calibri" w:hAnsi="EB Garamond 12" w:cs="Adobe Hebrew"/>
          <w:i/>
          <w:iCs/>
          <w:color w:val="201E1E"/>
          <w:spacing w:val="23"/>
          <w:szCs w:val="20"/>
        </w:rPr>
        <w:t xml:space="preserve"> </w:t>
      </w:r>
      <w:r w:rsidRPr="002E5E80">
        <w:rPr>
          <w:rFonts w:ascii="EB Garamond 12" w:eastAsia="Calibri" w:hAnsi="EB Garamond 12" w:cs="Adobe Hebrew"/>
          <w:i/>
          <w:iCs/>
          <w:color w:val="201E1E"/>
          <w:spacing w:val="1"/>
          <w:szCs w:val="20"/>
        </w:rPr>
        <w:t>da</w:t>
      </w:r>
      <w:r w:rsidRPr="002E5E80">
        <w:rPr>
          <w:rFonts w:ascii="EB Garamond 12" w:eastAsia="Calibri" w:hAnsi="EB Garamond 12" w:cs="Adobe Hebrew"/>
          <w:i/>
          <w:iCs/>
          <w:color w:val="201E1E"/>
          <w:szCs w:val="20"/>
        </w:rPr>
        <w:t>n</w:t>
      </w:r>
      <w:r w:rsidRPr="002E5E80">
        <w:rPr>
          <w:rFonts w:ascii="EB Garamond 12" w:eastAsia="Calibri" w:hAnsi="EB Garamond 12" w:cs="Adobe Hebrew"/>
          <w:i/>
          <w:iCs/>
          <w:color w:val="201E1E"/>
          <w:spacing w:val="17"/>
          <w:szCs w:val="20"/>
        </w:rPr>
        <w:t xml:space="preserve"> </w:t>
      </w:r>
      <w:r w:rsidRPr="002E5E80">
        <w:rPr>
          <w:rFonts w:ascii="EB Garamond 12" w:eastAsia="Calibri" w:hAnsi="EB Garamond 12" w:cs="Adobe Hebrew"/>
          <w:i/>
          <w:iCs/>
          <w:color w:val="201E1E"/>
          <w:spacing w:val="1"/>
          <w:szCs w:val="20"/>
        </w:rPr>
        <w:t>Perubaha</w:t>
      </w:r>
      <w:r w:rsidRPr="002E5E80">
        <w:rPr>
          <w:rFonts w:ascii="EB Garamond 12" w:eastAsia="Calibri" w:hAnsi="EB Garamond 12" w:cs="Adobe Hebrew"/>
          <w:i/>
          <w:iCs/>
          <w:color w:val="201E1E"/>
          <w:szCs w:val="20"/>
        </w:rPr>
        <w:t>n</w:t>
      </w:r>
      <w:r w:rsidRPr="002E5E80">
        <w:rPr>
          <w:rFonts w:ascii="EB Garamond 12" w:eastAsia="Calibri" w:hAnsi="EB Garamond 12" w:cs="Adobe Hebrew"/>
          <w:i/>
          <w:iCs/>
          <w:color w:val="201E1E"/>
          <w:spacing w:val="-2"/>
          <w:szCs w:val="20"/>
        </w:rPr>
        <w:t xml:space="preserve"> </w:t>
      </w:r>
      <w:r w:rsidRPr="002E5E80">
        <w:rPr>
          <w:rFonts w:ascii="EB Garamond 12" w:eastAsia="Calibri" w:hAnsi="EB Garamond 12" w:cs="Adobe Hebrew"/>
          <w:i/>
          <w:iCs/>
          <w:color w:val="201E1E"/>
          <w:spacing w:val="1"/>
          <w:szCs w:val="20"/>
        </w:rPr>
        <w:t>Sosia</w:t>
      </w:r>
      <w:r w:rsidRPr="002E5E80">
        <w:rPr>
          <w:rFonts w:ascii="EB Garamond 12" w:eastAsia="Calibri" w:hAnsi="EB Garamond 12" w:cs="Adobe Hebrew"/>
          <w:i/>
          <w:iCs/>
          <w:color w:val="201E1E"/>
          <w:szCs w:val="20"/>
        </w:rPr>
        <w:t>l</w:t>
      </w:r>
      <w:r w:rsidRPr="002E5E80">
        <w:rPr>
          <w:rFonts w:ascii="EB Garamond 12" w:hAnsi="EB Garamond 12" w:cs="Adobe Hebrew"/>
          <w:szCs w:val="20"/>
        </w:rPr>
        <w:t>, hal. xvii.</w:t>
      </w:r>
    </w:p>
  </w:footnote>
  <w:footnote w:id="25">
    <w:p w:rsidR="002E5E80" w:rsidRPr="002E5E80" w:rsidRDefault="002E5E80" w:rsidP="002E5E80">
      <w:pPr>
        <w:pStyle w:val="FootnoteText"/>
        <w:ind w:firstLine="567"/>
        <w:jc w:val="both"/>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Wawancara dengan Kiai Ammad, tanggal 12 September 2016. </w:t>
      </w:r>
    </w:p>
  </w:footnote>
  <w:footnote w:id="26">
    <w:p w:rsidR="002E5E80" w:rsidRPr="002E5E80" w:rsidRDefault="002E5E80" w:rsidP="002E5E80">
      <w:pPr>
        <w:pStyle w:val="FootnoteText"/>
        <w:ind w:firstLine="567"/>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Wawancara dengan Kiai Ammad, tanggal 12 September 2016.</w:t>
      </w:r>
    </w:p>
  </w:footnote>
  <w:footnote w:id="27">
    <w:p w:rsidR="002E5E80" w:rsidRPr="002E5E80" w:rsidRDefault="002E5E80" w:rsidP="002E5E80">
      <w:pPr>
        <w:pStyle w:val="FootnoteText"/>
        <w:ind w:firstLine="567"/>
        <w:rPr>
          <w:rFonts w:ascii="EB Garamond 12" w:hAnsi="EB Garamond 12" w:cs="Adobe Hebrew"/>
          <w:szCs w:val="20"/>
        </w:rPr>
      </w:pPr>
      <w:r w:rsidRPr="002E5E80">
        <w:rPr>
          <w:rStyle w:val="FootnoteReference"/>
          <w:rFonts w:ascii="EB Garamond 12" w:hAnsi="EB Garamond 12" w:cs="Adobe Hebrew"/>
          <w:szCs w:val="20"/>
        </w:rPr>
        <w:footnoteRef/>
      </w:r>
      <w:r w:rsidRPr="002E5E80">
        <w:rPr>
          <w:rFonts w:ascii="EB Garamond 12" w:hAnsi="EB Garamond 12" w:cs="Adobe Hebrew"/>
          <w:szCs w:val="20"/>
        </w:rPr>
        <w:t xml:space="preserve"> Hiroko Horikoshi, </w:t>
      </w:r>
      <w:r w:rsidRPr="002E5E80">
        <w:rPr>
          <w:rFonts w:ascii="EB Garamond 12" w:hAnsi="EB Garamond 12" w:cs="Adobe Hebrew"/>
          <w:i/>
          <w:iCs/>
          <w:szCs w:val="20"/>
        </w:rPr>
        <w:t>Kiai dan Perubahan Sosial</w:t>
      </w:r>
      <w:r w:rsidRPr="002E5E80">
        <w:rPr>
          <w:rFonts w:ascii="EB Garamond 12" w:hAnsi="EB Garamond 12" w:cs="Adobe Hebrew"/>
          <w:szCs w:val="20"/>
        </w:rPr>
        <w:t>, hal. 114.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2A" w:rsidRPr="0013561B" w:rsidRDefault="00662DB0" w:rsidP="00662DB0">
    <w:pPr>
      <w:pStyle w:val="Header"/>
      <w:rPr>
        <w:sz w:val="20"/>
        <w:szCs w:val="20"/>
        <w:lang w:val="en-US"/>
      </w:rPr>
    </w:pPr>
    <w:r w:rsidRPr="00662DB0">
      <w:rPr>
        <w:sz w:val="20"/>
        <w:szCs w:val="20"/>
        <w:lang w:val="en-US"/>
      </w:rPr>
      <w:t>M. Toriq Nurmadiansyah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2A" w:rsidRPr="00662DB0" w:rsidRDefault="00CA262A" w:rsidP="00662DB0">
    <w:pPr>
      <w:pStyle w:val="Header"/>
      <w:tabs>
        <w:tab w:val="clear" w:pos="4680"/>
        <w:tab w:val="clear" w:pos="9360"/>
        <w:tab w:val="right" w:pos="9639"/>
      </w:tabs>
      <w:rPr>
        <w:sz w:val="20"/>
        <w:szCs w:val="20"/>
        <w:lang w:val="en-US"/>
      </w:rPr>
    </w:pPr>
    <w:r w:rsidRPr="0013561B">
      <w:rPr>
        <w:sz w:val="20"/>
        <w:szCs w:val="20"/>
      </w:rPr>
      <w:tab/>
    </w:r>
    <w:r w:rsidR="00662DB0" w:rsidRPr="00662DB0">
      <w:rPr>
        <w:sz w:val="20"/>
        <w:szCs w:val="20"/>
      </w:rPr>
      <w:t>Pluralisme dalam Tantangan Era Distursip:</w:t>
    </w:r>
    <w:r w:rsidR="009952B5" w:rsidRPr="009952B5">
      <w:rPr>
        <w:sz w:val="20"/>
        <w:szCs w:val="20"/>
      </w:rPr>
      <w:t xml:space="preserve"> </w:t>
    </w:r>
    <w:r w:rsidR="00662DB0">
      <w:rPr>
        <w:sz w:val="20"/>
        <w:szCs w:val="2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2A" w:rsidRDefault="00CA262A" w:rsidP="0013561B">
    <w:pPr>
      <w:pStyle w:val="Header"/>
      <w:tabs>
        <w:tab w:val="clear" w:pos="4680"/>
        <w:tab w:val="clear" w:pos="9360"/>
        <w:tab w:val="right" w:pos="9639"/>
      </w:tabs>
      <w:rPr>
        <w:b/>
        <w:bCs/>
        <w:noProof/>
        <w:sz w:val="20"/>
        <w:szCs w:val="20"/>
        <w:lang w:val="en-US"/>
      </w:rPr>
    </w:pPr>
    <w:r w:rsidRPr="009B3007">
      <w:rPr>
        <w:b/>
        <w:bCs/>
        <w:noProof/>
        <w:sz w:val="20"/>
        <w:szCs w:val="20"/>
        <w:lang w:val="en-US"/>
      </w:rPr>
      <w:t>APLIKASIA: Jurnal Aplikasi Ilmu-ilmu Agama</w:t>
    </w:r>
    <w:r>
      <w:rPr>
        <w:b/>
        <w:bCs/>
        <w:noProof/>
        <w:sz w:val="20"/>
        <w:szCs w:val="20"/>
        <w:lang w:val="en-US"/>
      </w:rPr>
      <w:tab/>
    </w:r>
    <w:r w:rsidRPr="009B3007">
      <w:rPr>
        <w:noProof/>
        <w:sz w:val="20"/>
        <w:szCs w:val="20"/>
        <w:lang w:val="en-US"/>
      </w:rPr>
      <w:t>ISSN 1411-8777</w:t>
    </w:r>
    <w:r>
      <w:rPr>
        <w:noProof/>
        <w:sz w:val="20"/>
        <w:szCs w:val="20"/>
        <w:lang w:val="en-US"/>
      </w:rPr>
      <w:t xml:space="preserve"> | </w:t>
    </w:r>
    <w:r w:rsidRPr="00DE7B93">
      <w:rPr>
        <w:noProof/>
        <w:sz w:val="20"/>
        <w:szCs w:val="20"/>
        <w:lang w:val="en-US"/>
      </w:rPr>
      <w:t>EISSN 2598-2176</w:t>
    </w:r>
  </w:p>
  <w:p w:rsidR="00CA262A" w:rsidRPr="0013561B" w:rsidRDefault="00CA262A" w:rsidP="00662DB0">
    <w:pPr>
      <w:pStyle w:val="Header"/>
      <w:tabs>
        <w:tab w:val="clear" w:pos="4680"/>
        <w:tab w:val="clear" w:pos="9360"/>
        <w:tab w:val="right" w:pos="9639"/>
      </w:tabs>
      <w:rPr>
        <w:sz w:val="20"/>
        <w:szCs w:val="20"/>
        <w:lang w:val="en-US"/>
      </w:rPr>
    </w:pPr>
    <w:r>
      <w:rPr>
        <w:sz w:val="20"/>
        <w:szCs w:val="20"/>
        <w:lang w:val="en-US"/>
      </w:rPr>
      <w:t>Volume 1</w:t>
    </w:r>
    <w:r w:rsidR="00307610">
      <w:rPr>
        <w:sz w:val="20"/>
        <w:szCs w:val="20"/>
        <w:lang w:val="en-US"/>
      </w:rPr>
      <w:t>8</w:t>
    </w:r>
    <w:r>
      <w:rPr>
        <w:sz w:val="20"/>
        <w:szCs w:val="20"/>
        <w:lang w:val="en-US"/>
      </w:rPr>
      <w:t xml:space="preserve">, </w:t>
    </w:r>
    <w:proofErr w:type="spellStart"/>
    <w:r>
      <w:rPr>
        <w:sz w:val="20"/>
        <w:szCs w:val="20"/>
        <w:lang w:val="en-US"/>
      </w:rPr>
      <w:t>Nomor</w:t>
    </w:r>
    <w:proofErr w:type="spellEnd"/>
    <w:r>
      <w:rPr>
        <w:sz w:val="20"/>
        <w:szCs w:val="20"/>
        <w:lang w:val="en-US"/>
      </w:rPr>
      <w:t xml:space="preserve"> </w:t>
    </w:r>
    <w:r w:rsidR="00307610">
      <w:rPr>
        <w:sz w:val="20"/>
        <w:szCs w:val="20"/>
        <w:lang w:val="en-US"/>
      </w:rPr>
      <w:t>1</w:t>
    </w:r>
    <w:r>
      <w:rPr>
        <w:sz w:val="20"/>
        <w:szCs w:val="20"/>
        <w:lang w:val="en-US"/>
      </w:rPr>
      <w:t>, 201</w:t>
    </w:r>
    <w:r w:rsidR="00307610">
      <w:rPr>
        <w:sz w:val="20"/>
        <w:szCs w:val="20"/>
        <w:lang w:val="en-US"/>
      </w:rPr>
      <w:t>8</w:t>
    </w:r>
    <w:r>
      <w:rPr>
        <w:sz w:val="20"/>
        <w:szCs w:val="20"/>
        <w:lang w:val="en-US"/>
      </w:rPr>
      <w:t xml:space="preserve"> | Page: </w:t>
    </w:r>
    <w:r w:rsidR="002E5E80">
      <w:rPr>
        <w:sz w:val="20"/>
        <w:szCs w:val="20"/>
        <w:lang w:val="en-US"/>
      </w:rPr>
      <w:t>73</w:t>
    </w:r>
    <w:r>
      <w:rPr>
        <w:sz w:val="20"/>
        <w:szCs w:val="20"/>
        <w:lang w:val="en-US"/>
      </w:rPr>
      <w:t>-</w:t>
    </w:r>
    <w:r w:rsidR="00662DB0">
      <w:rPr>
        <w:sz w:val="20"/>
        <w:szCs w:val="20"/>
        <w:lang w:val="en-US"/>
      </w:rPr>
      <w:t>83</w:t>
    </w:r>
    <w:r>
      <w:rPr>
        <w:sz w:val="20"/>
        <w:szCs w:val="20"/>
        <w:lang w:val="en-US"/>
      </w:rPr>
      <w:tab/>
      <w:t xml:space="preserve">ONLINE: </w:t>
    </w:r>
    <w:r w:rsidRPr="009B3007">
      <w:rPr>
        <w:sz w:val="20"/>
        <w:szCs w:val="20"/>
      </w:rPr>
      <w:t>ejournal</w:t>
    </w:r>
    <w:r>
      <w:rPr>
        <w:sz w:val="20"/>
        <w:szCs w:val="20"/>
      </w:rPr>
      <w:t>.uin-suka.ac.id/pusat/aplikasia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Num11"/>
    <w:lvl w:ilvl="0">
      <w:start w:val="1"/>
      <w:numFmt w:val="lowerLetter"/>
      <w:lvlText w:val="%1."/>
      <w:lvlJc w:val="left"/>
      <w:pPr>
        <w:tabs>
          <w:tab w:val="num" w:pos="0"/>
        </w:tabs>
        <w:ind w:left="2226" w:hanging="360"/>
      </w:pPr>
      <w:rPr>
        <w:rFonts w:eastAsia="Calibri" w:cs="Times New Roman"/>
        <w:b w:val="0"/>
      </w:rPr>
    </w:lvl>
    <w:lvl w:ilvl="1">
      <w:start w:val="1"/>
      <w:numFmt w:val="lowerLetter"/>
      <w:lvlText w:val="%2."/>
      <w:lvlJc w:val="left"/>
      <w:pPr>
        <w:tabs>
          <w:tab w:val="num" w:pos="0"/>
        </w:tabs>
        <w:ind w:left="2946" w:hanging="360"/>
      </w:pPr>
    </w:lvl>
    <w:lvl w:ilvl="2">
      <w:start w:val="1"/>
      <w:numFmt w:val="lowerRoman"/>
      <w:lvlText w:val="%3."/>
      <w:lvlJc w:val="right"/>
      <w:pPr>
        <w:tabs>
          <w:tab w:val="num" w:pos="0"/>
        </w:tabs>
        <w:ind w:left="3666" w:hanging="180"/>
      </w:pPr>
    </w:lvl>
    <w:lvl w:ilvl="3">
      <w:start w:val="1"/>
      <w:numFmt w:val="decimal"/>
      <w:lvlText w:val="%4."/>
      <w:lvlJc w:val="left"/>
      <w:pPr>
        <w:tabs>
          <w:tab w:val="num" w:pos="0"/>
        </w:tabs>
        <w:ind w:left="4386" w:hanging="360"/>
      </w:pPr>
    </w:lvl>
    <w:lvl w:ilvl="4">
      <w:start w:val="1"/>
      <w:numFmt w:val="lowerLetter"/>
      <w:lvlText w:val="%5."/>
      <w:lvlJc w:val="left"/>
      <w:pPr>
        <w:tabs>
          <w:tab w:val="num" w:pos="0"/>
        </w:tabs>
        <w:ind w:left="5106" w:hanging="360"/>
      </w:pPr>
    </w:lvl>
    <w:lvl w:ilvl="5">
      <w:start w:val="1"/>
      <w:numFmt w:val="lowerRoman"/>
      <w:lvlText w:val="%6."/>
      <w:lvlJc w:val="right"/>
      <w:pPr>
        <w:tabs>
          <w:tab w:val="num" w:pos="0"/>
        </w:tabs>
        <w:ind w:left="5826" w:hanging="180"/>
      </w:pPr>
    </w:lvl>
    <w:lvl w:ilvl="6">
      <w:start w:val="1"/>
      <w:numFmt w:val="decimal"/>
      <w:lvlText w:val="%7."/>
      <w:lvlJc w:val="left"/>
      <w:pPr>
        <w:tabs>
          <w:tab w:val="num" w:pos="0"/>
        </w:tabs>
        <w:ind w:left="6546" w:hanging="360"/>
      </w:pPr>
    </w:lvl>
    <w:lvl w:ilvl="7">
      <w:start w:val="1"/>
      <w:numFmt w:val="lowerLetter"/>
      <w:lvlText w:val="%8."/>
      <w:lvlJc w:val="left"/>
      <w:pPr>
        <w:tabs>
          <w:tab w:val="num" w:pos="0"/>
        </w:tabs>
        <w:ind w:left="7266" w:hanging="360"/>
      </w:pPr>
    </w:lvl>
    <w:lvl w:ilvl="8">
      <w:start w:val="1"/>
      <w:numFmt w:val="lowerRoman"/>
      <w:lvlText w:val="%9."/>
      <w:lvlJc w:val="right"/>
      <w:pPr>
        <w:tabs>
          <w:tab w:val="num" w:pos="0"/>
        </w:tabs>
        <w:ind w:left="7986" w:hanging="180"/>
      </w:pPr>
    </w:lvl>
  </w:abstractNum>
  <w:abstractNum w:abstractNumId="1" w15:restartNumberingAfterBreak="0">
    <w:nsid w:val="0000000F"/>
    <w:multiLevelType w:val="multilevel"/>
    <w:tmpl w:val="B5087AAC"/>
    <w:name w:val="WWNum14"/>
    <w:lvl w:ilvl="0">
      <w:start w:val="1"/>
      <w:numFmt w:val="decimal"/>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0"/>
    <w:multiLevelType w:val="multilevel"/>
    <w:tmpl w:val="00000010"/>
    <w:name w:val="WWNum15"/>
    <w:lvl w:ilvl="0">
      <w:start w:val="1"/>
      <w:numFmt w:val="lowerLetter"/>
      <w:lvlText w:val="%1."/>
      <w:lvlJc w:val="left"/>
      <w:pPr>
        <w:tabs>
          <w:tab w:val="num" w:pos="0"/>
        </w:tabs>
        <w:ind w:left="2226" w:hanging="360"/>
      </w:pPr>
    </w:lvl>
    <w:lvl w:ilvl="1">
      <w:start w:val="1"/>
      <w:numFmt w:val="lowerLetter"/>
      <w:lvlText w:val="%2."/>
      <w:lvlJc w:val="left"/>
      <w:pPr>
        <w:tabs>
          <w:tab w:val="num" w:pos="0"/>
        </w:tabs>
        <w:ind w:left="2946" w:hanging="360"/>
      </w:pPr>
    </w:lvl>
    <w:lvl w:ilvl="2">
      <w:start w:val="1"/>
      <w:numFmt w:val="lowerRoman"/>
      <w:lvlText w:val="%3."/>
      <w:lvlJc w:val="right"/>
      <w:pPr>
        <w:tabs>
          <w:tab w:val="num" w:pos="0"/>
        </w:tabs>
        <w:ind w:left="3666" w:hanging="180"/>
      </w:pPr>
    </w:lvl>
    <w:lvl w:ilvl="3">
      <w:start w:val="1"/>
      <w:numFmt w:val="decimal"/>
      <w:lvlText w:val="%4."/>
      <w:lvlJc w:val="left"/>
      <w:pPr>
        <w:tabs>
          <w:tab w:val="num" w:pos="0"/>
        </w:tabs>
        <w:ind w:left="4386" w:hanging="360"/>
      </w:pPr>
    </w:lvl>
    <w:lvl w:ilvl="4">
      <w:start w:val="1"/>
      <w:numFmt w:val="lowerLetter"/>
      <w:lvlText w:val="%5."/>
      <w:lvlJc w:val="left"/>
      <w:pPr>
        <w:tabs>
          <w:tab w:val="num" w:pos="0"/>
        </w:tabs>
        <w:ind w:left="5106" w:hanging="360"/>
      </w:pPr>
    </w:lvl>
    <w:lvl w:ilvl="5">
      <w:start w:val="1"/>
      <w:numFmt w:val="lowerRoman"/>
      <w:lvlText w:val="%6."/>
      <w:lvlJc w:val="right"/>
      <w:pPr>
        <w:tabs>
          <w:tab w:val="num" w:pos="0"/>
        </w:tabs>
        <w:ind w:left="5826" w:hanging="180"/>
      </w:pPr>
    </w:lvl>
    <w:lvl w:ilvl="6">
      <w:start w:val="1"/>
      <w:numFmt w:val="decimal"/>
      <w:lvlText w:val="%7."/>
      <w:lvlJc w:val="left"/>
      <w:pPr>
        <w:tabs>
          <w:tab w:val="num" w:pos="0"/>
        </w:tabs>
        <w:ind w:left="6546" w:hanging="360"/>
      </w:pPr>
    </w:lvl>
    <w:lvl w:ilvl="7">
      <w:start w:val="1"/>
      <w:numFmt w:val="lowerLetter"/>
      <w:lvlText w:val="%8."/>
      <w:lvlJc w:val="left"/>
      <w:pPr>
        <w:tabs>
          <w:tab w:val="num" w:pos="0"/>
        </w:tabs>
        <w:ind w:left="7266" w:hanging="360"/>
      </w:pPr>
    </w:lvl>
    <w:lvl w:ilvl="8">
      <w:start w:val="1"/>
      <w:numFmt w:val="lowerRoman"/>
      <w:lvlText w:val="%9."/>
      <w:lvlJc w:val="right"/>
      <w:pPr>
        <w:tabs>
          <w:tab w:val="num" w:pos="0"/>
        </w:tabs>
        <w:ind w:left="7986" w:hanging="180"/>
      </w:pPr>
    </w:lvl>
  </w:abstractNum>
  <w:abstractNum w:abstractNumId="3" w15:restartNumberingAfterBreak="0">
    <w:nsid w:val="00000011"/>
    <w:multiLevelType w:val="multilevel"/>
    <w:tmpl w:val="00000011"/>
    <w:name w:val="WWNum16"/>
    <w:lvl w:ilvl="0">
      <w:start w:val="1"/>
      <w:numFmt w:val="lowerLetter"/>
      <w:lvlText w:val="%1."/>
      <w:lvlJc w:val="left"/>
      <w:pPr>
        <w:tabs>
          <w:tab w:val="num" w:pos="0"/>
        </w:tabs>
        <w:ind w:left="3240" w:hanging="360"/>
      </w:pPr>
    </w:lvl>
    <w:lvl w:ilvl="1">
      <w:start w:val="1"/>
      <w:numFmt w:val="lowerLetter"/>
      <w:lvlText w:val="%2."/>
      <w:lvlJc w:val="left"/>
      <w:pPr>
        <w:tabs>
          <w:tab w:val="num" w:pos="0"/>
        </w:tabs>
        <w:ind w:left="3960" w:hanging="360"/>
      </w:pPr>
    </w:lvl>
    <w:lvl w:ilvl="2">
      <w:start w:val="1"/>
      <w:numFmt w:val="lowerRoman"/>
      <w:lvlText w:val="%3."/>
      <w:lvlJc w:val="right"/>
      <w:pPr>
        <w:tabs>
          <w:tab w:val="num" w:pos="0"/>
        </w:tabs>
        <w:ind w:left="4680" w:hanging="180"/>
      </w:pPr>
    </w:lvl>
    <w:lvl w:ilvl="3">
      <w:start w:val="1"/>
      <w:numFmt w:val="decimal"/>
      <w:lvlText w:val="%4."/>
      <w:lvlJc w:val="left"/>
      <w:pPr>
        <w:tabs>
          <w:tab w:val="num" w:pos="0"/>
        </w:tabs>
        <w:ind w:left="5400" w:hanging="360"/>
      </w:pPr>
    </w:lvl>
    <w:lvl w:ilvl="4">
      <w:start w:val="1"/>
      <w:numFmt w:val="lowerLetter"/>
      <w:lvlText w:val="%5."/>
      <w:lvlJc w:val="left"/>
      <w:pPr>
        <w:tabs>
          <w:tab w:val="num" w:pos="0"/>
        </w:tabs>
        <w:ind w:left="6120" w:hanging="360"/>
      </w:pPr>
    </w:lvl>
    <w:lvl w:ilvl="5">
      <w:start w:val="1"/>
      <w:numFmt w:val="lowerRoman"/>
      <w:lvlText w:val="%6."/>
      <w:lvlJc w:val="right"/>
      <w:pPr>
        <w:tabs>
          <w:tab w:val="num" w:pos="0"/>
        </w:tabs>
        <w:ind w:left="6840" w:hanging="180"/>
      </w:pPr>
    </w:lvl>
    <w:lvl w:ilvl="6">
      <w:start w:val="1"/>
      <w:numFmt w:val="decimal"/>
      <w:lvlText w:val="%7."/>
      <w:lvlJc w:val="left"/>
      <w:pPr>
        <w:tabs>
          <w:tab w:val="num" w:pos="0"/>
        </w:tabs>
        <w:ind w:left="7560" w:hanging="360"/>
      </w:pPr>
    </w:lvl>
    <w:lvl w:ilvl="7">
      <w:start w:val="1"/>
      <w:numFmt w:val="lowerLetter"/>
      <w:lvlText w:val="%8."/>
      <w:lvlJc w:val="left"/>
      <w:pPr>
        <w:tabs>
          <w:tab w:val="num" w:pos="0"/>
        </w:tabs>
        <w:ind w:left="8280" w:hanging="360"/>
      </w:pPr>
    </w:lvl>
    <w:lvl w:ilvl="8">
      <w:start w:val="1"/>
      <w:numFmt w:val="lowerRoman"/>
      <w:lvlText w:val="%9."/>
      <w:lvlJc w:val="right"/>
      <w:pPr>
        <w:tabs>
          <w:tab w:val="num" w:pos="0"/>
        </w:tabs>
        <w:ind w:left="9000" w:hanging="180"/>
      </w:pPr>
    </w:lvl>
  </w:abstractNum>
  <w:abstractNum w:abstractNumId="4" w15:restartNumberingAfterBreak="0">
    <w:nsid w:val="00000012"/>
    <w:multiLevelType w:val="multilevel"/>
    <w:tmpl w:val="00000012"/>
    <w:name w:val="WWNum17"/>
    <w:lvl w:ilvl="0">
      <w:start w:val="1"/>
      <w:numFmt w:val="lowerLetter"/>
      <w:lvlText w:val="%1."/>
      <w:lvlJc w:val="left"/>
      <w:pPr>
        <w:tabs>
          <w:tab w:val="num" w:pos="0"/>
        </w:tabs>
        <w:ind w:left="3600" w:hanging="360"/>
      </w:p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5" w15:restartNumberingAfterBreak="0">
    <w:nsid w:val="00000013"/>
    <w:multiLevelType w:val="multilevel"/>
    <w:tmpl w:val="2AF0BFA8"/>
    <w:name w:val="WWNum18"/>
    <w:lvl w:ilvl="0">
      <w:start w:val="1"/>
      <w:numFmt w:val="decimal"/>
      <w:lvlText w:val="%1."/>
      <w:lvlJc w:val="left"/>
      <w:pPr>
        <w:tabs>
          <w:tab w:val="num" w:pos="0"/>
        </w:tabs>
        <w:ind w:left="2586" w:hanging="360"/>
      </w:pPr>
      <w:rPr>
        <w:b w:val="0"/>
      </w:rPr>
    </w:lvl>
    <w:lvl w:ilvl="1">
      <w:start w:val="1"/>
      <w:numFmt w:val="lowerLetter"/>
      <w:lvlText w:val="%2."/>
      <w:lvlJc w:val="left"/>
      <w:pPr>
        <w:tabs>
          <w:tab w:val="num" w:pos="0"/>
        </w:tabs>
        <w:ind w:left="3306" w:hanging="360"/>
      </w:pPr>
    </w:lvl>
    <w:lvl w:ilvl="2">
      <w:start w:val="1"/>
      <w:numFmt w:val="lowerRoman"/>
      <w:lvlText w:val="%3."/>
      <w:lvlJc w:val="right"/>
      <w:pPr>
        <w:tabs>
          <w:tab w:val="num" w:pos="0"/>
        </w:tabs>
        <w:ind w:left="4026" w:hanging="180"/>
      </w:pPr>
    </w:lvl>
    <w:lvl w:ilvl="3">
      <w:start w:val="1"/>
      <w:numFmt w:val="decimal"/>
      <w:lvlText w:val="%4."/>
      <w:lvlJc w:val="left"/>
      <w:pPr>
        <w:tabs>
          <w:tab w:val="num" w:pos="0"/>
        </w:tabs>
        <w:ind w:left="4746" w:hanging="360"/>
      </w:pPr>
    </w:lvl>
    <w:lvl w:ilvl="4">
      <w:start w:val="1"/>
      <w:numFmt w:val="lowerLetter"/>
      <w:lvlText w:val="%5."/>
      <w:lvlJc w:val="left"/>
      <w:pPr>
        <w:tabs>
          <w:tab w:val="num" w:pos="0"/>
        </w:tabs>
        <w:ind w:left="5466" w:hanging="360"/>
      </w:pPr>
    </w:lvl>
    <w:lvl w:ilvl="5">
      <w:start w:val="1"/>
      <w:numFmt w:val="lowerRoman"/>
      <w:lvlText w:val="%6."/>
      <w:lvlJc w:val="right"/>
      <w:pPr>
        <w:tabs>
          <w:tab w:val="num" w:pos="0"/>
        </w:tabs>
        <w:ind w:left="6186" w:hanging="180"/>
      </w:pPr>
    </w:lvl>
    <w:lvl w:ilvl="6">
      <w:start w:val="1"/>
      <w:numFmt w:val="decimal"/>
      <w:lvlText w:val="%7."/>
      <w:lvlJc w:val="left"/>
      <w:pPr>
        <w:tabs>
          <w:tab w:val="num" w:pos="0"/>
        </w:tabs>
        <w:ind w:left="6906" w:hanging="360"/>
      </w:pPr>
    </w:lvl>
    <w:lvl w:ilvl="7">
      <w:start w:val="1"/>
      <w:numFmt w:val="lowerLetter"/>
      <w:lvlText w:val="%8."/>
      <w:lvlJc w:val="left"/>
      <w:pPr>
        <w:tabs>
          <w:tab w:val="num" w:pos="0"/>
        </w:tabs>
        <w:ind w:left="7626" w:hanging="360"/>
      </w:pPr>
    </w:lvl>
    <w:lvl w:ilvl="8">
      <w:start w:val="1"/>
      <w:numFmt w:val="lowerRoman"/>
      <w:lvlText w:val="%9."/>
      <w:lvlJc w:val="right"/>
      <w:pPr>
        <w:tabs>
          <w:tab w:val="num" w:pos="0"/>
        </w:tabs>
        <w:ind w:left="8346" w:hanging="180"/>
      </w:pPr>
    </w:lvl>
  </w:abstractNum>
  <w:abstractNum w:abstractNumId="6" w15:restartNumberingAfterBreak="0">
    <w:nsid w:val="00000014"/>
    <w:multiLevelType w:val="multilevel"/>
    <w:tmpl w:val="A986229C"/>
    <w:name w:val="WWNum19"/>
    <w:lvl w:ilvl="0">
      <w:start w:val="1"/>
      <w:numFmt w:val="decimal"/>
      <w:lvlText w:val="%1."/>
      <w:lvlJc w:val="left"/>
      <w:pPr>
        <w:tabs>
          <w:tab w:val="num" w:pos="0"/>
        </w:tabs>
        <w:ind w:left="2946" w:hanging="360"/>
      </w:pPr>
      <w:rPr>
        <w:b w:val="0"/>
      </w:rPr>
    </w:lvl>
    <w:lvl w:ilvl="1">
      <w:start w:val="1"/>
      <w:numFmt w:val="lowerLetter"/>
      <w:lvlText w:val="%2."/>
      <w:lvlJc w:val="left"/>
      <w:pPr>
        <w:tabs>
          <w:tab w:val="num" w:pos="0"/>
        </w:tabs>
        <w:ind w:left="3666" w:hanging="360"/>
      </w:pPr>
    </w:lvl>
    <w:lvl w:ilvl="2">
      <w:start w:val="1"/>
      <w:numFmt w:val="lowerRoman"/>
      <w:lvlText w:val="%3."/>
      <w:lvlJc w:val="right"/>
      <w:pPr>
        <w:tabs>
          <w:tab w:val="num" w:pos="0"/>
        </w:tabs>
        <w:ind w:left="4386" w:hanging="180"/>
      </w:pPr>
    </w:lvl>
    <w:lvl w:ilvl="3">
      <w:start w:val="1"/>
      <w:numFmt w:val="decimal"/>
      <w:lvlText w:val="%4."/>
      <w:lvlJc w:val="left"/>
      <w:pPr>
        <w:tabs>
          <w:tab w:val="num" w:pos="0"/>
        </w:tabs>
        <w:ind w:left="5106" w:hanging="360"/>
      </w:pPr>
    </w:lvl>
    <w:lvl w:ilvl="4">
      <w:start w:val="1"/>
      <w:numFmt w:val="lowerLetter"/>
      <w:lvlText w:val="%5."/>
      <w:lvlJc w:val="left"/>
      <w:pPr>
        <w:tabs>
          <w:tab w:val="num" w:pos="0"/>
        </w:tabs>
        <w:ind w:left="5826" w:hanging="360"/>
      </w:pPr>
    </w:lvl>
    <w:lvl w:ilvl="5">
      <w:start w:val="1"/>
      <w:numFmt w:val="lowerRoman"/>
      <w:lvlText w:val="%6."/>
      <w:lvlJc w:val="right"/>
      <w:pPr>
        <w:tabs>
          <w:tab w:val="num" w:pos="0"/>
        </w:tabs>
        <w:ind w:left="6546" w:hanging="180"/>
      </w:pPr>
    </w:lvl>
    <w:lvl w:ilvl="6">
      <w:start w:val="1"/>
      <w:numFmt w:val="decimal"/>
      <w:lvlText w:val="%7."/>
      <w:lvlJc w:val="left"/>
      <w:pPr>
        <w:tabs>
          <w:tab w:val="num" w:pos="0"/>
        </w:tabs>
        <w:ind w:left="7266" w:hanging="360"/>
      </w:pPr>
    </w:lvl>
    <w:lvl w:ilvl="7">
      <w:start w:val="1"/>
      <w:numFmt w:val="lowerLetter"/>
      <w:lvlText w:val="%8."/>
      <w:lvlJc w:val="left"/>
      <w:pPr>
        <w:tabs>
          <w:tab w:val="num" w:pos="0"/>
        </w:tabs>
        <w:ind w:left="7986" w:hanging="360"/>
      </w:pPr>
    </w:lvl>
    <w:lvl w:ilvl="8">
      <w:start w:val="1"/>
      <w:numFmt w:val="lowerRoman"/>
      <w:lvlText w:val="%9."/>
      <w:lvlJc w:val="right"/>
      <w:pPr>
        <w:tabs>
          <w:tab w:val="num" w:pos="0"/>
        </w:tabs>
        <w:ind w:left="8706" w:hanging="180"/>
      </w:pPr>
    </w:lvl>
  </w:abstractNum>
  <w:abstractNum w:abstractNumId="7" w15:restartNumberingAfterBreak="0">
    <w:nsid w:val="02D41B5C"/>
    <w:multiLevelType w:val="hybridMultilevel"/>
    <w:tmpl w:val="C07E42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7179FB"/>
    <w:multiLevelType w:val="hybridMultilevel"/>
    <w:tmpl w:val="8B6C4A9C"/>
    <w:lvl w:ilvl="0" w:tplc="BBF8AA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E8F3E84"/>
    <w:multiLevelType w:val="hybridMultilevel"/>
    <w:tmpl w:val="ADBEE8DA"/>
    <w:lvl w:ilvl="0" w:tplc="0421000F">
      <w:start w:val="1"/>
      <w:numFmt w:val="decimal"/>
      <w:lvlText w:val="%1."/>
      <w:lvlJc w:val="left"/>
      <w:pPr>
        <w:ind w:left="720" w:hanging="360"/>
      </w:pPr>
      <w:rPr>
        <w:rFonts w:hint="default"/>
      </w:rPr>
    </w:lvl>
    <w:lvl w:ilvl="1" w:tplc="52ACFA12">
      <w:start w:val="1"/>
      <w:numFmt w:val="decimal"/>
      <w:lvlText w:val="%2."/>
      <w:lvlJc w:val="left"/>
      <w:pPr>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16A1F"/>
    <w:multiLevelType w:val="hybridMultilevel"/>
    <w:tmpl w:val="26A88146"/>
    <w:lvl w:ilvl="0" w:tplc="6A047D08">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BF605D"/>
    <w:multiLevelType w:val="hybridMultilevel"/>
    <w:tmpl w:val="DDA6E0E4"/>
    <w:lvl w:ilvl="0" w:tplc="E5A8EE2E">
      <w:start w:val="1"/>
      <w:numFmt w:val="decimal"/>
      <w:lvlText w:val="%1."/>
      <w:lvlJc w:val="left"/>
      <w:pPr>
        <w:ind w:left="644"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8314525"/>
    <w:multiLevelType w:val="hybridMultilevel"/>
    <w:tmpl w:val="B0B6D998"/>
    <w:lvl w:ilvl="0" w:tplc="0409000F">
      <w:start w:val="1"/>
      <w:numFmt w:val="decimal"/>
      <w:lvlText w:val="%1."/>
      <w:lvlJc w:val="left"/>
      <w:pPr>
        <w:ind w:left="720" w:hanging="360"/>
      </w:pPr>
      <w:rPr>
        <w:rFonts w:hint="default"/>
      </w:rPr>
    </w:lvl>
    <w:lvl w:ilvl="1" w:tplc="3DEC0A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817E4"/>
    <w:multiLevelType w:val="hybridMultilevel"/>
    <w:tmpl w:val="712C097C"/>
    <w:lvl w:ilvl="0" w:tplc="F0B4DA0A">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93C2E"/>
    <w:multiLevelType w:val="hybridMultilevel"/>
    <w:tmpl w:val="1D7430D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6247391"/>
    <w:multiLevelType w:val="hybridMultilevel"/>
    <w:tmpl w:val="86A04C84"/>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9140D2E"/>
    <w:multiLevelType w:val="hybridMultilevel"/>
    <w:tmpl w:val="4BC63EEA"/>
    <w:lvl w:ilvl="0" w:tplc="04090017">
      <w:start w:val="1"/>
      <w:numFmt w:val="lowerLetter"/>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7" w15:restartNumberingAfterBreak="0">
    <w:nsid w:val="2F2E3333"/>
    <w:multiLevelType w:val="hybridMultilevel"/>
    <w:tmpl w:val="BE901A28"/>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F6C11D6"/>
    <w:multiLevelType w:val="hybridMultilevel"/>
    <w:tmpl w:val="D878FA3C"/>
    <w:lvl w:ilvl="0" w:tplc="0421000F">
      <w:start w:val="1"/>
      <w:numFmt w:val="decimal"/>
      <w:lvlText w:val="%1."/>
      <w:lvlJc w:val="left"/>
      <w:pPr>
        <w:ind w:left="593" w:hanging="360"/>
      </w:pPr>
      <w:rPr>
        <w:rFonts w:hint="default"/>
      </w:rPr>
    </w:lvl>
    <w:lvl w:ilvl="1" w:tplc="04090019">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9" w15:restartNumberingAfterBreak="0">
    <w:nsid w:val="30A97FFD"/>
    <w:multiLevelType w:val="hybridMultilevel"/>
    <w:tmpl w:val="C646EAB0"/>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20D5362"/>
    <w:multiLevelType w:val="hybridMultilevel"/>
    <w:tmpl w:val="1D780EA8"/>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278613C"/>
    <w:multiLevelType w:val="hybridMultilevel"/>
    <w:tmpl w:val="ECBEC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91666"/>
    <w:multiLevelType w:val="hybridMultilevel"/>
    <w:tmpl w:val="0EB6A158"/>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2027679"/>
    <w:multiLevelType w:val="hybridMultilevel"/>
    <w:tmpl w:val="B038DA46"/>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DA02594"/>
    <w:multiLevelType w:val="hybridMultilevel"/>
    <w:tmpl w:val="CA8CE03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639F4"/>
    <w:multiLevelType w:val="hybridMultilevel"/>
    <w:tmpl w:val="4E36F9D8"/>
    <w:lvl w:ilvl="0" w:tplc="2E7CA97A">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E950D2"/>
    <w:multiLevelType w:val="hybridMultilevel"/>
    <w:tmpl w:val="C8A86A5A"/>
    <w:lvl w:ilvl="0" w:tplc="CA780810">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15290B"/>
    <w:multiLevelType w:val="hybridMultilevel"/>
    <w:tmpl w:val="6994E766"/>
    <w:lvl w:ilvl="0" w:tplc="6ED8D9B4">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666F0D"/>
    <w:multiLevelType w:val="hybridMultilevel"/>
    <w:tmpl w:val="DD942636"/>
    <w:lvl w:ilvl="0" w:tplc="A77CE2FA">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9" w15:restartNumberingAfterBreak="0">
    <w:nsid w:val="63546553"/>
    <w:multiLevelType w:val="hybridMultilevel"/>
    <w:tmpl w:val="75D61AB0"/>
    <w:lvl w:ilvl="0" w:tplc="1FD45530">
      <w:start w:val="1"/>
      <w:numFmt w:val="decimal"/>
      <w:lvlText w:val="%1."/>
      <w:lvlJc w:val="left"/>
      <w:pPr>
        <w:ind w:left="720" w:hanging="360"/>
      </w:pPr>
      <w:rPr>
        <w:rFonts w:ascii="EB Garamond 12" w:eastAsia="Calibri" w:hAnsi="EB Garamond 12"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54FC6"/>
    <w:multiLevelType w:val="hybridMultilevel"/>
    <w:tmpl w:val="52E21222"/>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F671793"/>
    <w:multiLevelType w:val="hybridMultilevel"/>
    <w:tmpl w:val="1D8E57FA"/>
    <w:lvl w:ilvl="0" w:tplc="0421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797A7D44"/>
    <w:multiLevelType w:val="hybridMultilevel"/>
    <w:tmpl w:val="F2DA3E32"/>
    <w:lvl w:ilvl="0" w:tplc="0421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D2E2E02"/>
    <w:multiLevelType w:val="hybridMultilevel"/>
    <w:tmpl w:val="68AABCE2"/>
    <w:lvl w:ilvl="0" w:tplc="0409000F">
      <w:start w:val="1"/>
      <w:numFmt w:val="decimal"/>
      <w:lvlText w:val="%1."/>
      <w:lvlJc w:val="left"/>
      <w:pPr>
        <w:ind w:left="960" w:hanging="360"/>
      </w:pPr>
      <w:rPr>
        <w:rFonts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7FCB6478"/>
    <w:multiLevelType w:val="hybridMultilevel"/>
    <w:tmpl w:val="3BB4E4AA"/>
    <w:lvl w:ilvl="0" w:tplc="1124EF44">
      <w:start w:val="1"/>
      <w:numFmt w:val="upperLetter"/>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4"/>
  </w:num>
  <w:num w:numId="2">
    <w:abstractNumId w:val="17"/>
  </w:num>
  <w:num w:numId="3">
    <w:abstractNumId w:val="30"/>
  </w:num>
  <w:num w:numId="4">
    <w:abstractNumId w:val="19"/>
  </w:num>
  <w:num w:numId="5">
    <w:abstractNumId w:val="20"/>
  </w:num>
  <w:num w:numId="6">
    <w:abstractNumId w:val="32"/>
  </w:num>
  <w:num w:numId="7">
    <w:abstractNumId w:val="23"/>
  </w:num>
  <w:num w:numId="8">
    <w:abstractNumId w:val="21"/>
  </w:num>
  <w:num w:numId="9">
    <w:abstractNumId w:val="15"/>
  </w:num>
  <w:num w:numId="10">
    <w:abstractNumId w:val="22"/>
  </w:num>
  <w:num w:numId="11">
    <w:abstractNumId w:val="29"/>
  </w:num>
  <w:num w:numId="12">
    <w:abstractNumId w:val="11"/>
  </w:num>
  <w:num w:numId="13">
    <w:abstractNumId w:val="8"/>
  </w:num>
  <w:num w:numId="14">
    <w:abstractNumId w:val="9"/>
  </w:num>
  <w:num w:numId="15">
    <w:abstractNumId w:val="28"/>
  </w:num>
  <w:num w:numId="16">
    <w:abstractNumId w:val="24"/>
  </w:num>
  <w:num w:numId="17">
    <w:abstractNumId w:val="31"/>
  </w:num>
  <w:num w:numId="18">
    <w:abstractNumId w:val="16"/>
  </w:num>
  <w:num w:numId="19">
    <w:abstractNumId w:val="14"/>
  </w:num>
  <w:num w:numId="20">
    <w:abstractNumId w:val="33"/>
  </w:num>
  <w:num w:numId="21">
    <w:abstractNumId w:val="13"/>
  </w:num>
  <w:num w:numId="22">
    <w:abstractNumId w:val="12"/>
  </w:num>
  <w:num w:numId="23">
    <w:abstractNumId w:val="18"/>
  </w:num>
  <w:num w:numId="24">
    <w:abstractNumId w:val="27"/>
  </w:num>
  <w:num w:numId="25">
    <w:abstractNumId w:val="25"/>
  </w:num>
  <w:num w:numId="26">
    <w:abstractNumId w:val="26"/>
  </w:num>
  <w:num w:numId="27">
    <w:abstractNumId w:val="10"/>
  </w:num>
  <w:num w:numId="2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FC"/>
    <w:rsid w:val="000251EA"/>
    <w:rsid w:val="000278A6"/>
    <w:rsid w:val="000477D0"/>
    <w:rsid w:val="0007736D"/>
    <w:rsid w:val="000D7A49"/>
    <w:rsid w:val="001151A2"/>
    <w:rsid w:val="00116AEB"/>
    <w:rsid w:val="00122DB7"/>
    <w:rsid w:val="0013561B"/>
    <w:rsid w:val="00147F8E"/>
    <w:rsid w:val="001D23BC"/>
    <w:rsid w:val="00202D75"/>
    <w:rsid w:val="00223CD2"/>
    <w:rsid w:val="00234FCA"/>
    <w:rsid w:val="00235E16"/>
    <w:rsid w:val="00241943"/>
    <w:rsid w:val="0024200B"/>
    <w:rsid w:val="0027258A"/>
    <w:rsid w:val="002976B5"/>
    <w:rsid w:val="002A138F"/>
    <w:rsid w:val="002E5E80"/>
    <w:rsid w:val="002E7003"/>
    <w:rsid w:val="00307610"/>
    <w:rsid w:val="00314721"/>
    <w:rsid w:val="00323B6F"/>
    <w:rsid w:val="00325159"/>
    <w:rsid w:val="00356809"/>
    <w:rsid w:val="00360E5E"/>
    <w:rsid w:val="00380043"/>
    <w:rsid w:val="003C6B9D"/>
    <w:rsid w:val="003D1663"/>
    <w:rsid w:val="003F76C7"/>
    <w:rsid w:val="00400112"/>
    <w:rsid w:val="00417EF4"/>
    <w:rsid w:val="0043429B"/>
    <w:rsid w:val="004347F7"/>
    <w:rsid w:val="00440C53"/>
    <w:rsid w:val="00452601"/>
    <w:rsid w:val="0047553C"/>
    <w:rsid w:val="004975D3"/>
    <w:rsid w:val="004A0F12"/>
    <w:rsid w:val="004A3008"/>
    <w:rsid w:val="004C4239"/>
    <w:rsid w:val="004D0DD6"/>
    <w:rsid w:val="004E6FAE"/>
    <w:rsid w:val="004E7DD3"/>
    <w:rsid w:val="0051208A"/>
    <w:rsid w:val="00517530"/>
    <w:rsid w:val="00551727"/>
    <w:rsid w:val="00582B55"/>
    <w:rsid w:val="00597A97"/>
    <w:rsid w:val="005B0713"/>
    <w:rsid w:val="005C6B0B"/>
    <w:rsid w:val="005D7999"/>
    <w:rsid w:val="006075DD"/>
    <w:rsid w:val="0063387B"/>
    <w:rsid w:val="006447EB"/>
    <w:rsid w:val="0064691D"/>
    <w:rsid w:val="006479FF"/>
    <w:rsid w:val="00656031"/>
    <w:rsid w:val="00662DB0"/>
    <w:rsid w:val="00680D97"/>
    <w:rsid w:val="00681E0E"/>
    <w:rsid w:val="006828E2"/>
    <w:rsid w:val="00690436"/>
    <w:rsid w:val="006A0B05"/>
    <w:rsid w:val="006D2A18"/>
    <w:rsid w:val="006F4582"/>
    <w:rsid w:val="00706BBA"/>
    <w:rsid w:val="007149A3"/>
    <w:rsid w:val="0073496E"/>
    <w:rsid w:val="007410C3"/>
    <w:rsid w:val="00773062"/>
    <w:rsid w:val="00784D6C"/>
    <w:rsid w:val="007A2F7E"/>
    <w:rsid w:val="00803172"/>
    <w:rsid w:val="00817299"/>
    <w:rsid w:val="0082067F"/>
    <w:rsid w:val="00906C9C"/>
    <w:rsid w:val="00925856"/>
    <w:rsid w:val="009265A5"/>
    <w:rsid w:val="0094047C"/>
    <w:rsid w:val="00956988"/>
    <w:rsid w:val="0098308C"/>
    <w:rsid w:val="009952B5"/>
    <w:rsid w:val="009962FD"/>
    <w:rsid w:val="009A346D"/>
    <w:rsid w:val="009B1E0F"/>
    <w:rsid w:val="009B7BE7"/>
    <w:rsid w:val="009C50ED"/>
    <w:rsid w:val="009C793E"/>
    <w:rsid w:val="009D5EE1"/>
    <w:rsid w:val="009E2943"/>
    <w:rsid w:val="009F5DA5"/>
    <w:rsid w:val="00A0579F"/>
    <w:rsid w:val="00A129B2"/>
    <w:rsid w:val="00A37342"/>
    <w:rsid w:val="00A65330"/>
    <w:rsid w:val="00A67AAE"/>
    <w:rsid w:val="00A73E69"/>
    <w:rsid w:val="00A776E8"/>
    <w:rsid w:val="00A8786C"/>
    <w:rsid w:val="00AA3B62"/>
    <w:rsid w:val="00AF1875"/>
    <w:rsid w:val="00B05966"/>
    <w:rsid w:val="00B32164"/>
    <w:rsid w:val="00B345FC"/>
    <w:rsid w:val="00B62EE4"/>
    <w:rsid w:val="00B9795A"/>
    <w:rsid w:val="00BA0A19"/>
    <w:rsid w:val="00BD68A0"/>
    <w:rsid w:val="00BE6BB2"/>
    <w:rsid w:val="00BF286F"/>
    <w:rsid w:val="00C063B6"/>
    <w:rsid w:val="00C12045"/>
    <w:rsid w:val="00C25016"/>
    <w:rsid w:val="00C31298"/>
    <w:rsid w:val="00C36CD0"/>
    <w:rsid w:val="00C575CC"/>
    <w:rsid w:val="00CA262A"/>
    <w:rsid w:val="00CC37E6"/>
    <w:rsid w:val="00CE7966"/>
    <w:rsid w:val="00D33547"/>
    <w:rsid w:val="00D36C6C"/>
    <w:rsid w:val="00D42309"/>
    <w:rsid w:val="00D57D8F"/>
    <w:rsid w:val="00D65521"/>
    <w:rsid w:val="00D8003A"/>
    <w:rsid w:val="00D95C20"/>
    <w:rsid w:val="00DC637C"/>
    <w:rsid w:val="00DE7B93"/>
    <w:rsid w:val="00E001C7"/>
    <w:rsid w:val="00E1268E"/>
    <w:rsid w:val="00E17713"/>
    <w:rsid w:val="00E177AC"/>
    <w:rsid w:val="00E73311"/>
    <w:rsid w:val="00E8252A"/>
    <w:rsid w:val="00E97CD2"/>
    <w:rsid w:val="00EB34BD"/>
    <w:rsid w:val="00ED5620"/>
    <w:rsid w:val="00F011B4"/>
    <w:rsid w:val="00F24A43"/>
    <w:rsid w:val="00F26D08"/>
    <w:rsid w:val="00F31EF7"/>
    <w:rsid w:val="00F71A7B"/>
    <w:rsid w:val="00F81B86"/>
    <w:rsid w:val="00FB0123"/>
    <w:rsid w:val="00FB1C25"/>
    <w:rsid w:val="00FD1307"/>
    <w:rsid w:val="00FD73D8"/>
    <w:rsid w:val="00FE3B46"/>
    <w:rsid w:val="00FE3DAA"/>
    <w:rsid w:val="00FF08B7"/>
    <w:rsid w:val="00FF2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F775"/>
  <w15:chartTrackingRefBased/>
  <w15:docId w15:val="{EAB0D98D-4B88-4C50-B0F9-48CDCECE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C"/>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link w:val="Heading1Char"/>
    <w:uiPriority w:val="9"/>
    <w:qFormat/>
    <w:rsid w:val="00E17713"/>
    <w:pPr>
      <w:spacing w:before="100" w:beforeAutospacing="1" w:after="100" w:afterAutospacing="1"/>
      <w:outlineLvl w:val="0"/>
    </w:pPr>
    <w:rPr>
      <w:b/>
      <w:bCs/>
      <w:kern w:val="36"/>
      <w:sz w:val="48"/>
      <w:szCs w:val="48"/>
      <w:lang w:eastAsia="id-ID"/>
    </w:rPr>
  </w:style>
  <w:style w:type="paragraph" w:styleId="Heading2">
    <w:name w:val="heading 2"/>
    <w:basedOn w:val="Normal"/>
    <w:next w:val="Normal"/>
    <w:link w:val="Heading2Char"/>
    <w:uiPriority w:val="9"/>
    <w:unhideWhenUsed/>
    <w:qFormat/>
    <w:rsid w:val="00E1771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B345FC"/>
    <w:pPr>
      <w:spacing w:line="360" w:lineRule="auto"/>
      <w:ind w:firstLine="720"/>
      <w:jc w:val="both"/>
    </w:pPr>
  </w:style>
  <w:style w:type="character" w:customStyle="1" w:styleId="BodyTextIndent2Char">
    <w:name w:val="Body Text Indent 2 Char"/>
    <w:basedOn w:val="DefaultParagraphFont"/>
    <w:link w:val="BodyTextIndent2"/>
    <w:uiPriority w:val="99"/>
    <w:rsid w:val="00B345FC"/>
    <w:rPr>
      <w:rFonts w:ascii="Times New Roman" w:eastAsia="Times New Roman" w:hAnsi="Times New Roman" w:cs="Times New Roman"/>
      <w:sz w:val="24"/>
      <w:szCs w:val="24"/>
      <w:lang w:val="id-ID"/>
    </w:rPr>
  </w:style>
  <w:style w:type="paragraph" w:styleId="Title">
    <w:name w:val="Title"/>
    <w:basedOn w:val="Normal"/>
    <w:link w:val="TitleChar"/>
    <w:uiPriority w:val="10"/>
    <w:qFormat/>
    <w:rsid w:val="00B345FC"/>
    <w:pPr>
      <w:spacing w:line="360" w:lineRule="auto"/>
      <w:jc w:val="center"/>
    </w:pPr>
    <w:rPr>
      <w:b/>
      <w:sz w:val="32"/>
    </w:rPr>
  </w:style>
  <w:style w:type="character" w:customStyle="1" w:styleId="TitleChar">
    <w:name w:val="Title Char"/>
    <w:basedOn w:val="DefaultParagraphFont"/>
    <w:link w:val="Title"/>
    <w:uiPriority w:val="10"/>
    <w:rsid w:val="00B345FC"/>
    <w:rPr>
      <w:rFonts w:ascii="Times New Roman" w:eastAsia="Times New Roman" w:hAnsi="Times New Roman" w:cs="Times New Roman"/>
      <w:b/>
      <w:sz w:val="32"/>
      <w:szCs w:val="24"/>
      <w:lang w:val="id-ID"/>
    </w:rPr>
  </w:style>
  <w:style w:type="paragraph" w:styleId="FootnoteText">
    <w:name w:val="footnote text"/>
    <w:basedOn w:val="Normal"/>
    <w:link w:val="FootnoteTextChar"/>
    <w:uiPriority w:val="99"/>
    <w:rsid w:val="00B345FC"/>
    <w:rPr>
      <w:sz w:val="20"/>
    </w:rPr>
  </w:style>
  <w:style w:type="character" w:customStyle="1" w:styleId="FootnoteTextChar">
    <w:name w:val="Footnote Text Char"/>
    <w:basedOn w:val="DefaultParagraphFont"/>
    <w:link w:val="FootnoteText"/>
    <w:uiPriority w:val="99"/>
    <w:rsid w:val="00B345FC"/>
    <w:rPr>
      <w:rFonts w:ascii="Times New Roman" w:eastAsia="Times New Roman" w:hAnsi="Times New Roman" w:cs="Times New Roman"/>
      <w:sz w:val="20"/>
      <w:szCs w:val="24"/>
      <w:lang w:val="id-ID"/>
    </w:rPr>
  </w:style>
  <w:style w:type="character" w:styleId="FootnoteReference">
    <w:name w:val="footnote reference"/>
    <w:basedOn w:val="DefaultParagraphFont"/>
    <w:uiPriority w:val="99"/>
    <w:rsid w:val="00B345FC"/>
    <w:rPr>
      <w:vertAlign w:val="superscript"/>
    </w:rPr>
  </w:style>
  <w:style w:type="paragraph" w:styleId="BodyText">
    <w:name w:val="Body Text"/>
    <w:basedOn w:val="Normal"/>
    <w:link w:val="BodyTextChar"/>
    <w:uiPriority w:val="99"/>
    <w:rsid w:val="00B345FC"/>
    <w:rPr>
      <w:lang w:val="en-US"/>
    </w:rPr>
  </w:style>
  <w:style w:type="character" w:customStyle="1" w:styleId="BodyTextChar">
    <w:name w:val="Body Text Char"/>
    <w:basedOn w:val="DefaultParagraphFont"/>
    <w:link w:val="BodyText"/>
    <w:uiPriority w:val="99"/>
    <w:rsid w:val="00B345FC"/>
    <w:rPr>
      <w:rFonts w:ascii="Times New Roman" w:eastAsia="Times New Roman" w:hAnsi="Times New Roman" w:cs="Times New Roman"/>
      <w:sz w:val="24"/>
      <w:szCs w:val="24"/>
    </w:rPr>
  </w:style>
  <w:style w:type="paragraph" w:styleId="ListParagraph">
    <w:name w:val="List Paragraph"/>
    <w:basedOn w:val="Normal"/>
    <w:uiPriority w:val="34"/>
    <w:qFormat/>
    <w:rsid w:val="00A129B2"/>
    <w:pPr>
      <w:ind w:left="720"/>
      <w:contextualSpacing/>
    </w:pPr>
  </w:style>
  <w:style w:type="paragraph" w:styleId="Header">
    <w:name w:val="header"/>
    <w:basedOn w:val="Normal"/>
    <w:link w:val="HeaderChar"/>
    <w:uiPriority w:val="99"/>
    <w:unhideWhenUsed/>
    <w:rsid w:val="00A37342"/>
    <w:pPr>
      <w:tabs>
        <w:tab w:val="center" w:pos="4680"/>
        <w:tab w:val="right" w:pos="9360"/>
      </w:tabs>
    </w:pPr>
  </w:style>
  <w:style w:type="character" w:customStyle="1" w:styleId="HeaderChar">
    <w:name w:val="Header Char"/>
    <w:basedOn w:val="DefaultParagraphFont"/>
    <w:link w:val="Header"/>
    <w:uiPriority w:val="99"/>
    <w:rsid w:val="00A37342"/>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A37342"/>
    <w:pPr>
      <w:tabs>
        <w:tab w:val="center" w:pos="4680"/>
        <w:tab w:val="right" w:pos="9360"/>
      </w:tabs>
    </w:pPr>
  </w:style>
  <w:style w:type="character" w:customStyle="1" w:styleId="FooterChar">
    <w:name w:val="Footer Char"/>
    <w:basedOn w:val="DefaultParagraphFont"/>
    <w:link w:val="Footer"/>
    <w:uiPriority w:val="99"/>
    <w:rsid w:val="00A37342"/>
    <w:rPr>
      <w:rFonts w:ascii="Times New Roman" w:eastAsia="Times New Roman" w:hAnsi="Times New Roman" w:cs="Times New Roman"/>
      <w:sz w:val="24"/>
      <w:szCs w:val="24"/>
      <w:lang w:val="id-ID"/>
    </w:rPr>
  </w:style>
  <w:style w:type="character" w:customStyle="1" w:styleId="A51">
    <w:name w:val="A5+1"/>
    <w:uiPriority w:val="99"/>
    <w:rsid w:val="00C575CC"/>
    <w:rPr>
      <w:color w:val="000000"/>
      <w:sz w:val="22"/>
    </w:rPr>
  </w:style>
  <w:style w:type="character" w:styleId="Hyperlink">
    <w:name w:val="Hyperlink"/>
    <w:basedOn w:val="DefaultParagraphFont"/>
    <w:uiPriority w:val="99"/>
    <w:unhideWhenUsed/>
    <w:rsid w:val="00323B6F"/>
    <w:rPr>
      <w:color w:val="0563C1" w:themeColor="hyperlink"/>
      <w:u w:val="single"/>
    </w:rPr>
  </w:style>
  <w:style w:type="character" w:customStyle="1" w:styleId="tgc">
    <w:name w:val="_tgc"/>
    <w:basedOn w:val="DefaultParagraphFont"/>
    <w:rsid w:val="0024200B"/>
  </w:style>
  <w:style w:type="character" w:styleId="Emphasis">
    <w:name w:val="Emphasis"/>
    <w:basedOn w:val="DefaultParagraphFont"/>
    <w:uiPriority w:val="20"/>
    <w:qFormat/>
    <w:rsid w:val="0024200B"/>
    <w:rPr>
      <w:i/>
      <w:iCs/>
    </w:rPr>
  </w:style>
  <w:style w:type="paragraph" w:styleId="NormalWeb">
    <w:name w:val="Normal (Web)"/>
    <w:basedOn w:val="Normal"/>
    <w:uiPriority w:val="99"/>
    <w:unhideWhenUsed/>
    <w:rsid w:val="0007736D"/>
    <w:pPr>
      <w:spacing w:before="100" w:beforeAutospacing="1" w:after="100" w:afterAutospacing="1"/>
    </w:pPr>
    <w:rPr>
      <w:lang w:val="en-US"/>
    </w:rPr>
  </w:style>
  <w:style w:type="character" w:customStyle="1" w:styleId="apple-converted-space">
    <w:name w:val="apple-converted-space"/>
    <w:basedOn w:val="DefaultParagraphFont"/>
    <w:rsid w:val="0007736D"/>
  </w:style>
  <w:style w:type="character" w:customStyle="1" w:styleId="spelle">
    <w:name w:val="spelle"/>
    <w:rsid w:val="0094047C"/>
    <w:rPr>
      <w:rFonts w:cs="Times New Roman"/>
    </w:rPr>
  </w:style>
  <w:style w:type="character" w:customStyle="1" w:styleId="FootnoteCharacters">
    <w:name w:val="Footnote Characters"/>
    <w:rsid w:val="0094047C"/>
  </w:style>
  <w:style w:type="character" w:customStyle="1" w:styleId="FootnoteTextChar1">
    <w:name w:val="Footnote Text Char1"/>
    <w:basedOn w:val="DefaultParagraphFont"/>
    <w:uiPriority w:val="99"/>
    <w:rsid w:val="0094047C"/>
    <w:rPr>
      <w:rFonts w:ascii="Calibri" w:eastAsia="Calibri" w:hAnsi="Calibri" w:cs="Times New Roman"/>
      <w:kern w:val="1"/>
      <w:sz w:val="20"/>
      <w:szCs w:val="20"/>
    </w:rPr>
  </w:style>
  <w:style w:type="character" w:customStyle="1" w:styleId="st">
    <w:name w:val="st"/>
    <w:basedOn w:val="DefaultParagraphFont"/>
    <w:rsid w:val="00DC637C"/>
  </w:style>
  <w:style w:type="character" w:customStyle="1" w:styleId="pnlsx">
    <w:name w:val="pnlsx"/>
    <w:basedOn w:val="DefaultParagraphFont"/>
    <w:rsid w:val="00DC637C"/>
  </w:style>
  <w:style w:type="paragraph" w:customStyle="1" w:styleId="Default">
    <w:name w:val="Default"/>
    <w:rsid w:val="00C31298"/>
    <w:pPr>
      <w:autoSpaceDE w:val="0"/>
      <w:autoSpaceDN w:val="0"/>
      <w:adjustRightInd w:val="0"/>
      <w:spacing w:after="0" w:line="240" w:lineRule="auto"/>
    </w:pPr>
    <w:rPr>
      <w:rFonts w:ascii="Tahoma" w:hAnsi="Tahoma" w:cs="Tahoma"/>
      <w:color w:val="000000"/>
      <w:sz w:val="24"/>
      <w:szCs w:val="24"/>
      <w:lang w:val="id-ID"/>
    </w:rPr>
  </w:style>
  <w:style w:type="character" w:customStyle="1" w:styleId="Heading1Char">
    <w:name w:val="Heading 1 Char"/>
    <w:basedOn w:val="DefaultParagraphFont"/>
    <w:link w:val="Heading1"/>
    <w:uiPriority w:val="9"/>
    <w:rsid w:val="00E17713"/>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E17713"/>
    <w:rPr>
      <w:rFonts w:asciiTheme="majorHAnsi" w:eastAsiaTheme="majorEastAsia" w:hAnsiTheme="majorHAnsi" w:cstheme="majorBidi"/>
      <w:b/>
      <w:bCs/>
      <w:color w:val="5B9BD5" w:themeColor="accent1"/>
      <w:sz w:val="26"/>
      <w:szCs w:val="26"/>
      <w:lang w:val="id-ID"/>
    </w:rPr>
  </w:style>
  <w:style w:type="paragraph" w:customStyle="1" w:styleId="MasterParagrafI">
    <w:name w:val="Master Paragraf I"/>
    <w:basedOn w:val="Normal"/>
    <w:uiPriority w:val="99"/>
    <w:rsid w:val="007A2F7E"/>
    <w:pPr>
      <w:suppressAutoHyphens/>
      <w:autoSpaceDE w:val="0"/>
      <w:autoSpaceDN w:val="0"/>
      <w:adjustRightInd w:val="0"/>
      <w:spacing w:line="320" w:lineRule="atLeast"/>
      <w:ind w:left="227" w:firstLine="313"/>
      <w:jc w:val="both"/>
      <w:textAlignment w:val="center"/>
    </w:pPr>
    <w:rPr>
      <w:rFonts w:eastAsiaTheme="minorHAnsi"/>
      <w:color w:val="000000"/>
      <w:lang w:val="en-US"/>
    </w:rPr>
  </w:style>
  <w:style w:type="paragraph" w:customStyle="1" w:styleId="MasterParagrafA">
    <w:name w:val="Master Paragraf A"/>
    <w:basedOn w:val="Normal"/>
    <w:uiPriority w:val="99"/>
    <w:rsid w:val="00D8003A"/>
    <w:pPr>
      <w:autoSpaceDE w:val="0"/>
      <w:autoSpaceDN w:val="0"/>
      <w:adjustRightInd w:val="0"/>
      <w:spacing w:line="320" w:lineRule="atLeast"/>
      <w:ind w:left="510" w:firstLine="350"/>
      <w:jc w:val="both"/>
      <w:textAlignment w:val="center"/>
    </w:pPr>
    <w:rPr>
      <w:rFonts w:eastAsiaTheme="minorHAnsi"/>
      <w:color w:val="000000"/>
      <w:lang w:val="en-US"/>
    </w:rPr>
  </w:style>
  <w:style w:type="paragraph" w:customStyle="1" w:styleId="MasterI">
    <w:name w:val="Master I"/>
    <w:basedOn w:val="Normal"/>
    <w:uiPriority w:val="99"/>
    <w:rsid w:val="00D8003A"/>
    <w:pPr>
      <w:autoSpaceDE w:val="0"/>
      <w:autoSpaceDN w:val="0"/>
      <w:adjustRightInd w:val="0"/>
      <w:spacing w:line="320" w:lineRule="atLeast"/>
      <w:ind w:left="227" w:hanging="227"/>
      <w:jc w:val="both"/>
      <w:textAlignment w:val="center"/>
    </w:pPr>
    <w:rPr>
      <w:rFonts w:eastAsiaTheme="minorHAnsi"/>
      <w:color w:val="000000"/>
      <w:sz w:val="20"/>
      <w:szCs w:val="20"/>
      <w:lang w:val="en-US"/>
    </w:rPr>
  </w:style>
  <w:style w:type="paragraph" w:customStyle="1" w:styleId="MasterFootnote">
    <w:name w:val="Master Footnote"/>
    <w:basedOn w:val="Normal"/>
    <w:next w:val="Normal"/>
    <w:uiPriority w:val="99"/>
    <w:rsid w:val="00241943"/>
    <w:pPr>
      <w:tabs>
        <w:tab w:val="left" w:pos="760"/>
      </w:tabs>
      <w:autoSpaceDE w:val="0"/>
      <w:autoSpaceDN w:val="0"/>
      <w:adjustRightInd w:val="0"/>
      <w:spacing w:line="200" w:lineRule="atLeast"/>
      <w:ind w:firstLine="567"/>
      <w:jc w:val="both"/>
      <w:textAlignment w:val="center"/>
    </w:pPr>
    <w:rPr>
      <w:rFonts w:eastAsiaTheme="minorHAnsi"/>
      <w:i/>
      <w:iCs/>
      <w:color w:val="000000"/>
      <w:sz w:val="20"/>
      <w:szCs w:val="20"/>
      <w:vertAlign w:val="superscript"/>
      <w:lang w:val="en-US"/>
    </w:rPr>
  </w:style>
  <w:style w:type="paragraph" w:customStyle="1" w:styleId="Abstraksi">
    <w:name w:val="Abstraksi"/>
    <w:basedOn w:val="Normal"/>
    <w:uiPriority w:val="99"/>
    <w:rsid w:val="00241943"/>
    <w:pPr>
      <w:autoSpaceDE w:val="0"/>
      <w:autoSpaceDN w:val="0"/>
      <w:adjustRightInd w:val="0"/>
      <w:spacing w:line="260" w:lineRule="atLeast"/>
      <w:ind w:firstLine="260"/>
      <w:jc w:val="both"/>
      <w:textAlignment w:val="center"/>
    </w:pPr>
    <w:rPr>
      <w:rFonts w:eastAsiaTheme="minorHAns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11</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Riyanto Justofeel</dc:creator>
  <cp:keywords/>
  <dc:description/>
  <cp:lastModifiedBy>justofeel@gmail.com</cp:lastModifiedBy>
  <cp:revision>102</cp:revision>
  <cp:lastPrinted>2019-02-04T15:48:00Z</cp:lastPrinted>
  <dcterms:created xsi:type="dcterms:W3CDTF">2017-07-24T03:16:00Z</dcterms:created>
  <dcterms:modified xsi:type="dcterms:W3CDTF">2019-04-23T15:17:00Z</dcterms:modified>
</cp:coreProperties>
</file>