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24967" w14:textId="589819B7" w:rsidR="00805CDE" w:rsidRPr="00FC49E0" w:rsidRDefault="009C4103" w:rsidP="00805CDE">
      <w:pPr>
        <w:spacing w:after="0" w:line="240" w:lineRule="auto"/>
        <w:ind w:right="49"/>
        <w:jc w:val="center"/>
        <w:rPr>
          <w:rFonts w:ascii="Garamond" w:hAnsi="Garamond"/>
          <w:b/>
          <w:bCs/>
          <w:color w:val="000000" w:themeColor="text1"/>
          <w:sz w:val="26"/>
          <w:szCs w:val="26"/>
          <w:lang w:val="en-ID"/>
        </w:rPr>
      </w:pPr>
      <w:bookmarkStart w:id="0" w:name="_Hlk112354250"/>
      <w:r>
        <w:rPr>
          <w:rFonts w:ascii="Garamond" w:hAnsi="Garamond"/>
          <w:b/>
          <w:bCs/>
          <w:color w:val="000000" w:themeColor="text1"/>
          <w:sz w:val="26"/>
          <w:szCs w:val="26"/>
          <w:lang w:val="en-ID"/>
        </w:rPr>
        <w:t xml:space="preserve">Tinjauan Hukum Islam Terhadap </w:t>
      </w:r>
      <w:r w:rsidR="00296DD0" w:rsidRPr="00FC49E0">
        <w:rPr>
          <w:rFonts w:ascii="Garamond" w:hAnsi="Garamond"/>
          <w:b/>
          <w:bCs/>
          <w:color w:val="000000" w:themeColor="text1"/>
          <w:sz w:val="26"/>
          <w:szCs w:val="26"/>
          <w:lang w:val="en-ID"/>
        </w:rPr>
        <w:t>Nisbah</w:t>
      </w:r>
      <w:r w:rsidR="00805CDE" w:rsidRPr="00FC49E0">
        <w:rPr>
          <w:rFonts w:ascii="Garamond" w:hAnsi="Garamond"/>
          <w:b/>
          <w:bCs/>
          <w:color w:val="000000" w:themeColor="text1"/>
          <w:sz w:val="26"/>
          <w:szCs w:val="26"/>
          <w:lang w:val="en-ID"/>
        </w:rPr>
        <w:t xml:space="preserve"> </w:t>
      </w:r>
      <w:r w:rsidR="00183C4B" w:rsidRPr="00FC49E0">
        <w:rPr>
          <w:rFonts w:ascii="Garamond" w:hAnsi="Garamond"/>
          <w:b/>
          <w:bCs/>
          <w:color w:val="000000" w:themeColor="text1"/>
          <w:sz w:val="26"/>
          <w:szCs w:val="26"/>
          <w:lang w:val="en-ID"/>
        </w:rPr>
        <w:t xml:space="preserve">Akad </w:t>
      </w:r>
      <w:r w:rsidR="00805CDE" w:rsidRPr="00FC49E0">
        <w:rPr>
          <w:rFonts w:ascii="Garamond" w:hAnsi="Garamond"/>
          <w:b/>
          <w:bCs/>
          <w:color w:val="000000" w:themeColor="text1"/>
          <w:sz w:val="26"/>
          <w:szCs w:val="26"/>
          <w:lang w:val="en-ID"/>
        </w:rPr>
        <w:t>Musyarakah Terhadap</w:t>
      </w:r>
      <w:r w:rsidR="00805CDE" w:rsidRPr="00FC49E0">
        <w:rPr>
          <w:rFonts w:ascii="Garamond" w:hAnsi="Garamond"/>
          <w:b/>
          <w:bCs/>
          <w:color w:val="000000" w:themeColor="text1"/>
          <w:sz w:val="26"/>
          <w:szCs w:val="26"/>
          <w:lang w:val="id-ID"/>
        </w:rPr>
        <w:t xml:space="preserve"> </w:t>
      </w:r>
      <w:r w:rsidR="00805CDE" w:rsidRPr="00FC49E0">
        <w:rPr>
          <w:rFonts w:ascii="Garamond" w:hAnsi="Garamond"/>
          <w:b/>
          <w:bCs/>
          <w:color w:val="000000" w:themeColor="text1"/>
          <w:sz w:val="26"/>
          <w:szCs w:val="26"/>
          <w:lang w:val="en-ID"/>
        </w:rPr>
        <w:t>Bisnis</w:t>
      </w:r>
      <w:r w:rsidR="00805CDE" w:rsidRPr="00FC49E0">
        <w:rPr>
          <w:rFonts w:ascii="Garamond" w:hAnsi="Garamond"/>
          <w:b/>
          <w:bCs/>
          <w:color w:val="000000" w:themeColor="text1"/>
          <w:sz w:val="26"/>
          <w:szCs w:val="26"/>
          <w:lang w:val="id-ID"/>
        </w:rPr>
        <w:t xml:space="preserve"> Waralaba Industri Ritel</w:t>
      </w:r>
      <w:r w:rsidR="007C6670" w:rsidRPr="00FC49E0">
        <w:rPr>
          <w:rFonts w:ascii="Garamond" w:hAnsi="Garamond"/>
          <w:b/>
          <w:bCs/>
          <w:color w:val="000000" w:themeColor="text1"/>
          <w:sz w:val="26"/>
          <w:szCs w:val="26"/>
          <w:lang w:val="en-ID"/>
        </w:rPr>
        <w:t xml:space="preserve"> Indomart</w:t>
      </w:r>
      <w:r w:rsidR="00805CDE" w:rsidRPr="00FC49E0">
        <w:rPr>
          <w:rFonts w:ascii="Garamond" w:hAnsi="Garamond"/>
          <w:b/>
          <w:bCs/>
          <w:color w:val="000000" w:themeColor="text1"/>
          <w:sz w:val="26"/>
          <w:szCs w:val="26"/>
          <w:lang w:val="id-ID"/>
        </w:rPr>
        <w:t xml:space="preserve"> Di Kudus</w:t>
      </w:r>
      <w:r w:rsidR="00805CDE" w:rsidRPr="00FC49E0">
        <w:rPr>
          <w:rFonts w:ascii="Garamond" w:hAnsi="Garamond"/>
          <w:b/>
          <w:bCs/>
          <w:color w:val="000000" w:themeColor="text1"/>
          <w:sz w:val="26"/>
          <w:szCs w:val="26"/>
          <w:lang w:val="en-ID"/>
        </w:rPr>
        <w:t xml:space="preserve"> </w:t>
      </w:r>
      <w:r w:rsidR="0069532D" w:rsidRPr="00FC49E0">
        <w:rPr>
          <w:rFonts w:ascii="Garamond" w:hAnsi="Garamond"/>
          <w:b/>
          <w:bCs/>
          <w:color w:val="000000" w:themeColor="text1"/>
          <w:sz w:val="26"/>
          <w:szCs w:val="26"/>
          <w:lang w:val="en-ID"/>
        </w:rPr>
        <w:t>dengan LKS</w:t>
      </w:r>
    </w:p>
    <w:p w14:paraId="1F6BBD5E" w14:textId="28DECACA" w:rsidR="00717EFD" w:rsidRPr="00FC49E0" w:rsidRDefault="00805CDE" w:rsidP="00805CDE">
      <w:pPr>
        <w:spacing w:after="0" w:line="240" w:lineRule="auto"/>
        <w:ind w:right="49"/>
        <w:jc w:val="center"/>
        <w:rPr>
          <w:rFonts w:ascii="Garamond" w:hAnsi="Garamond"/>
          <w:b/>
          <w:bCs/>
          <w:color w:val="000000" w:themeColor="text1"/>
          <w:sz w:val="26"/>
          <w:szCs w:val="26"/>
          <w:lang w:val="en-ID"/>
        </w:rPr>
      </w:pPr>
      <w:r w:rsidRPr="00FC49E0">
        <w:rPr>
          <w:rFonts w:ascii="Garamond" w:hAnsi="Garamond"/>
          <w:b/>
          <w:bCs/>
          <w:color w:val="000000" w:themeColor="text1"/>
          <w:sz w:val="26"/>
          <w:szCs w:val="26"/>
          <w:lang w:val="en-ID"/>
        </w:rPr>
        <w:t>(Analisis Fatwa DSN MUI No 08/DSN-MUI/IV/2000)</w:t>
      </w:r>
    </w:p>
    <w:bookmarkEnd w:id="0"/>
    <w:p w14:paraId="06167829" w14:textId="77777777" w:rsidR="00805CDE" w:rsidRPr="00FC49E0" w:rsidRDefault="00805CDE" w:rsidP="00805CDE">
      <w:pPr>
        <w:spacing w:after="0" w:line="240" w:lineRule="auto"/>
        <w:ind w:right="49"/>
        <w:jc w:val="center"/>
        <w:rPr>
          <w:rFonts w:ascii="Garamond" w:hAnsi="Garamond"/>
          <w:b/>
          <w:bCs/>
          <w:color w:val="000000" w:themeColor="text1"/>
          <w:sz w:val="28"/>
          <w:szCs w:val="28"/>
          <w:lang w:val="en-ID"/>
        </w:rPr>
      </w:pPr>
    </w:p>
    <w:p w14:paraId="034C721B" w14:textId="6323D9CB" w:rsidR="0046565F" w:rsidRPr="00FC49E0" w:rsidRDefault="00AF7AFB" w:rsidP="00C80ECA">
      <w:pPr>
        <w:spacing w:after="0" w:line="240" w:lineRule="auto"/>
        <w:jc w:val="center"/>
        <w:rPr>
          <w:rFonts w:ascii="Garamond" w:hAnsi="Garamond"/>
          <w:b/>
          <w:bCs/>
          <w:color w:val="000000" w:themeColor="text1"/>
          <w:sz w:val="24"/>
          <w:szCs w:val="24"/>
          <w:lang w:val="en-ID"/>
        </w:rPr>
      </w:pPr>
      <w:r w:rsidRPr="00FC49E0">
        <w:rPr>
          <w:rFonts w:ascii="Garamond" w:hAnsi="Garamond"/>
          <w:b/>
          <w:bCs/>
          <w:color w:val="000000" w:themeColor="text1"/>
          <w:sz w:val="24"/>
          <w:szCs w:val="24"/>
          <w:lang w:val="en-ID"/>
        </w:rPr>
        <w:t>Inna Fauziatal Ngazizah</w:t>
      </w:r>
    </w:p>
    <w:p w14:paraId="26C216B4" w14:textId="77777777" w:rsidR="0046565F" w:rsidRPr="00FC49E0" w:rsidRDefault="0046565F" w:rsidP="00C80ECA">
      <w:pPr>
        <w:spacing w:after="0" w:line="240" w:lineRule="auto"/>
        <w:jc w:val="center"/>
        <w:rPr>
          <w:rFonts w:ascii="Garamond" w:hAnsi="Garamond"/>
          <w:color w:val="000000" w:themeColor="text1"/>
          <w:sz w:val="24"/>
          <w:szCs w:val="24"/>
          <w:lang w:val="id-ID"/>
        </w:rPr>
      </w:pPr>
      <w:r w:rsidRPr="00FC49E0">
        <w:rPr>
          <w:rFonts w:ascii="Garamond" w:hAnsi="Garamond"/>
          <w:color w:val="000000" w:themeColor="text1"/>
          <w:sz w:val="24"/>
          <w:szCs w:val="24"/>
          <w:lang w:val="id-ID"/>
        </w:rPr>
        <w:t>Institut Agama Islam Negeri Kudus</w:t>
      </w:r>
    </w:p>
    <w:p w14:paraId="7EEDC743" w14:textId="5A126D07" w:rsidR="0046565F" w:rsidRPr="00FC49E0" w:rsidRDefault="009C4103" w:rsidP="00C80ECA">
      <w:pPr>
        <w:spacing w:after="0"/>
        <w:jc w:val="center"/>
        <w:rPr>
          <w:rStyle w:val="Hyperlink"/>
          <w:rFonts w:ascii="Garamond" w:hAnsi="Garamond"/>
          <w:i/>
          <w:iCs/>
          <w:color w:val="000000" w:themeColor="text1"/>
          <w:sz w:val="20"/>
          <w:szCs w:val="20"/>
          <w:lang w:val="en-ID"/>
        </w:rPr>
      </w:pPr>
      <w:hyperlink r:id="rId8" w:history="1">
        <w:r w:rsidR="00FC49E0" w:rsidRPr="00FC49E0">
          <w:rPr>
            <w:rStyle w:val="Hyperlink"/>
            <w:rFonts w:ascii="Garamond" w:hAnsi="Garamond"/>
            <w:i/>
            <w:iCs/>
            <w:color w:val="000000" w:themeColor="text1"/>
            <w:sz w:val="20"/>
            <w:szCs w:val="20"/>
            <w:lang w:val="id-ID"/>
          </w:rPr>
          <w:t>innafauzi@iainkudus.ac.id</w:t>
        </w:r>
      </w:hyperlink>
      <w:r w:rsidR="00FC49E0" w:rsidRPr="00FC49E0">
        <w:rPr>
          <w:rFonts w:ascii="Garamond" w:hAnsi="Garamond"/>
          <w:i/>
          <w:iCs/>
          <w:color w:val="000000" w:themeColor="text1"/>
          <w:sz w:val="20"/>
          <w:szCs w:val="20"/>
          <w:lang w:val="en-ID"/>
        </w:rPr>
        <w:t xml:space="preserve"> </w:t>
      </w:r>
    </w:p>
    <w:p w14:paraId="03025E50" w14:textId="77777777" w:rsidR="009F00B0" w:rsidRPr="00FC49E0" w:rsidRDefault="009F00B0" w:rsidP="0046565F">
      <w:pPr>
        <w:jc w:val="center"/>
        <w:rPr>
          <w:rStyle w:val="Hyperlink"/>
          <w:rFonts w:ascii="Garamond" w:hAnsi="Garamond"/>
          <w:i/>
          <w:iCs/>
          <w:color w:val="000000" w:themeColor="text1"/>
          <w:sz w:val="24"/>
          <w:szCs w:val="24"/>
          <w:lang w:val="id-ID"/>
        </w:rPr>
      </w:pPr>
    </w:p>
    <w:p w14:paraId="1434E9FE" w14:textId="77777777" w:rsidR="00EA5C3C" w:rsidRPr="00FC49E0" w:rsidRDefault="00EA5C3C" w:rsidP="00961745">
      <w:pPr>
        <w:rPr>
          <w:rFonts w:ascii="Garamond" w:hAnsi="Garamond"/>
          <w:color w:val="000000" w:themeColor="text1"/>
          <w:lang w:val="id-ID"/>
        </w:rPr>
      </w:pPr>
    </w:p>
    <w:p w14:paraId="71BA078D" w14:textId="1D36C569" w:rsidR="00961745" w:rsidRPr="00FC49E0" w:rsidRDefault="00961745" w:rsidP="00961745">
      <w:pPr>
        <w:jc w:val="both"/>
        <w:rPr>
          <w:rFonts w:ascii="Garamond" w:hAnsi="Garamond"/>
          <w:i/>
          <w:iCs/>
          <w:color w:val="000000" w:themeColor="text1"/>
          <w:sz w:val="20"/>
          <w:szCs w:val="20"/>
          <w:lang w:val="id-ID"/>
        </w:rPr>
      </w:pPr>
      <w:r w:rsidRPr="00FC49E0">
        <w:rPr>
          <w:rFonts w:ascii="Garamond" w:hAnsi="Garamond"/>
          <w:b/>
          <w:bCs/>
          <w:color w:val="000000" w:themeColor="text1"/>
          <w:sz w:val="20"/>
          <w:szCs w:val="20"/>
          <w:lang w:val="en-ID"/>
        </w:rPr>
        <w:t xml:space="preserve">Abstract: </w:t>
      </w:r>
      <w:r w:rsidRPr="00FC49E0">
        <w:rPr>
          <w:rFonts w:ascii="Garamond" w:hAnsi="Garamond"/>
          <w:i/>
          <w:iCs/>
          <w:color w:val="000000" w:themeColor="text1"/>
          <w:sz w:val="20"/>
          <w:szCs w:val="20"/>
          <w:lang w:val="id-ID"/>
        </w:rPr>
        <w:t>The retail industry is one of the Indonesian networks that provide basic needs and daily needs. This industry is engaged in a promising trading business. Conducting joint ventures with the public and business entities who wish to open a business in the field of trade (business retail) with a franchise system. On the other hand, the concept of cooperation promoted by the DSN MUI fatwa No. 08/DSN-MUI/IV/2000 must also continue to be applied for the realization of the Musyarakah concept. The purpose of this study is to find out how to calculate the musharaka ratio for retail products at Indomart in Kudus and how to analyze the fatwa of DSN MUI No 08/DSN-MUI/IV/2000 on the implementation system for calculating the musharaka ratio for retail products at Indomart in Kudus. This study uses a qualitative descriptive method, namely literature study and document study. The results showed that the calculation of the musharaka ratio for retail products at Indomart in Kudus was in accordance with the fatwa of DSN MUI No. 08/DSN-MUI/IV/2000 on the principle of Distribution of Business Results. In addition, the implementation system for calculating the musharaka ratio for retail products at Indomart in Kudus uses the rveneu sharing method, which is distributed without reducing the cost component.</w:t>
      </w:r>
    </w:p>
    <w:p w14:paraId="7775B99A" w14:textId="597B6186" w:rsidR="00FC49E0" w:rsidRPr="0092599E" w:rsidRDefault="00961745" w:rsidP="00961745">
      <w:pPr>
        <w:jc w:val="both"/>
        <w:rPr>
          <w:rFonts w:ascii="Garamond" w:hAnsi="Garamond"/>
          <w:i/>
          <w:iCs/>
          <w:color w:val="000000" w:themeColor="text1"/>
          <w:sz w:val="20"/>
          <w:szCs w:val="20"/>
          <w:lang w:val="en-ID"/>
        </w:rPr>
      </w:pPr>
      <w:r w:rsidRPr="00FC49E0">
        <w:rPr>
          <w:rFonts w:ascii="Garamond" w:hAnsi="Garamond"/>
          <w:b/>
          <w:bCs/>
          <w:i/>
          <w:iCs/>
          <w:color w:val="000000" w:themeColor="text1"/>
          <w:sz w:val="20"/>
          <w:szCs w:val="20"/>
          <w:lang w:val="en-ID"/>
        </w:rPr>
        <w:t>Keyword:</w:t>
      </w:r>
      <w:r w:rsidRPr="00FC49E0">
        <w:rPr>
          <w:rFonts w:ascii="Garamond" w:hAnsi="Garamond"/>
          <w:i/>
          <w:iCs/>
          <w:color w:val="000000" w:themeColor="text1"/>
          <w:sz w:val="20"/>
          <w:szCs w:val="20"/>
          <w:lang w:val="en-ID"/>
        </w:rPr>
        <w:t xml:space="preserve"> Musyarakah Contract, Franchise Business, </w:t>
      </w:r>
      <w:r w:rsidR="000A1FC8" w:rsidRPr="00FC49E0">
        <w:rPr>
          <w:rFonts w:ascii="Garamond" w:hAnsi="Garamond"/>
          <w:i/>
          <w:iCs/>
          <w:color w:val="000000" w:themeColor="text1"/>
          <w:sz w:val="20"/>
          <w:szCs w:val="20"/>
          <w:lang w:val="en-ID"/>
        </w:rPr>
        <w:t>Retail Industry, Fatwa DSN MUI</w:t>
      </w:r>
    </w:p>
    <w:p w14:paraId="4D016168" w14:textId="5F44E961" w:rsidR="00EA5C3C" w:rsidRPr="00FC49E0" w:rsidRDefault="00EA5C3C" w:rsidP="00FC49E0">
      <w:pPr>
        <w:spacing w:after="0"/>
        <w:ind w:left="1276" w:hanging="1276"/>
        <w:rPr>
          <w:rFonts w:ascii="Garamond" w:hAnsi="Garamond"/>
          <w:b/>
          <w:bCs/>
          <w:color w:val="000000" w:themeColor="text1"/>
          <w:sz w:val="20"/>
          <w:szCs w:val="20"/>
          <w:lang w:val="id-ID"/>
        </w:rPr>
      </w:pPr>
      <w:r w:rsidRPr="00FC49E0">
        <w:rPr>
          <w:rFonts w:ascii="Garamond" w:hAnsi="Garamond"/>
          <w:b/>
          <w:bCs/>
          <w:color w:val="000000" w:themeColor="text1"/>
          <w:sz w:val="20"/>
          <w:szCs w:val="20"/>
          <w:lang w:val="id-ID"/>
        </w:rPr>
        <w:t>Abstrak</w:t>
      </w:r>
    </w:p>
    <w:p w14:paraId="4902AC18" w14:textId="7EAAE0B1" w:rsidR="00672231" w:rsidRPr="00FC49E0" w:rsidRDefault="00524157" w:rsidP="00FC49E0">
      <w:pPr>
        <w:spacing w:after="0" w:line="240" w:lineRule="auto"/>
        <w:jc w:val="both"/>
        <w:rPr>
          <w:rFonts w:ascii="Garamond" w:hAnsi="Garamond"/>
          <w:color w:val="000000" w:themeColor="text1"/>
          <w:sz w:val="20"/>
          <w:szCs w:val="20"/>
        </w:rPr>
      </w:pPr>
      <w:r w:rsidRPr="00FC49E0">
        <w:rPr>
          <w:rFonts w:ascii="Garamond" w:hAnsi="Garamond"/>
          <w:color w:val="000000" w:themeColor="text1"/>
          <w:sz w:val="20"/>
          <w:szCs w:val="20"/>
          <w:lang w:val="en-ID"/>
        </w:rPr>
        <w:t>Industri ritel</w:t>
      </w:r>
      <w:r w:rsidR="009C36EA" w:rsidRPr="00FC49E0">
        <w:rPr>
          <w:rFonts w:ascii="Garamond" w:hAnsi="Garamond"/>
          <w:color w:val="000000" w:themeColor="text1"/>
          <w:sz w:val="20"/>
          <w:szCs w:val="20"/>
          <w:lang w:val="id-ID"/>
        </w:rPr>
        <w:t xml:space="preserve"> merupakan salah satu jaringan Indonesia yang menyediakan kebutuhan pokok dan kebutuhan sehari-hari. </w:t>
      </w:r>
      <w:r w:rsidRPr="00FC49E0">
        <w:rPr>
          <w:rFonts w:ascii="Garamond" w:hAnsi="Garamond"/>
          <w:color w:val="000000" w:themeColor="text1"/>
          <w:sz w:val="20"/>
          <w:szCs w:val="20"/>
        </w:rPr>
        <w:t>Industri ini b</w:t>
      </w:r>
      <w:r w:rsidR="009C36EA" w:rsidRPr="00FC49E0">
        <w:rPr>
          <w:rFonts w:ascii="Garamond" w:hAnsi="Garamond"/>
          <w:color w:val="000000" w:themeColor="text1"/>
          <w:sz w:val="20"/>
          <w:szCs w:val="20"/>
        </w:rPr>
        <w:t xml:space="preserve">ergerak dalam bidang usaha perdagangan </w:t>
      </w:r>
      <w:r w:rsidRPr="00FC49E0">
        <w:rPr>
          <w:rFonts w:ascii="Garamond" w:hAnsi="Garamond"/>
          <w:color w:val="000000" w:themeColor="text1"/>
          <w:sz w:val="20"/>
          <w:szCs w:val="20"/>
        </w:rPr>
        <w:t>yang cukup menjanjikan</w:t>
      </w:r>
      <w:r w:rsidR="009C36EA" w:rsidRPr="00FC49E0">
        <w:rPr>
          <w:rFonts w:ascii="Garamond" w:hAnsi="Garamond"/>
          <w:color w:val="000000" w:themeColor="text1"/>
          <w:sz w:val="20"/>
          <w:szCs w:val="20"/>
          <w:lang w:val="id-ID"/>
        </w:rPr>
        <w:t xml:space="preserve"> </w:t>
      </w:r>
      <w:r w:rsidR="009C36EA" w:rsidRPr="00FC49E0">
        <w:rPr>
          <w:rFonts w:ascii="Garamond" w:hAnsi="Garamond"/>
          <w:color w:val="000000" w:themeColor="text1"/>
          <w:sz w:val="20"/>
          <w:szCs w:val="20"/>
        </w:rPr>
        <w:t xml:space="preserve">Mengadakan kerja sama </w:t>
      </w:r>
      <w:r w:rsidR="009C36EA" w:rsidRPr="00FC49E0">
        <w:rPr>
          <w:rFonts w:ascii="Garamond" w:hAnsi="Garamond"/>
          <w:i/>
          <w:iCs/>
          <w:color w:val="000000" w:themeColor="text1"/>
          <w:sz w:val="20"/>
          <w:szCs w:val="20"/>
        </w:rPr>
        <w:t>(joint venture)</w:t>
      </w:r>
      <w:r w:rsidR="009C36EA" w:rsidRPr="00FC49E0">
        <w:rPr>
          <w:rFonts w:ascii="Garamond" w:hAnsi="Garamond"/>
          <w:color w:val="000000" w:themeColor="text1"/>
          <w:sz w:val="20"/>
          <w:szCs w:val="20"/>
        </w:rPr>
        <w:t xml:space="preserve"> dengan masyarakat dan badan</w:t>
      </w:r>
      <w:r w:rsidR="009C36EA" w:rsidRPr="00FC49E0">
        <w:rPr>
          <w:rFonts w:ascii="Garamond" w:hAnsi="Garamond"/>
          <w:color w:val="000000" w:themeColor="text1"/>
          <w:sz w:val="20"/>
          <w:szCs w:val="20"/>
          <w:lang w:val="id-ID"/>
        </w:rPr>
        <w:t xml:space="preserve"> </w:t>
      </w:r>
      <w:r w:rsidR="009C36EA" w:rsidRPr="00FC49E0">
        <w:rPr>
          <w:rFonts w:ascii="Garamond" w:hAnsi="Garamond"/>
          <w:color w:val="000000" w:themeColor="text1"/>
          <w:sz w:val="20"/>
          <w:szCs w:val="20"/>
        </w:rPr>
        <w:t>usaha yang ingin membuka usah</w:t>
      </w:r>
      <w:r w:rsidRPr="00FC49E0">
        <w:rPr>
          <w:rFonts w:ascii="Garamond" w:hAnsi="Garamond"/>
          <w:color w:val="000000" w:themeColor="text1"/>
          <w:sz w:val="20"/>
          <w:szCs w:val="20"/>
        </w:rPr>
        <w:t>a</w:t>
      </w:r>
      <w:r w:rsidR="009C36EA" w:rsidRPr="00FC49E0">
        <w:rPr>
          <w:rFonts w:ascii="Garamond" w:hAnsi="Garamond"/>
          <w:color w:val="000000" w:themeColor="text1"/>
          <w:sz w:val="20"/>
          <w:szCs w:val="20"/>
        </w:rPr>
        <w:t xml:space="preserve"> dalam bidang perdagangan (</w:t>
      </w:r>
      <w:r w:rsidR="009C36EA" w:rsidRPr="00FC49E0">
        <w:rPr>
          <w:rFonts w:ascii="Garamond" w:hAnsi="Garamond"/>
          <w:i/>
          <w:iCs/>
          <w:color w:val="000000" w:themeColor="text1"/>
          <w:sz w:val="20"/>
          <w:szCs w:val="20"/>
        </w:rPr>
        <w:t>businessretail</w:t>
      </w:r>
      <w:r w:rsidR="009C36EA" w:rsidRPr="00FC49E0">
        <w:rPr>
          <w:rFonts w:ascii="Garamond" w:hAnsi="Garamond"/>
          <w:color w:val="000000" w:themeColor="text1"/>
          <w:sz w:val="20"/>
          <w:szCs w:val="20"/>
        </w:rPr>
        <w:t>) dengan sistem waralaba.</w:t>
      </w:r>
      <w:r w:rsidR="009C36EA" w:rsidRPr="00FC49E0">
        <w:rPr>
          <w:rFonts w:ascii="Garamond" w:hAnsi="Garamond"/>
          <w:color w:val="000000" w:themeColor="text1"/>
          <w:sz w:val="20"/>
          <w:szCs w:val="20"/>
          <w:lang w:val="id-ID"/>
        </w:rPr>
        <w:t xml:space="preserve"> </w:t>
      </w:r>
      <w:r w:rsidR="00296DD0" w:rsidRPr="00FC49E0">
        <w:rPr>
          <w:rFonts w:ascii="Garamond" w:hAnsi="Garamond"/>
          <w:color w:val="000000" w:themeColor="text1"/>
          <w:sz w:val="20"/>
          <w:szCs w:val="20"/>
          <w:lang w:val="id-ID"/>
        </w:rPr>
        <w:t xml:space="preserve">Disisi lain, konsep kerja sama yang diusung oleh fatwa DSN MUI No 08/DSN-MUI/IV/2000 juga harus berus diterapkan demi terwujudnya konsep Musyarakah. </w:t>
      </w:r>
      <w:r w:rsidR="009C36EA" w:rsidRPr="00FC49E0">
        <w:rPr>
          <w:rFonts w:ascii="Garamond" w:hAnsi="Garamond"/>
          <w:color w:val="000000" w:themeColor="text1"/>
          <w:sz w:val="20"/>
          <w:szCs w:val="20"/>
          <w:lang w:val="id-ID"/>
        </w:rPr>
        <w:t xml:space="preserve">Tujuan penelitian ini </w:t>
      </w:r>
      <w:r w:rsidR="00296DD0" w:rsidRPr="00FC49E0">
        <w:rPr>
          <w:rFonts w:ascii="Garamond" w:hAnsi="Garamond"/>
          <w:color w:val="000000" w:themeColor="text1"/>
          <w:sz w:val="20"/>
          <w:szCs w:val="20"/>
          <w:lang w:val="id-ID"/>
        </w:rPr>
        <w:t xml:space="preserve">adalah untuk mengetahui bagaimana pelaksanaan perhitungan nisbah musyarakah produk retail pada Indomart di Kudus </w:t>
      </w:r>
      <w:r w:rsidR="00D762DD" w:rsidRPr="00FC49E0">
        <w:rPr>
          <w:rFonts w:ascii="Garamond" w:hAnsi="Garamond"/>
          <w:color w:val="000000" w:themeColor="text1"/>
          <w:sz w:val="20"/>
          <w:szCs w:val="20"/>
          <w:lang w:val="id-ID"/>
        </w:rPr>
        <w:t>serta</w:t>
      </w:r>
      <w:r w:rsidR="00296DD0" w:rsidRPr="00FC49E0">
        <w:rPr>
          <w:rFonts w:ascii="Garamond" w:hAnsi="Garamond"/>
          <w:color w:val="000000" w:themeColor="text1"/>
          <w:sz w:val="20"/>
          <w:szCs w:val="20"/>
          <w:lang w:val="id-ID"/>
        </w:rPr>
        <w:t xml:space="preserve"> bagaimana analisa fatwa DSN MUI No 08/DSN-MUI/IV/2000 terhadap sistem pelaksanaan perhitungan nisbah musyarakah produk retail pada Indomart di Kudus</w:t>
      </w:r>
      <w:r w:rsidR="009C36EA" w:rsidRPr="00FC49E0">
        <w:rPr>
          <w:rFonts w:ascii="Garamond" w:hAnsi="Garamond"/>
          <w:color w:val="000000" w:themeColor="text1"/>
          <w:sz w:val="20"/>
          <w:szCs w:val="20"/>
          <w:lang w:val="id-ID"/>
        </w:rPr>
        <w:t xml:space="preserve">. </w:t>
      </w:r>
      <w:r w:rsidR="00672231" w:rsidRPr="00FC49E0">
        <w:rPr>
          <w:rFonts w:ascii="Garamond" w:hAnsi="Garamond"/>
          <w:color w:val="000000" w:themeColor="text1"/>
          <w:sz w:val="20"/>
          <w:szCs w:val="20"/>
          <w:lang w:val="id-ID"/>
        </w:rPr>
        <w:t>Penelitian ini menggunakan metod</w:t>
      </w:r>
      <w:r w:rsidR="00EE64D5" w:rsidRPr="00FC49E0">
        <w:rPr>
          <w:rFonts w:ascii="Garamond" w:hAnsi="Garamond"/>
          <w:color w:val="000000" w:themeColor="text1"/>
          <w:sz w:val="20"/>
          <w:szCs w:val="20"/>
          <w:lang w:val="id-ID"/>
        </w:rPr>
        <w:t>e deskriptif kualitatif yaitu</w:t>
      </w:r>
      <w:r w:rsidR="00672231" w:rsidRPr="00FC49E0">
        <w:rPr>
          <w:rFonts w:ascii="Garamond" w:hAnsi="Garamond"/>
          <w:color w:val="000000" w:themeColor="text1"/>
          <w:sz w:val="20"/>
          <w:szCs w:val="20"/>
          <w:lang w:val="id-ID"/>
        </w:rPr>
        <w:t xml:space="preserve"> s</w:t>
      </w:r>
      <w:r w:rsidR="00EE64D5" w:rsidRPr="00FC49E0">
        <w:rPr>
          <w:rFonts w:ascii="Garamond" w:hAnsi="Garamond"/>
          <w:color w:val="000000" w:themeColor="text1"/>
          <w:sz w:val="20"/>
          <w:szCs w:val="20"/>
          <w:lang w:val="id-ID"/>
        </w:rPr>
        <w:t>tudi pustaka dan studi dokumen.</w:t>
      </w:r>
      <w:r w:rsidR="00D762DD" w:rsidRPr="00FC49E0">
        <w:rPr>
          <w:rFonts w:ascii="Garamond" w:hAnsi="Garamond"/>
          <w:color w:val="000000" w:themeColor="text1"/>
          <w:sz w:val="20"/>
          <w:szCs w:val="20"/>
        </w:rPr>
        <w:t xml:space="preserve"> </w:t>
      </w:r>
      <w:r w:rsidR="00D762DD" w:rsidRPr="00FC49E0">
        <w:rPr>
          <w:rFonts w:ascii="Garamond" w:hAnsi="Garamond"/>
          <w:color w:val="000000" w:themeColor="text1"/>
          <w:sz w:val="20"/>
          <w:szCs w:val="20"/>
          <w:lang w:val="id-ID"/>
        </w:rPr>
        <w:t>Hasil penelitian menunjukkan bah</w:t>
      </w:r>
      <w:r w:rsidR="00D762DD" w:rsidRPr="00FC49E0">
        <w:rPr>
          <w:rFonts w:ascii="Garamond" w:hAnsi="Garamond"/>
          <w:color w:val="000000" w:themeColor="text1"/>
          <w:sz w:val="20"/>
          <w:szCs w:val="20"/>
        </w:rPr>
        <w:t xml:space="preserve">wa </w:t>
      </w:r>
      <w:r w:rsidR="00D762DD" w:rsidRPr="00FC49E0">
        <w:rPr>
          <w:rFonts w:ascii="Garamond" w:hAnsi="Garamond"/>
          <w:color w:val="000000" w:themeColor="text1"/>
          <w:sz w:val="20"/>
          <w:szCs w:val="20"/>
          <w:lang w:val="id-ID"/>
        </w:rPr>
        <w:t>pelaksanaan perhitungan nisbah musyarakah produk retail pada Indomart di Kudus</w:t>
      </w:r>
      <w:r w:rsidR="00D762DD" w:rsidRPr="00FC49E0">
        <w:rPr>
          <w:rFonts w:ascii="Garamond" w:hAnsi="Garamond"/>
          <w:color w:val="000000" w:themeColor="text1"/>
          <w:sz w:val="20"/>
          <w:szCs w:val="20"/>
        </w:rPr>
        <w:t xml:space="preserve"> </w:t>
      </w:r>
      <w:r w:rsidR="00A548B9" w:rsidRPr="00FC49E0">
        <w:rPr>
          <w:rFonts w:ascii="Garamond" w:hAnsi="Garamond"/>
          <w:color w:val="000000" w:themeColor="text1"/>
          <w:sz w:val="20"/>
          <w:szCs w:val="20"/>
        </w:rPr>
        <w:t xml:space="preserve">sudah sesuai dengan </w:t>
      </w:r>
      <w:r w:rsidR="00A548B9" w:rsidRPr="00FC49E0">
        <w:rPr>
          <w:rFonts w:ascii="Garamond" w:hAnsi="Garamond"/>
          <w:color w:val="000000" w:themeColor="text1"/>
          <w:sz w:val="20"/>
          <w:szCs w:val="20"/>
          <w:lang w:val="id-ID"/>
        </w:rPr>
        <w:t xml:space="preserve">fatwa DSN MUI No 08/DSN-MUI/IV/2000 </w:t>
      </w:r>
      <w:r w:rsidR="00A548B9" w:rsidRPr="00FC49E0">
        <w:rPr>
          <w:rFonts w:ascii="Garamond" w:hAnsi="Garamond"/>
          <w:color w:val="000000" w:themeColor="text1"/>
          <w:sz w:val="20"/>
          <w:szCs w:val="20"/>
        </w:rPr>
        <w:t>tentang prinsip Distribusi Hasil Usaha</w:t>
      </w:r>
      <w:r w:rsidR="00D762DD" w:rsidRPr="00FC49E0">
        <w:rPr>
          <w:rFonts w:ascii="Garamond" w:hAnsi="Garamond"/>
          <w:color w:val="000000" w:themeColor="text1"/>
          <w:sz w:val="20"/>
          <w:szCs w:val="20"/>
          <w:lang w:val="id-ID"/>
        </w:rPr>
        <w:t>.</w:t>
      </w:r>
      <w:r w:rsidR="00D762DD" w:rsidRPr="00FC49E0">
        <w:rPr>
          <w:rFonts w:ascii="Garamond" w:hAnsi="Garamond"/>
          <w:color w:val="000000" w:themeColor="text1"/>
          <w:sz w:val="20"/>
          <w:szCs w:val="20"/>
        </w:rPr>
        <w:t xml:space="preserve"> Selain itu,</w:t>
      </w:r>
      <w:r w:rsidR="00D762DD" w:rsidRPr="00FC49E0">
        <w:rPr>
          <w:rFonts w:ascii="Garamond" w:hAnsi="Garamond"/>
          <w:color w:val="000000" w:themeColor="text1"/>
          <w:sz w:val="20"/>
          <w:szCs w:val="20"/>
          <w:lang w:val="id-ID"/>
        </w:rPr>
        <w:t xml:space="preserve"> sistem pelaksanaan perhitungan nisbah musyarakah produk retail pada Indomart di Kudus</w:t>
      </w:r>
      <w:r w:rsidR="00A548B9" w:rsidRPr="00FC49E0">
        <w:rPr>
          <w:rFonts w:ascii="Garamond" w:hAnsi="Garamond"/>
          <w:color w:val="000000" w:themeColor="text1"/>
          <w:sz w:val="20"/>
          <w:szCs w:val="20"/>
        </w:rPr>
        <w:t xml:space="preserve"> menggunakan metode rveneu sharing yang pembagiannya tanpa mengurangi komponen biaya.</w:t>
      </w:r>
    </w:p>
    <w:p w14:paraId="7C7ADC29" w14:textId="77777777" w:rsidR="00FC49E0" w:rsidRPr="00FC49E0" w:rsidRDefault="00FC49E0" w:rsidP="00FC49E0">
      <w:pPr>
        <w:spacing w:after="0" w:line="240" w:lineRule="auto"/>
        <w:jc w:val="both"/>
        <w:rPr>
          <w:rFonts w:ascii="Garamond" w:hAnsi="Garamond"/>
          <w:color w:val="000000" w:themeColor="text1"/>
          <w:sz w:val="20"/>
          <w:szCs w:val="20"/>
        </w:rPr>
      </w:pPr>
    </w:p>
    <w:p w14:paraId="4FFAE4D9" w14:textId="77777777" w:rsidR="00A548B9" w:rsidRPr="00FC49E0" w:rsidRDefault="003B52A1" w:rsidP="00A548B9">
      <w:pPr>
        <w:tabs>
          <w:tab w:val="right" w:pos="8271"/>
        </w:tabs>
        <w:ind w:left="1276" w:hanging="1276"/>
        <w:rPr>
          <w:rFonts w:ascii="Garamond" w:hAnsi="Garamond"/>
          <w:color w:val="000000" w:themeColor="text1"/>
          <w:sz w:val="20"/>
          <w:szCs w:val="20"/>
        </w:rPr>
      </w:pPr>
      <w:r w:rsidRPr="00FC49E0">
        <w:rPr>
          <w:rFonts w:ascii="Garamond" w:hAnsi="Garamond"/>
          <w:b/>
          <w:bCs/>
          <w:color w:val="000000" w:themeColor="text1"/>
          <w:sz w:val="20"/>
          <w:szCs w:val="20"/>
          <w:lang w:val="id-ID"/>
        </w:rPr>
        <w:t xml:space="preserve">Kata Kunci </w:t>
      </w:r>
      <w:r w:rsidRPr="00FC49E0">
        <w:rPr>
          <w:rFonts w:ascii="Garamond" w:hAnsi="Garamond"/>
          <w:color w:val="000000" w:themeColor="text1"/>
          <w:sz w:val="20"/>
          <w:szCs w:val="20"/>
          <w:lang w:val="id-ID"/>
        </w:rPr>
        <w:t xml:space="preserve">: </w:t>
      </w:r>
      <w:r w:rsidR="00A548B9" w:rsidRPr="00FC49E0">
        <w:rPr>
          <w:rFonts w:ascii="Garamond" w:hAnsi="Garamond"/>
          <w:color w:val="000000" w:themeColor="text1"/>
          <w:sz w:val="20"/>
          <w:szCs w:val="20"/>
        </w:rPr>
        <w:t>Nisbah Musyarakah, Bisnis Waralaba, Ritel Indomart, Fatwa DSN MUI</w:t>
      </w:r>
    </w:p>
    <w:p w14:paraId="0413937C" w14:textId="3ADDC56E" w:rsidR="009C36EA" w:rsidRPr="00600574" w:rsidRDefault="003B52A1" w:rsidP="00600574">
      <w:pPr>
        <w:tabs>
          <w:tab w:val="right" w:pos="8271"/>
        </w:tabs>
        <w:ind w:left="1276" w:hanging="1276"/>
        <w:rPr>
          <w:rFonts w:ascii="Garamond" w:hAnsi="Garamond"/>
          <w:color w:val="000000" w:themeColor="text1"/>
          <w:lang w:val="id-ID"/>
        </w:rPr>
      </w:pPr>
      <w:r w:rsidRPr="00FC49E0">
        <w:rPr>
          <w:rFonts w:ascii="Garamond" w:hAnsi="Garamond"/>
          <w:color w:val="000000" w:themeColor="text1"/>
          <w:lang w:val="id-ID"/>
        </w:rPr>
        <w:t xml:space="preserve"> </w:t>
      </w:r>
      <w:r w:rsidR="00DB749A" w:rsidRPr="00FC49E0">
        <w:rPr>
          <w:rFonts w:ascii="Garamond" w:hAnsi="Garamond"/>
          <w:b/>
          <w:bCs/>
          <w:color w:val="000000" w:themeColor="text1"/>
          <w:sz w:val="24"/>
          <w:szCs w:val="24"/>
          <w:lang w:val="id-ID"/>
        </w:rPr>
        <w:t xml:space="preserve">PENDAHULUAN </w:t>
      </w:r>
    </w:p>
    <w:p w14:paraId="7E72E8D8" w14:textId="09E90491" w:rsidR="007A4728" w:rsidRPr="00FC49E0" w:rsidRDefault="00F7154A" w:rsidP="007A4728">
      <w:pPr>
        <w:tabs>
          <w:tab w:val="right" w:pos="8271"/>
        </w:tabs>
        <w:spacing w:line="240" w:lineRule="auto"/>
        <w:ind w:firstLine="900"/>
        <w:jc w:val="both"/>
        <w:rPr>
          <w:rFonts w:ascii="Garamond" w:hAnsi="Garamond"/>
          <w:color w:val="000000" w:themeColor="text1"/>
          <w:sz w:val="24"/>
          <w:szCs w:val="24"/>
          <w:lang w:val="id-ID"/>
        </w:rPr>
      </w:pPr>
      <w:r w:rsidRPr="00FC49E0">
        <w:rPr>
          <w:rFonts w:ascii="Garamond" w:hAnsi="Garamond"/>
          <w:color w:val="000000" w:themeColor="text1"/>
          <w:sz w:val="24"/>
          <w:szCs w:val="24"/>
          <w:lang w:val="id-ID"/>
        </w:rPr>
        <w:t xml:space="preserve">Waralaba merupakan suatu pemasaran barang dan jasa secara vertikal yaitu pemberi waralaba bersedia menyerahkan semua sistem usaha waralabanya kepada penerima waralaba berdasarkan perjanjian waralaba sehingga termasuk di dalamnya </w:t>
      </w:r>
      <w:r w:rsidRPr="00FC49E0">
        <w:rPr>
          <w:rFonts w:ascii="Garamond" w:hAnsi="Garamond"/>
          <w:color w:val="000000" w:themeColor="text1"/>
          <w:sz w:val="24"/>
          <w:szCs w:val="24"/>
          <w:lang w:val="id-ID"/>
        </w:rPr>
        <w:lastRenderedPageBreak/>
        <w:t>perjanjian lisensi yang merupakan salah satu jenis dari hak kekayaan intelektual.</w:t>
      </w:r>
      <w:r w:rsidR="002D0664" w:rsidRPr="009C4103">
        <w:rPr>
          <w:rStyle w:val="FootnoteReference"/>
        </w:rPr>
        <w:footnoteReference w:id="1"/>
      </w:r>
      <w:r w:rsidRPr="00FC49E0">
        <w:rPr>
          <w:rFonts w:ascii="Garamond" w:hAnsi="Garamond"/>
          <w:color w:val="000000" w:themeColor="text1"/>
          <w:sz w:val="24"/>
          <w:szCs w:val="24"/>
          <w:lang w:val="id-ID"/>
        </w:rPr>
        <w:t xml:space="preserve"> Dalam perjanjian lisensi memuat beberapa jenis Hak Kekayaan Intelektual (HKI) yaitu, merek terdaftar, nama dagang,</w:t>
      </w:r>
      <w:r w:rsidR="009468A8" w:rsidRPr="00FC49E0">
        <w:rPr>
          <w:rFonts w:ascii="Garamond" w:hAnsi="Garamond"/>
          <w:color w:val="000000" w:themeColor="text1"/>
          <w:sz w:val="24"/>
          <w:szCs w:val="24"/>
          <w:lang w:val="id-ID"/>
        </w:rPr>
        <w:t xml:space="preserve"> logo dan sistem usaha. Industri ritel adalah industri yang menjual produk dan jasa pelayanan yang telah diberi nilai tambah untuk memenuhi kebutuhan pribadi, keluarga, kelompok, atau pemakai akhir, bukan untuk dijual kembali. Dalam penelitian ini dibuat dengan tujuan untuk melakukan penyempurnaan penelitian-penelitian lain sabagai </w:t>
      </w:r>
      <w:r w:rsidR="00E22B3B" w:rsidRPr="00FC49E0">
        <w:rPr>
          <w:rFonts w:ascii="Garamond" w:hAnsi="Garamond"/>
          <w:color w:val="000000" w:themeColor="text1"/>
          <w:sz w:val="24"/>
          <w:szCs w:val="24"/>
          <w:lang w:val="id-ID"/>
        </w:rPr>
        <w:t>acuan pengembangan oleh pembaca.</w:t>
      </w:r>
      <w:r w:rsidR="00463DB7" w:rsidRPr="009C4103">
        <w:rPr>
          <w:rStyle w:val="FootnoteReference"/>
        </w:rPr>
        <w:footnoteReference w:id="2"/>
      </w:r>
      <w:r w:rsidR="00E22B3B" w:rsidRPr="00FC49E0">
        <w:rPr>
          <w:rFonts w:ascii="Garamond" w:hAnsi="Garamond"/>
          <w:color w:val="000000" w:themeColor="text1"/>
          <w:sz w:val="24"/>
          <w:szCs w:val="24"/>
          <w:lang w:val="id-ID"/>
        </w:rPr>
        <w:t xml:space="preserve"> Di dalam masyarakat banyakanya yang belum mengerti terkait kontrak bisnis syariah yang berkaitan dengan waralaba khususnya dalam industri ritel.</w:t>
      </w:r>
      <w:r w:rsidR="007A4728" w:rsidRPr="00FC49E0">
        <w:rPr>
          <w:rFonts w:ascii="Garamond" w:hAnsi="Garamond"/>
          <w:color w:val="000000" w:themeColor="text1"/>
          <w:sz w:val="24"/>
          <w:szCs w:val="24"/>
          <w:lang w:val="id-ID"/>
        </w:rPr>
        <w:t xml:space="preserve"> Konsep bisnis waralaba ini merupakan yang pertama di Indonesia menjadi pelopor dalam bidang minimarket di Indonesia.</w:t>
      </w:r>
      <w:r w:rsidR="00452019" w:rsidRPr="009C4103">
        <w:rPr>
          <w:rStyle w:val="FootnoteReference"/>
        </w:rPr>
        <w:footnoteReference w:id="3"/>
      </w:r>
      <w:r w:rsidR="007A4728" w:rsidRPr="00FC49E0">
        <w:rPr>
          <w:rFonts w:ascii="Garamond" w:hAnsi="Garamond"/>
          <w:color w:val="000000" w:themeColor="text1"/>
          <w:sz w:val="24"/>
          <w:szCs w:val="24"/>
          <w:lang w:val="id-ID"/>
        </w:rPr>
        <w:t xml:space="preserve"> Adanyasambutan hangat yang positif dan dukungan dari masyarakat menjadikan pengembangan Indomaret dari waktu ke waktu semakin cepat. Sampai tahun 2003 Konsep bisnis waralaba Indomaret terbentuk oleh PT Indomarco Prismatama hal ini diakui oleh pemerintah dan dianugerahi sebagai “Perusahaan Waralaba Unggulan 2003”. Menghadiahkan Ini adalah pertama kalinya diberikan kepada perusahaan ritel di Indonesia.</w:t>
      </w:r>
    </w:p>
    <w:p w14:paraId="7E0DA148" w14:textId="50066731" w:rsidR="009468A8" w:rsidRPr="00FC49E0" w:rsidRDefault="002222EE" w:rsidP="00413A87">
      <w:pPr>
        <w:tabs>
          <w:tab w:val="right" w:pos="8271"/>
        </w:tabs>
        <w:ind w:firstLine="990"/>
        <w:jc w:val="both"/>
        <w:rPr>
          <w:rFonts w:ascii="Garamond" w:hAnsi="Garamond"/>
          <w:color w:val="000000" w:themeColor="text1"/>
          <w:sz w:val="24"/>
          <w:szCs w:val="24"/>
        </w:rPr>
      </w:pPr>
      <w:r w:rsidRPr="00FC49E0">
        <w:rPr>
          <w:rFonts w:ascii="Garamond" w:hAnsi="Garamond"/>
          <w:color w:val="000000" w:themeColor="text1"/>
          <w:sz w:val="24"/>
          <w:szCs w:val="24"/>
          <w:lang w:val="id-ID"/>
        </w:rPr>
        <w:t>Berdasarkan</w:t>
      </w:r>
      <w:r w:rsidR="00DC57E4" w:rsidRPr="00FC49E0">
        <w:rPr>
          <w:rFonts w:ascii="Garamond" w:hAnsi="Garamond"/>
          <w:color w:val="000000" w:themeColor="text1"/>
          <w:sz w:val="24"/>
          <w:szCs w:val="24"/>
          <w:lang w:val="id-ID"/>
        </w:rPr>
        <w:t xml:space="preserve"> </w:t>
      </w:r>
      <w:r w:rsidRPr="00FC49E0">
        <w:rPr>
          <w:rFonts w:ascii="Garamond" w:hAnsi="Garamond"/>
          <w:color w:val="000000" w:themeColor="text1"/>
          <w:sz w:val="24"/>
          <w:szCs w:val="24"/>
          <w:lang w:val="id-ID"/>
        </w:rPr>
        <w:t xml:space="preserve">sumber: International Franchise </w:t>
      </w:r>
      <w:r w:rsidR="00EB0A91" w:rsidRPr="00FC49E0">
        <w:rPr>
          <w:rFonts w:ascii="Garamond" w:hAnsi="Garamond"/>
          <w:color w:val="000000" w:themeColor="text1"/>
          <w:sz w:val="24"/>
          <w:szCs w:val="24"/>
          <w:lang w:val="id-ID"/>
        </w:rPr>
        <w:t xml:space="preserve">Association, </w:t>
      </w:r>
      <w:r w:rsidRPr="00FC49E0">
        <w:rPr>
          <w:rFonts w:ascii="Garamond" w:hAnsi="Garamond"/>
          <w:color w:val="000000" w:themeColor="text1"/>
          <w:sz w:val="24"/>
          <w:szCs w:val="24"/>
          <w:lang w:val="id-ID"/>
        </w:rPr>
        <w:t xml:space="preserve">Franchise atau waralaba pada hakekatnya memiliki 3 elemen berikut: merek, sistem bisnis dan biaya (Fees). </w:t>
      </w:r>
      <w:r w:rsidR="00494982" w:rsidRPr="00FC49E0">
        <w:rPr>
          <w:rFonts w:ascii="Garamond" w:hAnsi="Garamond"/>
          <w:color w:val="000000" w:themeColor="text1"/>
          <w:sz w:val="24"/>
          <w:szCs w:val="24"/>
          <w:lang w:val="id-ID"/>
        </w:rPr>
        <w:t>Perjanjian sebagai dasar hukum KUH Perdata 1338 (1), 1233 s.d. 1456 KUH Perdata, para pihak bebas melakukan apapun sepanjang tidak bertentangan dengan hukum yang berlaku, kebias</w:t>
      </w:r>
      <w:r w:rsidR="00B50743" w:rsidRPr="00FC49E0">
        <w:rPr>
          <w:rFonts w:ascii="Garamond" w:hAnsi="Garamond"/>
          <w:color w:val="000000" w:themeColor="text1"/>
          <w:sz w:val="24"/>
          <w:szCs w:val="24"/>
          <w:lang w:val="id-ID"/>
        </w:rPr>
        <w:t>aan, kesopanan</w:t>
      </w:r>
      <w:r w:rsidR="00494982" w:rsidRPr="00FC49E0">
        <w:rPr>
          <w:rFonts w:ascii="Garamond" w:hAnsi="Garamond"/>
          <w:color w:val="000000" w:themeColor="text1"/>
          <w:sz w:val="24"/>
          <w:szCs w:val="24"/>
          <w:lang w:val="id-ID"/>
        </w:rPr>
        <w:t xml:space="preserve"> yang behubungan dengan ketertiban umum, juga tentang syarat-sayarat s</w:t>
      </w:r>
      <w:r w:rsidR="00B50743" w:rsidRPr="00FC49E0">
        <w:rPr>
          <w:rFonts w:ascii="Garamond" w:hAnsi="Garamond"/>
          <w:color w:val="000000" w:themeColor="text1"/>
          <w:sz w:val="24"/>
          <w:szCs w:val="24"/>
          <w:lang w:val="id-ID"/>
        </w:rPr>
        <w:t>ahnya perjanjian.</w:t>
      </w:r>
      <w:r w:rsidR="00452019" w:rsidRPr="009C4103">
        <w:rPr>
          <w:rStyle w:val="FootnoteReference"/>
        </w:rPr>
        <w:footnoteReference w:id="4"/>
      </w:r>
      <w:r w:rsidRPr="00FC49E0">
        <w:rPr>
          <w:rFonts w:ascii="Garamond" w:hAnsi="Garamond"/>
          <w:color w:val="000000" w:themeColor="text1"/>
          <w:sz w:val="24"/>
          <w:szCs w:val="24"/>
          <w:lang w:val="id-ID"/>
        </w:rPr>
        <w:t xml:space="preserve"> </w:t>
      </w:r>
      <w:r w:rsidR="00EB0A91" w:rsidRPr="00FC49E0">
        <w:rPr>
          <w:rFonts w:ascii="Garamond" w:hAnsi="Garamond"/>
          <w:color w:val="000000" w:themeColor="text1"/>
          <w:sz w:val="24"/>
          <w:szCs w:val="24"/>
          <w:lang w:val="id-ID"/>
        </w:rPr>
        <w:t>Di dalam industri ritel memiliki perjanjian waralaba berbentuk tertulis.</w:t>
      </w:r>
      <w:r w:rsidR="00196F79" w:rsidRPr="009C4103">
        <w:rPr>
          <w:rStyle w:val="FootnoteReference"/>
        </w:rPr>
        <w:footnoteReference w:id="5"/>
      </w:r>
      <w:r w:rsidR="00EB0A91" w:rsidRPr="00FC49E0">
        <w:rPr>
          <w:rFonts w:ascii="Garamond" w:hAnsi="Garamond"/>
          <w:color w:val="000000" w:themeColor="text1"/>
          <w:sz w:val="24"/>
          <w:szCs w:val="24"/>
          <w:lang w:val="id-ID"/>
        </w:rPr>
        <w:t xml:space="preserve"> Indomaret memiliki beberapa produk yang diterima dari </w:t>
      </w:r>
      <w:r w:rsidR="00104AFA" w:rsidRPr="00FC49E0">
        <w:rPr>
          <w:rFonts w:ascii="Garamond" w:hAnsi="Garamond"/>
          <w:color w:val="000000" w:themeColor="text1"/>
          <w:sz w:val="24"/>
          <w:szCs w:val="24"/>
          <w:lang w:val="id-ID"/>
        </w:rPr>
        <w:t>berbagai perusahaan dan terdapat perjanjian waralaba yang disepakati dua belah pihak.</w:t>
      </w:r>
      <w:r w:rsidR="00413A87" w:rsidRPr="00FC49E0">
        <w:rPr>
          <w:rFonts w:ascii="Garamond" w:hAnsi="Garamond"/>
          <w:color w:val="000000" w:themeColor="text1"/>
          <w:sz w:val="24"/>
          <w:szCs w:val="24"/>
        </w:rPr>
        <w:t xml:space="preserve"> </w:t>
      </w:r>
      <w:r w:rsidR="00003D0F" w:rsidRPr="00FC49E0">
        <w:rPr>
          <w:rFonts w:ascii="Garamond" w:hAnsi="Garamond"/>
          <w:color w:val="000000" w:themeColor="text1"/>
          <w:sz w:val="24"/>
          <w:szCs w:val="24"/>
        </w:rPr>
        <w:t>Perkembangan bisnis indomart di Kudus terbilang kompeks dengan berbagai jenis produk dan keunggulan lain yang ditawarkan. Berikut merupakan data ritel indomart yang berhasil peneliti himpun</w:t>
      </w:r>
    </w:p>
    <w:tbl>
      <w:tblPr>
        <w:tblStyle w:val="TableGrid"/>
        <w:tblW w:w="5674" w:type="dxa"/>
        <w:tblInd w:w="1555" w:type="dxa"/>
        <w:tblLook w:val="04A0" w:firstRow="1" w:lastRow="0" w:firstColumn="1" w:lastColumn="0" w:noHBand="0" w:noVBand="1"/>
      </w:tblPr>
      <w:tblGrid>
        <w:gridCol w:w="992"/>
        <w:gridCol w:w="2754"/>
        <w:gridCol w:w="1928"/>
      </w:tblGrid>
      <w:tr w:rsidR="00FC49E0" w:rsidRPr="00FC49E0" w14:paraId="6FE86168" w14:textId="77777777" w:rsidTr="00517811">
        <w:tc>
          <w:tcPr>
            <w:tcW w:w="992" w:type="dxa"/>
          </w:tcPr>
          <w:p w14:paraId="69764B76" w14:textId="35F169AB" w:rsidR="00413A87" w:rsidRPr="00FC49E0" w:rsidRDefault="00413A87" w:rsidP="00413A87">
            <w:pPr>
              <w:tabs>
                <w:tab w:val="right" w:pos="8271"/>
              </w:tabs>
              <w:jc w:val="both"/>
              <w:rPr>
                <w:rFonts w:ascii="Garamond" w:hAnsi="Garamond"/>
                <w:color w:val="000000" w:themeColor="text1"/>
                <w:sz w:val="24"/>
                <w:szCs w:val="24"/>
              </w:rPr>
            </w:pPr>
            <w:r w:rsidRPr="00FC49E0">
              <w:rPr>
                <w:rFonts w:ascii="Garamond" w:hAnsi="Garamond"/>
                <w:color w:val="000000" w:themeColor="text1"/>
                <w:sz w:val="24"/>
                <w:szCs w:val="24"/>
              </w:rPr>
              <w:t>No.</w:t>
            </w:r>
          </w:p>
        </w:tc>
        <w:tc>
          <w:tcPr>
            <w:tcW w:w="2754" w:type="dxa"/>
          </w:tcPr>
          <w:p w14:paraId="7A39EF44" w14:textId="252B2F26" w:rsidR="00413A87" w:rsidRPr="00FC49E0" w:rsidRDefault="00413A87" w:rsidP="00413A87">
            <w:pPr>
              <w:tabs>
                <w:tab w:val="right" w:pos="8271"/>
              </w:tabs>
              <w:jc w:val="both"/>
              <w:rPr>
                <w:rFonts w:ascii="Garamond" w:hAnsi="Garamond"/>
                <w:color w:val="000000" w:themeColor="text1"/>
                <w:sz w:val="24"/>
                <w:szCs w:val="24"/>
              </w:rPr>
            </w:pPr>
            <w:r w:rsidRPr="00FC49E0">
              <w:rPr>
                <w:rFonts w:ascii="Garamond" w:hAnsi="Garamond"/>
                <w:color w:val="000000" w:themeColor="text1"/>
                <w:sz w:val="24"/>
                <w:szCs w:val="24"/>
              </w:rPr>
              <w:t>Daerah</w:t>
            </w:r>
          </w:p>
        </w:tc>
        <w:tc>
          <w:tcPr>
            <w:tcW w:w="1928" w:type="dxa"/>
          </w:tcPr>
          <w:p w14:paraId="1B9CF825" w14:textId="27C7879A" w:rsidR="00413A87" w:rsidRPr="00FC49E0" w:rsidRDefault="00413A87" w:rsidP="00413A87">
            <w:pPr>
              <w:tabs>
                <w:tab w:val="right" w:pos="8271"/>
              </w:tabs>
              <w:jc w:val="both"/>
              <w:rPr>
                <w:rFonts w:ascii="Garamond" w:hAnsi="Garamond"/>
                <w:color w:val="000000" w:themeColor="text1"/>
                <w:sz w:val="24"/>
                <w:szCs w:val="24"/>
              </w:rPr>
            </w:pPr>
            <w:r w:rsidRPr="00FC49E0">
              <w:rPr>
                <w:rFonts w:ascii="Garamond" w:hAnsi="Garamond"/>
                <w:color w:val="000000" w:themeColor="text1"/>
                <w:sz w:val="24"/>
                <w:szCs w:val="24"/>
              </w:rPr>
              <w:t>Jumlah Ritel</w:t>
            </w:r>
          </w:p>
        </w:tc>
      </w:tr>
      <w:tr w:rsidR="00FC49E0" w:rsidRPr="00FC49E0" w14:paraId="4F5E6D25" w14:textId="77777777" w:rsidTr="00517811">
        <w:tc>
          <w:tcPr>
            <w:tcW w:w="992" w:type="dxa"/>
          </w:tcPr>
          <w:p w14:paraId="40EDB4F0" w14:textId="10227CFD" w:rsidR="00413A87" w:rsidRPr="00FC49E0" w:rsidRDefault="00413A87" w:rsidP="00413A87">
            <w:pPr>
              <w:tabs>
                <w:tab w:val="right" w:pos="8271"/>
              </w:tabs>
              <w:jc w:val="both"/>
              <w:rPr>
                <w:rFonts w:ascii="Garamond" w:hAnsi="Garamond"/>
                <w:color w:val="000000" w:themeColor="text1"/>
                <w:sz w:val="24"/>
                <w:szCs w:val="24"/>
              </w:rPr>
            </w:pPr>
            <w:r w:rsidRPr="00FC49E0">
              <w:rPr>
                <w:rFonts w:ascii="Garamond" w:hAnsi="Garamond"/>
                <w:color w:val="000000" w:themeColor="text1"/>
                <w:sz w:val="24"/>
                <w:szCs w:val="24"/>
              </w:rPr>
              <w:t>1</w:t>
            </w:r>
          </w:p>
        </w:tc>
        <w:tc>
          <w:tcPr>
            <w:tcW w:w="2754" w:type="dxa"/>
          </w:tcPr>
          <w:p w14:paraId="7A43333A" w14:textId="3F1DAF1F" w:rsidR="00413A87" w:rsidRPr="00FC49E0" w:rsidRDefault="00413A87" w:rsidP="00413A87">
            <w:pPr>
              <w:tabs>
                <w:tab w:val="right" w:pos="8271"/>
              </w:tabs>
              <w:jc w:val="both"/>
              <w:rPr>
                <w:rFonts w:ascii="Garamond" w:hAnsi="Garamond"/>
                <w:color w:val="000000" w:themeColor="text1"/>
                <w:sz w:val="24"/>
                <w:szCs w:val="24"/>
              </w:rPr>
            </w:pPr>
            <w:r w:rsidRPr="00FC49E0">
              <w:rPr>
                <w:rFonts w:ascii="Garamond" w:hAnsi="Garamond"/>
                <w:color w:val="000000" w:themeColor="text1"/>
                <w:sz w:val="24"/>
                <w:szCs w:val="24"/>
              </w:rPr>
              <w:t>Jekulo</w:t>
            </w:r>
          </w:p>
        </w:tc>
        <w:tc>
          <w:tcPr>
            <w:tcW w:w="1928" w:type="dxa"/>
          </w:tcPr>
          <w:p w14:paraId="7F112251" w14:textId="70D40CB4" w:rsidR="00413A87" w:rsidRPr="00FC49E0" w:rsidRDefault="00413A87" w:rsidP="00413A87">
            <w:pPr>
              <w:tabs>
                <w:tab w:val="right" w:pos="8271"/>
              </w:tabs>
              <w:jc w:val="both"/>
              <w:rPr>
                <w:rFonts w:ascii="Garamond" w:hAnsi="Garamond"/>
                <w:color w:val="000000" w:themeColor="text1"/>
                <w:sz w:val="24"/>
                <w:szCs w:val="24"/>
              </w:rPr>
            </w:pPr>
            <w:r w:rsidRPr="00FC49E0">
              <w:rPr>
                <w:rFonts w:ascii="Garamond" w:hAnsi="Garamond"/>
                <w:color w:val="000000" w:themeColor="text1"/>
                <w:sz w:val="24"/>
                <w:szCs w:val="24"/>
              </w:rPr>
              <w:t>5</w:t>
            </w:r>
          </w:p>
        </w:tc>
      </w:tr>
      <w:tr w:rsidR="00FC49E0" w:rsidRPr="00FC49E0" w14:paraId="5EBDA0E7" w14:textId="77777777" w:rsidTr="00517811">
        <w:tc>
          <w:tcPr>
            <w:tcW w:w="992" w:type="dxa"/>
          </w:tcPr>
          <w:p w14:paraId="748DF7AF" w14:textId="1621A365" w:rsidR="00413A87" w:rsidRPr="00FC49E0" w:rsidRDefault="00413A87" w:rsidP="00413A87">
            <w:pPr>
              <w:tabs>
                <w:tab w:val="right" w:pos="8271"/>
              </w:tabs>
              <w:jc w:val="both"/>
              <w:rPr>
                <w:rFonts w:ascii="Garamond" w:hAnsi="Garamond"/>
                <w:color w:val="000000" w:themeColor="text1"/>
                <w:sz w:val="24"/>
                <w:szCs w:val="24"/>
              </w:rPr>
            </w:pPr>
            <w:r w:rsidRPr="00FC49E0">
              <w:rPr>
                <w:rFonts w:ascii="Garamond" w:hAnsi="Garamond"/>
                <w:color w:val="000000" w:themeColor="text1"/>
                <w:sz w:val="24"/>
                <w:szCs w:val="24"/>
              </w:rPr>
              <w:t>2</w:t>
            </w:r>
          </w:p>
        </w:tc>
        <w:tc>
          <w:tcPr>
            <w:tcW w:w="2754" w:type="dxa"/>
          </w:tcPr>
          <w:p w14:paraId="0563ED36" w14:textId="243A3016" w:rsidR="00413A87" w:rsidRPr="00FC49E0" w:rsidRDefault="00413A87" w:rsidP="00413A87">
            <w:pPr>
              <w:tabs>
                <w:tab w:val="right" w:pos="8271"/>
              </w:tabs>
              <w:jc w:val="both"/>
              <w:rPr>
                <w:rFonts w:ascii="Garamond" w:hAnsi="Garamond"/>
                <w:color w:val="000000" w:themeColor="text1"/>
                <w:sz w:val="24"/>
                <w:szCs w:val="24"/>
              </w:rPr>
            </w:pPr>
            <w:r w:rsidRPr="00FC49E0">
              <w:rPr>
                <w:rFonts w:ascii="Garamond" w:hAnsi="Garamond"/>
                <w:color w:val="000000" w:themeColor="text1"/>
                <w:sz w:val="24"/>
                <w:szCs w:val="24"/>
              </w:rPr>
              <w:t>Mejobo</w:t>
            </w:r>
          </w:p>
        </w:tc>
        <w:tc>
          <w:tcPr>
            <w:tcW w:w="1928" w:type="dxa"/>
          </w:tcPr>
          <w:p w14:paraId="658FF52D" w14:textId="2D2E9D30" w:rsidR="00413A87" w:rsidRPr="00FC49E0" w:rsidRDefault="00413A87" w:rsidP="00413A87">
            <w:pPr>
              <w:tabs>
                <w:tab w:val="right" w:pos="8271"/>
              </w:tabs>
              <w:jc w:val="both"/>
              <w:rPr>
                <w:rFonts w:ascii="Garamond" w:hAnsi="Garamond"/>
                <w:color w:val="000000" w:themeColor="text1"/>
                <w:sz w:val="24"/>
                <w:szCs w:val="24"/>
              </w:rPr>
            </w:pPr>
            <w:r w:rsidRPr="00FC49E0">
              <w:rPr>
                <w:rFonts w:ascii="Garamond" w:hAnsi="Garamond"/>
                <w:color w:val="000000" w:themeColor="text1"/>
                <w:sz w:val="24"/>
                <w:szCs w:val="24"/>
              </w:rPr>
              <w:t>7</w:t>
            </w:r>
          </w:p>
        </w:tc>
      </w:tr>
      <w:tr w:rsidR="00FC49E0" w:rsidRPr="00FC49E0" w14:paraId="2A7755E5" w14:textId="77777777" w:rsidTr="00517811">
        <w:tc>
          <w:tcPr>
            <w:tcW w:w="992" w:type="dxa"/>
          </w:tcPr>
          <w:p w14:paraId="2BD2AACA" w14:textId="238616FC" w:rsidR="00413A87" w:rsidRPr="00FC49E0" w:rsidRDefault="00413A87" w:rsidP="00413A87">
            <w:pPr>
              <w:tabs>
                <w:tab w:val="right" w:pos="8271"/>
              </w:tabs>
              <w:jc w:val="both"/>
              <w:rPr>
                <w:rFonts w:ascii="Garamond" w:hAnsi="Garamond"/>
                <w:color w:val="000000" w:themeColor="text1"/>
                <w:sz w:val="24"/>
                <w:szCs w:val="24"/>
              </w:rPr>
            </w:pPr>
            <w:r w:rsidRPr="00FC49E0">
              <w:rPr>
                <w:rFonts w:ascii="Garamond" w:hAnsi="Garamond"/>
                <w:color w:val="000000" w:themeColor="text1"/>
                <w:sz w:val="24"/>
                <w:szCs w:val="24"/>
              </w:rPr>
              <w:lastRenderedPageBreak/>
              <w:t>3</w:t>
            </w:r>
          </w:p>
        </w:tc>
        <w:tc>
          <w:tcPr>
            <w:tcW w:w="2754" w:type="dxa"/>
          </w:tcPr>
          <w:p w14:paraId="4BEEDE4D" w14:textId="0013BCAB" w:rsidR="00413A87" w:rsidRPr="00FC49E0" w:rsidRDefault="00413A87" w:rsidP="00413A87">
            <w:pPr>
              <w:tabs>
                <w:tab w:val="right" w:pos="8271"/>
              </w:tabs>
              <w:jc w:val="both"/>
              <w:rPr>
                <w:rFonts w:ascii="Garamond" w:hAnsi="Garamond"/>
                <w:color w:val="000000" w:themeColor="text1"/>
                <w:sz w:val="24"/>
                <w:szCs w:val="24"/>
              </w:rPr>
            </w:pPr>
            <w:r w:rsidRPr="00FC49E0">
              <w:rPr>
                <w:rFonts w:ascii="Garamond" w:hAnsi="Garamond"/>
                <w:color w:val="000000" w:themeColor="text1"/>
                <w:sz w:val="24"/>
                <w:szCs w:val="24"/>
              </w:rPr>
              <w:t>Bae</w:t>
            </w:r>
          </w:p>
        </w:tc>
        <w:tc>
          <w:tcPr>
            <w:tcW w:w="1928" w:type="dxa"/>
          </w:tcPr>
          <w:p w14:paraId="25D2FE6D" w14:textId="0B707BFF" w:rsidR="00413A87" w:rsidRPr="00FC49E0" w:rsidRDefault="00413A87" w:rsidP="00413A87">
            <w:pPr>
              <w:tabs>
                <w:tab w:val="right" w:pos="8271"/>
              </w:tabs>
              <w:jc w:val="both"/>
              <w:rPr>
                <w:rFonts w:ascii="Garamond" w:hAnsi="Garamond"/>
                <w:color w:val="000000" w:themeColor="text1"/>
                <w:sz w:val="24"/>
                <w:szCs w:val="24"/>
              </w:rPr>
            </w:pPr>
            <w:r w:rsidRPr="00FC49E0">
              <w:rPr>
                <w:rFonts w:ascii="Garamond" w:hAnsi="Garamond"/>
                <w:color w:val="000000" w:themeColor="text1"/>
                <w:sz w:val="24"/>
                <w:szCs w:val="24"/>
              </w:rPr>
              <w:t>10</w:t>
            </w:r>
          </w:p>
        </w:tc>
      </w:tr>
      <w:tr w:rsidR="00FC49E0" w:rsidRPr="00FC49E0" w14:paraId="5B9910C9" w14:textId="77777777" w:rsidTr="00517811">
        <w:tc>
          <w:tcPr>
            <w:tcW w:w="992" w:type="dxa"/>
          </w:tcPr>
          <w:p w14:paraId="3F26F1CE" w14:textId="6A2C8B59" w:rsidR="00413A87" w:rsidRPr="00FC49E0" w:rsidRDefault="00413A87" w:rsidP="00413A87">
            <w:pPr>
              <w:tabs>
                <w:tab w:val="right" w:pos="8271"/>
              </w:tabs>
              <w:jc w:val="both"/>
              <w:rPr>
                <w:rFonts w:ascii="Garamond" w:hAnsi="Garamond"/>
                <w:color w:val="000000" w:themeColor="text1"/>
                <w:sz w:val="24"/>
                <w:szCs w:val="24"/>
              </w:rPr>
            </w:pPr>
            <w:r w:rsidRPr="00FC49E0">
              <w:rPr>
                <w:rFonts w:ascii="Garamond" w:hAnsi="Garamond"/>
                <w:color w:val="000000" w:themeColor="text1"/>
                <w:sz w:val="24"/>
                <w:szCs w:val="24"/>
              </w:rPr>
              <w:t>4</w:t>
            </w:r>
          </w:p>
        </w:tc>
        <w:tc>
          <w:tcPr>
            <w:tcW w:w="2754" w:type="dxa"/>
          </w:tcPr>
          <w:p w14:paraId="54174DD7" w14:textId="4CBFE329" w:rsidR="00413A87" w:rsidRPr="00FC49E0" w:rsidRDefault="00413A87" w:rsidP="00413A87">
            <w:pPr>
              <w:tabs>
                <w:tab w:val="right" w:pos="8271"/>
              </w:tabs>
              <w:jc w:val="both"/>
              <w:rPr>
                <w:rFonts w:ascii="Garamond" w:hAnsi="Garamond"/>
                <w:color w:val="000000" w:themeColor="text1"/>
                <w:sz w:val="24"/>
                <w:szCs w:val="24"/>
              </w:rPr>
            </w:pPr>
            <w:r w:rsidRPr="00FC49E0">
              <w:rPr>
                <w:rFonts w:ascii="Garamond" w:hAnsi="Garamond"/>
                <w:color w:val="000000" w:themeColor="text1"/>
                <w:sz w:val="24"/>
                <w:szCs w:val="24"/>
              </w:rPr>
              <w:t>Kaliwungu</w:t>
            </w:r>
          </w:p>
        </w:tc>
        <w:tc>
          <w:tcPr>
            <w:tcW w:w="1928" w:type="dxa"/>
          </w:tcPr>
          <w:p w14:paraId="1D12216D" w14:textId="0F2B6624" w:rsidR="00413A87" w:rsidRPr="00FC49E0" w:rsidRDefault="00413A87" w:rsidP="00413A87">
            <w:pPr>
              <w:tabs>
                <w:tab w:val="right" w:pos="8271"/>
              </w:tabs>
              <w:jc w:val="both"/>
              <w:rPr>
                <w:rFonts w:ascii="Garamond" w:hAnsi="Garamond"/>
                <w:color w:val="000000" w:themeColor="text1"/>
                <w:sz w:val="24"/>
                <w:szCs w:val="24"/>
              </w:rPr>
            </w:pPr>
            <w:r w:rsidRPr="00FC49E0">
              <w:rPr>
                <w:rFonts w:ascii="Garamond" w:hAnsi="Garamond"/>
                <w:color w:val="000000" w:themeColor="text1"/>
                <w:sz w:val="24"/>
                <w:szCs w:val="24"/>
              </w:rPr>
              <w:t>13</w:t>
            </w:r>
          </w:p>
        </w:tc>
      </w:tr>
      <w:tr w:rsidR="00FC49E0" w:rsidRPr="00FC49E0" w14:paraId="416C36FA" w14:textId="77777777" w:rsidTr="00517811">
        <w:tc>
          <w:tcPr>
            <w:tcW w:w="992" w:type="dxa"/>
          </w:tcPr>
          <w:p w14:paraId="1A25E615" w14:textId="49EAD250" w:rsidR="00413A87" w:rsidRPr="00FC49E0" w:rsidRDefault="00413A87" w:rsidP="00413A87">
            <w:pPr>
              <w:tabs>
                <w:tab w:val="right" w:pos="8271"/>
              </w:tabs>
              <w:jc w:val="both"/>
              <w:rPr>
                <w:rFonts w:ascii="Garamond" w:hAnsi="Garamond"/>
                <w:color w:val="000000" w:themeColor="text1"/>
                <w:sz w:val="24"/>
                <w:szCs w:val="24"/>
              </w:rPr>
            </w:pPr>
            <w:r w:rsidRPr="00FC49E0">
              <w:rPr>
                <w:rFonts w:ascii="Garamond" w:hAnsi="Garamond"/>
                <w:color w:val="000000" w:themeColor="text1"/>
                <w:sz w:val="24"/>
                <w:szCs w:val="24"/>
              </w:rPr>
              <w:t>5</w:t>
            </w:r>
          </w:p>
        </w:tc>
        <w:tc>
          <w:tcPr>
            <w:tcW w:w="2754" w:type="dxa"/>
          </w:tcPr>
          <w:p w14:paraId="3AF87F28" w14:textId="6A43D27E" w:rsidR="00413A87" w:rsidRPr="00FC49E0" w:rsidRDefault="00413A87" w:rsidP="00413A87">
            <w:pPr>
              <w:tabs>
                <w:tab w:val="right" w:pos="8271"/>
              </w:tabs>
              <w:jc w:val="both"/>
              <w:rPr>
                <w:rFonts w:ascii="Garamond" w:hAnsi="Garamond"/>
                <w:color w:val="000000" w:themeColor="text1"/>
                <w:sz w:val="24"/>
                <w:szCs w:val="24"/>
              </w:rPr>
            </w:pPr>
            <w:r w:rsidRPr="00FC49E0">
              <w:rPr>
                <w:rFonts w:ascii="Garamond" w:hAnsi="Garamond"/>
                <w:color w:val="000000" w:themeColor="text1"/>
                <w:sz w:val="24"/>
                <w:szCs w:val="24"/>
              </w:rPr>
              <w:t>Jati</w:t>
            </w:r>
          </w:p>
        </w:tc>
        <w:tc>
          <w:tcPr>
            <w:tcW w:w="1928" w:type="dxa"/>
          </w:tcPr>
          <w:p w14:paraId="6A32FEF7" w14:textId="5CDF10E0" w:rsidR="00413A87" w:rsidRPr="00FC49E0" w:rsidRDefault="00413A87" w:rsidP="00413A87">
            <w:pPr>
              <w:tabs>
                <w:tab w:val="right" w:pos="8271"/>
              </w:tabs>
              <w:jc w:val="both"/>
              <w:rPr>
                <w:rFonts w:ascii="Garamond" w:hAnsi="Garamond"/>
                <w:color w:val="000000" w:themeColor="text1"/>
                <w:sz w:val="24"/>
                <w:szCs w:val="24"/>
              </w:rPr>
            </w:pPr>
            <w:r w:rsidRPr="00FC49E0">
              <w:rPr>
                <w:rFonts w:ascii="Garamond" w:hAnsi="Garamond"/>
                <w:color w:val="000000" w:themeColor="text1"/>
                <w:sz w:val="24"/>
                <w:szCs w:val="24"/>
              </w:rPr>
              <w:t>11</w:t>
            </w:r>
          </w:p>
        </w:tc>
      </w:tr>
      <w:tr w:rsidR="00FC49E0" w:rsidRPr="00FC49E0" w14:paraId="2BE6FB8A" w14:textId="77777777" w:rsidTr="00517811">
        <w:tc>
          <w:tcPr>
            <w:tcW w:w="992" w:type="dxa"/>
          </w:tcPr>
          <w:p w14:paraId="6F85E837" w14:textId="50932000" w:rsidR="00413A87" w:rsidRPr="00FC49E0" w:rsidRDefault="00413A87" w:rsidP="00413A87">
            <w:pPr>
              <w:tabs>
                <w:tab w:val="right" w:pos="8271"/>
              </w:tabs>
              <w:jc w:val="both"/>
              <w:rPr>
                <w:rFonts w:ascii="Garamond" w:hAnsi="Garamond"/>
                <w:color w:val="000000" w:themeColor="text1"/>
                <w:sz w:val="24"/>
                <w:szCs w:val="24"/>
              </w:rPr>
            </w:pPr>
            <w:r w:rsidRPr="00FC49E0">
              <w:rPr>
                <w:rFonts w:ascii="Garamond" w:hAnsi="Garamond"/>
                <w:color w:val="000000" w:themeColor="text1"/>
                <w:sz w:val="24"/>
                <w:szCs w:val="24"/>
              </w:rPr>
              <w:t>6</w:t>
            </w:r>
          </w:p>
        </w:tc>
        <w:tc>
          <w:tcPr>
            <w:tcW w:w="2754" w:type="dxa"/>
          </w:tcPr>
          <w:p w14:paraId="7F2A662F" w14:textId="1BCF316A" w:rsidR="00413A87" w:rsidRPr="00FC49E0" w:rsidRDefault="00413A87" w:rsidP="00413A87">
            <w:pPr>
              <w:tabs>
                <w:tab w:val="right" w:pos="8271"/>
              </w:tabs>
              <w:jc w:val="both"/>
              <w:rPr>
                <w:rFonts w:ascii="Garamond" w:hAnsi="Garamond"/>
                <w:color w:val="000000" w:themeColor="text1"/>
                <w:sz w:val="24"/>
                <w:szCs w:val="24"/>
              </w:rPr>
            </w:pPr>
            <w:r w:rsidRPr="00FC49E0">
              <w:rPr>
                <w:rFonts w:ascii="Garamond" w:hAnsi="Garamond"/>
                <w:color w:val="000000" w:themeColor="text1"/>
                <w:sz w:val="24"/>
                <w:szCs w:val="24"/>
              </w:rPr>
              <w:t>Undaan</w:t>
            </w:r>
          </w:p>
        </w:tc>
        <w:tc>
          <w:tcPr>
            <w:tcW w:w="1928" w:type="dxa"/>
          </w:tcPr>
          <w:p w14:paraId="189F21F9" w14:textId="76A76D8C" w:rsidR="00413A87" w:rsidRPr="00FC49E0" w:rsidRDefault="00413A87" w:rsidP="00413A87">
            <w:pPr>
              <w:tabs>
                <w:tab w:val="right" w:pos="8271"/>
              </w:tabs>
              <w:jc w:val="both"/>
              <w:rPr>
                <w:rFonts w:ascii="Garamond" w:hAnsi="Garamond"/>
                <w:color w:val="000000" w:themeColor="text1"/>
                <w:sz w:val="24"/>
                <w:szCs w:val="24"/>
              </w:rPr>
            </w:pPr>
            <w:r w:rsidRPr="00FC49E0">
              <w:rPr>
                <w:rFonts w:ascii="Garamond" w:hAnsi="Garamond"/>
                <w:color w:val="000000" w:themeColor="text1"/>
                <w:sz w:val="24"/>
                <w:szCs w:val="24"/>
              </w:rPr>
              <w:t>3</w:t>
            </w:r>
          </w:p>
        </w:tc>
      </w:tr>
      <w:tr w:rsidR="00FC49E0" w:rsidRPr="00FC49E0" w14:paraId="4AED0E47" w14:textId="77777777" w:rsidTr="00517811">
        <w:tc>
          <w:tcPr>
            <w:tcW w:w="992" w:type="dxa"/>
          </w:tcPr>
          <w:p w14:paraId="038503DD" w14:textId="7030F664" w:rsidR="00413A87" w:rsidRPr="00FC49E0" w:rsidRDefault="00413A87" w:rsidP="00413A87">
            <w:pPr>
              <w:tabs>
                <w:tab w:val="right" w:pos="8271"/>
              </w:tabs>
              <w:jc w:val="both"/>
              <w:rPr>
                <w:rFonts w:ascii="Garamond" w:hAnsi="Garamond"/>
                <w:color w:val="000000" w:themeColor="text1"/>
                <w:sz w:val="24"/>
                <w:szCs w:val="24"/>
              </w:rPr>
            </w:pPr>
            <w:r w:rsidRPr="00FC49E0">
              <w:rPr>
                <w:rFonts w:ascii="Garamond" w:hAnsi="Garamond"/>
                <w:color w:val="000000" w:themeColor="text1"/>
                <w:sz w:val="24"/>
                <w:szCs w:val="24"/>
              </w:rPr>
              <w:t>7</w:t>
            </w:r>
          </w:p>
        </w:tc>
        <w:tc>
          <w:tcPr>
            <w:tcW w:w="2754" w:type="dxa"/>
          </w:tcPr>
          <w:p w14:paraId="20F1EBFC" w14:textId="2E1DF5BD" w:rsidR="00413A87" w:rsidRPr="00FC49E0" w:rsidRDefault="00413A87" w:rsidP="00413A87">
            <w:pPr>
              <w:tabs>
                <w:tab w:val="right" w:pos="8271"/>
              </w:tabs>
              <w:jc w:val="both"/>
              <w:rPr>
                <w:rFonts w:ascii="Garamond" w:hAnsi="Garamond"/>
                <w:color w:val="000000" w:themeColor="text1"/>
                <w:sz w:val="24"/>
                <w:szCs w:val="24"/>
              </w:rPr>
            </w:pPr>
            <w:r w:rsidRPr="00FC49E0">
              <w:rPr>
                <w:rFonts w:ascii="Garamond" w:hAnsi="Garamond"/>
                <w:color w:val="000000" w:themeColor="text1"/>
                <w:sz w:val="24"/>
                <w:szCs w:val="24"/>
              </w:rPr>
              <w:t>Dawe</w:t>
            </w:r>
          </w:p>
        </w:tc>
        <w:tc>
          <w:tcPr>
            <w:tcW w:w="1928" w:type="dxa"/>
          </w:tcPr>
          <w:p w14:paraId="7BF6ECF3" w14:textId="4E691719" w:rsidR="00413A87" w:rsidRPr="00FC49E0" w:rsidRDefault="00413A87" w:rsidP="00413A87">
            <w:pPr>
              <w:tabs>
                <w:tab w:val="right" w:pos="8271"/>
              </w:tabs>
              <w:jc w:val="both"/>
              <w:rPr>
                <w:rFonts w:ascii="Garamond" w:hAnsi="Garamond"/>
                <w:color w:val="000000" w:themeColor="text1"/>
                <w:sz w:val="24"/>
                <w:szCs w:val="24"/>
              </w:rPr>
            </w:pPr>
            <w:r w:rsidRPr="00FC49E0">
              <w:rPr>
                <w:rFonts w:ascii="Garamond" w:hAnsi="Garamond"/>
                <w:color w:val="000000" w:themeColor="text1"/>
                <w:sz w:val="24"/>
                <w:szCs w:val="24"/>
              </w:rPr>
              <w:t>2</w:t>
            </w:r>
          </w:p>
        </w:tc>
      </w:tr>
      <w:tr w:rsidR="00413A87" w:rsidRPr="00FC49E0" w14:paraId="6E5C90EE" w14:textId="77777777" w:rsidTr="00517811">
        <w:tc>
          <w:tcPr>
            <w:tcW w:w="992" w:type="dxa"/>
          </w:tcPr>
          <w:p w14:paraId="03499822" w14:textId="216944F4" w:rsidR="00413A87" w:rsidRPr="00FC49E0" w:rsidRDefault="00413A87" w:rsidP="00413A87">
            <w:pPr>
              <w:tabs>
                <w:tab w:val="right" w:pos="8271"/>
              </w:tabs>
              <w:jc w:val="both"/>
              <w:rPr>
                <w:rFonts w:ascii="Garamond" w:hAnsi="Garamond"/>
                <w:color w:val="000000" w:themeColor="text1"/>
                <w:sz w:val="24"/>
                <w:szCs w:val="24"/>
              </w:rPr>
            </w:pPr>
            <w:r w:rsidRPr="00FC49E0">
              <w:rPr>
                <w:rFonts w:ascii="Garamond" w:hAnsi="Garamond"/>
                <w:color w:val="000000" w:themeColor="text1"/>
                <w:sz w:val="24"/>
                <w:szCs w:val="24"/>
              </w:rPr>
              <w:t>8</w:t>
            </w:r>
          </w:p>
        </w:tc>
        <w:tc>
          <w:tcPr>
            <w:tcW w:w="2754" w:type="dxa"/>
          </w:tcPr>
          <w:p w14:paraId="395DF7C4" w14:textId="029735D7" w:rsidR="00413A87" w:rsidRPr="00FC49E0" w:rsidRDefault="00413A87" w:rsidP="00413A87">
            <w:pPr>
              <w:tabs>
                <w:tab w:val="right" w:pos="8271"/>
              </w:tabs>
              <w:jc w:val="both"/>
              <w:rPr>
                <w:rFonts w:ascii="Garamond" w:hAnsi="Garamond"/>
                <w:color w:val="000000" w:themeColor="text1"/>
                <w:sz w:val="24"/>
                <w:szCs w:val="24"/>
              </w:rPr>
            </w:pPr>
            <w:r w:rsidRPr="00FC49E0">
              <w:rPr>
                <w:rFonts w:ascii="Garamond" w:hAnsi="Garamond"/>
                <w:color w:val="000000" w:themeColor="text1"/>
                <w:sz w:val="24"/>
                <w:szCs w:val="24"/>
              </w:rPr>
              <w:t>Gebog</w:t>
            </w:r>
          </w:p>
        </w:tc>
        <w:tc>
          <w:tcPr>
            <w:tcW w:w="1928" w:type="dxa"/>
          </w:tcPr>
          <w:p w14:paraId="64F6E282" w14:textId="7DF927B5" w:rsidR="00413A87" w:rsidRPr="00FC49E0" w:rsidRDefault="00413A87" w:rsidP="00413A87">
            <w:pPr>
              <w:tabs>
                <w:tab w:val="right" w:pos="8271"/>
              </w:tabs>
              <w:jc w:val="both"/>
              <w:rPr>
                <w:rFonts w:ascii="Garamond" w:hAnsi="Garamond"/>
                <w:color w:val="000000" w:themeColor="text1"/>
                <w:sz w:val="24"/>
                <w:szCs w:val="24"/>
              </w:rPr>
            </w:pPr>
            <w:r w:rsidRPr="00FC49E0">
              <w:rPr>
                <w:rFonts w:ascii="Garamond" w:hAnsi="Garamond"/>
                <w:color w:val="000000" w:themeColor="text1"/>
                <w:sz w:val="24"/>
                <w:szCs w:val="24"/>
              </w:rPr>
              <w:t>6</w:t>
            </w:r>
          </w:p>
        </w:tc>
      </w:tr>
    </w:tbl>
    <w:p w14:paraId="6BF151EC" w14:textId="17C2DD59" w:rsidR="00A87C22" w:rsidRPr="00FC49E0" w:rsidRDefault="00A87C22" w:rsidP="002222EE">
      <w:pPr>
        <w:tabs>
          <w:tab w:val="right" w:pos="8271"/>
        </w:tabs>
        <w:jc w:val="both"/>
        <w:rPr>
          <w:rFonts w:ascii="Garamond" w:hAnsi="Garamond"/>
          <w:color w:val="000000" w:themeColor="text1"/>
          <w:sz w:val="24"/>
          <w:szCs w:val="24"/>
        </w:rPr>
      </w:pPr>
    </w:p>
    <w:p w14:paraId="13E24006" w14:textId="77777777" w:rsidR="00995F29" w:rsidRPr="00995F29" w:rsidRDefault="00003D0F" w:rsidP="00995F29">
      <w:pPr>
        <w:tabs>
          <w:tab w:val="right" w:pos="8271"/>
        </w:tabs>
        <w:ind w:firstLine="567"/>
        <w:jc w:val="both"/>
        <w:rPr>
          <w:rFonts w:ascii="Garamond" w:hAnsi="Garamond"/>
          <w:color w:val="000000" w:themeColor="text1"/>
          <w:sz w:val="24"/>
          <w:szCs w:val="24"/>
          <w:lang w:val="id-ID"/>
        </w:rPr>
      </w:pPr>
      <w:r w:rsidRPr="00FC49E0">
        <w:rPr>
          <w:rFonts w:ascii="Garamond" w:hAnsi="Garamond"/>
          <w:color w:val="000000" w:themeColor="text1"/>
          <w:sz w:val="24"/>
          <w:szCs w:val="24"/>
        </w:rPr>
        <w:t xml:space="preserve">Berdasarkan data diatas bisnis ritel indomart di kudus dapat dikatakan telah melakukan perluasan bisnis di wilayah ini. Perluasan bisnis ini tidak terlepas dengan masyarakat setempat yang notabene mrupakan warga mayoritas beragama muslim yang menjadi mitranya. Pertanyaan berikutnya adalah bagaimana pelaksanaan prinsip bagi hasil sebagaimana yang terdapat dalam akad mudharabah dan akad musyarakah sebagaimana yang tertuang dalam Undang-Undang Nomor 21 Tahun 2001 tentang pembiayaan musyarakah dan murabahah. Konsep pembagian </w:t>
      </w:r>
      <w:r w:rsidR="008F68A7" w:rsidRPr="00FC49E0">
        <w:rPr>
          <w:rFonts w:ascii="Garamond" w:hAnsi="Garamond"/>
          <w:color w:val="000000" w:themeColor="text1"/>
          <w:sz w:val="24"/>
          <w:szCs w:val="24"/>
        </w:rPr>
        <w:t>akadnya telah dijelaskan dalam f</w:t>
      </w:r>
      <w:r w:rsidRPr="00FC49E0">
        <w:rPr>
          <w:rFonts w:ascii="Garamond" w:hAnsi="Garamond"/>
          <w:color w:val="000000" w:themeColor="text1"/>
          <w:sz w:val="24"/>
          <w:szCs w:val="24"/>
        </w:rPr>
        <w:t>atwa DSN-MUI No.15/DSN-MUI/IX/20</w:t>
      </w:r>
      <w:r w:rsidR="008F68A7" w:rsidRPr="00FC49E0">
        <w:rPr>
          <w:rFonts w:ascii="Garamond" w:hAnsi="Garamond"/>
          <w:color w:val="000000" w:themeColor="text1"/>
          <w:sz w:val="24"/>
          <w:szCs w:val="24"/>
        </w:rPr>
        <w:t>0</w:t>
      </w:r>
      <w:r w:rsidRPr="00FC49E0">
        <w:rPr>
          <w:rFonts w:ascii="Garamond" w:hAnsi="Garamond"/>
          <w:color w:val="000000" w:themeColor="text1"/>
          <w:sz w:val="24"/>
          <w:szCs w:val="24"/>
        </w:rPr>
        <w:t>0 tentang nisbah musyarakah.</w:t>
      </w:r>
      <w:r w:rsidR="00517811" w:rsidRPr="00FC49E0">
        <w:rPr>
          <w:rFonts w:ascii="Garamond" w:hAnsi="Garamond"/>
          <w:color w:val="000000" w:themeColor="text1"/>
          <w:sz w:val="24"/>
          <w:szCs w:val="24"/>
          <w:lang w:val="en-ID"/>
        </w:rPr>
        <w:t xml:space="preserve"> </w:t>
      </w:r>
      <w:r w:rsidR="0025063C" w:rsidRPr="00FC49E0">
        <w:rPr>
          <w:rFonts w:ascii="Garamond" w:hAnsi="Garamond"/>
          <w:color w:val="000000" w:themeColor="text1"/>
          <w:sz w:val="24"/>
          <w:szCs w:val="24"/>
          <w:lang w:val="id-ID"/>
        </w:rPr>
        <w:t xml:space="preserve">Berdasarkan data diatas, maka penelitian ini bertujuan adalah untuk mengetahui bagaimana pelaksanaan perhitungan nisbah musyarakah produk retail pada Indomart di Kudus serta bagaimana analisa fatwa </w:t>
      </w:r>
      <w:r w:rsidR="0025063C" w:rsidRPr="00995F29">
        <w:rPr>
          <w:rFonts w:ascii="Garamond" w:hAnsi="Garamond"/>
          <w:color w:val="000000" w:themeColor="text1"/>
          <w:sz w:val="24"/>
          <w:szCs w:val="24"/>
          <w:lang w:val="id-ID"/>
        </w:rPr>
        <w:t>DSN MUI No 08/DSN-MUI/IV/2000 terhadap sistem</w:t>
      </w:r>
      <w:r w:rsidR="001F3EBD" w:rsidRPr="00995F29">
        <w:rPr>
          <w:rFonts w:ascii="Garamond" w:hAnsi="Garamond"/>
          <w:color w:val="000000" w:themeColor="text1"/>
          <w:sz w:val="24"/>
          <w:szCs w:val="24"/>
          <w:lang w:val="id-ID"/>
        </w:rPr>
        <w:t xml:space="preserve"> pelaksanaan perhitungan nisbah </w:t>
      </w:r>
      <w:r w:rsidR="0025063C" w:rsidRPr="00995F29">
        <w:rPr>
          <w:rFonts w:ascii="Garamond" w:hAnsi="Garamond"/>
          <w:color w:val="000000" w:themeColor="text1"/>
          <w:sz w:val="24"/>
          <w:szCs w:val="24"/>
          <w:lang w:val="id-ID"/>
        </w:rPr>
        <w:t xml:space="preserve">musyarakah produk retail pada Indomart di Kudus. </w:t>
      </w:r>
      <w:bookmarkStart w:id="1" w:name="_Hlk112437108"/>
    </w:p>
    <w:p w14:paraId="67D44996" w14:textId="29CAC091" w:rsidR="00995F29" w:rsidRPr="00995F29" w:rsidRDefault="00995F29" w:rsidP="00995F29">
      <w:pPr>
        <w:tabs>
          <w:tab w:val="right" w:pos="8271"/>
        </w:tabs>
        <w:ind w:firstLine="567"/>
        <w:jc w:val="both"/>
        <w:rPr>
          <w:rFonts w:ascii="Garamond" w:hAnsi="Garamond"/>
          <w:color w:val="000000" w:themeColor="text1"/>
          <w:sz w:val="24"/>
          <w:szCs w:val="24"/>
          <w:lang w:val="id-ID"/>
        </w:rPr>
      </w:pPr>
      <w:r w:rsidRPr="00995F29">
        <w:rPr>
          <w:rFonts w:ascii="Garamond" w:hAnsi="Garamond" w:cs="Times New Roman"/>
          <w:sz w:val="24"/>
          <w:szCs w:val="24"/>
        </w:rPr>
        <w:t xml:space="preserve">Metode penelitian yang digunakan dalam penelitian ini adalah yuridis-sosiologis yakni metode penelitian yang menghubungkan kondisi sebenarnya di masyarakat dengan hukum sebagai gawang dalam peristiwa yang terjadi dalam masyarakat itu sendiri. Sumber data dalam penelitian ini terdiri dari sumber primer dan sumber sekunder. Sumber primer diperoleh melalui wawancara dengan informan yang memiliki keterkaitan dengan permasalahan dalam penelitian ini. Sedangkan sumber sekunder berupa kumpulan literasi seperti buku, artikel, peraturan perundang-undangan dan lain-lain. Uji keabsahan data pada penelitian ini menggunakan uji kredibilitas yang terdiri dari perpanjangan pengamatan, meningkatkan ketekunan, dan triangulasi berupa triangulasi sumber, triangulasi cara/teknis, dan </w:t>
      </w:r>
      <w:r w:rsidRPr="00995F29">
        <w:rPr>
          <w:rFonts w:ascii="Garamond" w:hAnsi="Garamond" w:cs="Times New Roman"/>
          <w:i/>
          <w:iCs/>
          <w:sz w:val="24"/>
          <w:szCs w:val="24"/>
        </w:rPr>
        <w:t>member check</w:t>
      </w:r>
      <w:r w:rsidRPr="00995F29">
        <w:rPr>
          <w:rFonts w:ascii="Garamond" w:hAnsi="Garamond" w:cs="Times New Roman"/>
          <w:sz w:val="24"/>
          <w:szCs w:val="24"/>
        </w:rPr>
        <w:t>. Adapun teknik analisis data yang digunakan adalah diskriptif kualitatif yaitu menguraikan data secara bermutu dalam bentuk kalimat yang teratur, runtun, logis dan tidak tumpang tindih sehingga memudahkan pelaksanaan data dan pemahaman hasil analisis.</w:t>
      </w:r>
    </w:p>
    <w:p w14:paraId="0DA8BEB6" w14:textId="5C4896F6" w:rsidR="00995F29" w:rsidRDefault="0025063C" w:rsidP="00995F29">
      <w:pPr>
        <w:tabs>
          <w:tab w:val="right" w:pos="8271"/>
        </w:tabs>
        <w:ind w:firstLine="567"/>
        <w:jc w:val="both"/>
        <w:rPr>
          <w:rFonts w:ascii="Garamond" w:hAnsi="Garamond"/>
          <w:color w:val="000000" w:themeColor="text1"/>
          <w:sz w:val="24"/>
          <w:szCs w:val="24"/>
          <w:lang w:val="id-ID"/>
        </w:rPr>
      </w:pPr>
      <w:r w:rsidRPr="00995F29">
        <w:rPr>
          <w:rFonts w:ascii="Garamond" w:hAnsi="Garamond" w:cs="Times New Roman"/>
          <w:color w:val="000000" w:themeColor="text1"/>
          <w:sz w:val="24"/>
          <w:szCs w:val="24"/>
        </w:rPr>
        <w:t>Penelusuran pada penelitian sebelumnya yang memiliki hubungan dengan penelitian ini dilakukan</w:t>
      </w:r>
      <w:bookmarkEnd w:id="1"/>
      <w:r w:rsidRPr="00FC49E0">
        <w:rPr>
          <w:rFonts w:ascii="Garamond" w:hAnsi="Garamond" w:cs="Times New Roman"/>
          <w:color w:val="000000" w:themeColor="text1"/>
          <w:sz w:val="24"/>
          <w:szCs w:val="24"/>
        </w:rPr>
        <w:t xml:space="preserve"> oleh </w:t>
      </w:r>
      <w:r w:rsidRPr="00FC49E0">
        <w:rPr>
          <w:rFonts w:ascii="Garamond" w:hAnsi="Garamond"/>
          <w:color w:val="000000" w:themeColor="text1"/>
          <w:sz w:val="24"/>
          <w:szCs w:val="24"/>
          <w:shd w:val="clear" w:color="auto" w:fill="FFFFFF"/>
        </w:rPr>
        <w:t>Kohari Amaludin, Dewi Fatmasari, Abdul Fatakh,</w:t>
      </w:r>
      <w:r w:rsidR="001F3EBD" w:rsidRPr="00FC49E0">
        <w:rPr>
          <w:rFonts w:ascii="Garamond" w:hAnsi="Garamond"/>
          <w:color w:val="000000" w:themeColor="text1"/>
          <w:sz w:val="24"/>
          <w:szCs w:val="24"/>
          <w:shd w:val="clear" w:color="auto" w:fill="FFFFFF"/>
        </w:rPr>
        <w:t xml:space="preserve"> </w:t>
      </w:r>
      <w:r w:rsidRPr="00FC49E0">
        <w:rPr>
          <w:rFonts w:ascii="Garamond" w:hAnsi="Garamond" w:cs="Times New Roman"/>
          <w:color w:val="000000" w:themeColor="text1"/>
          <w:sz w:val="24"/>
          <w:szCs w:val="24"/>
        </w:rPr>
        <w:t>dengan</w:t>
      </w:r>
      <w:r w:rsidR="001F3EBD" w:rsidRPr="00FC49E0">
        <w:rPr>
          <w:rFonts w:ascii="Garamond" w:hAnsi="Garamond" w:cs="Times New Roman"/>
          <w:color w:val="000000" w:themeColor="text1"/>
          <w:sz w:val="24"/>
          <w:szCs w:val="24"/>
        </w:rPr>
        <w:t xml:space="preserve"> Judul</w:t>
      </w:r>
      <w:r w:rsidRPr="00FC49E0">
        <w:rPr>
          <w:rFonts w:ascii="Garamond" w:hAnsi="Garamond" w:cs="Times New Roman"/>
          <w:color w:val="000000" w:themeColor="text1"/>
          <w:sz w:val="24"/>
          <w:szCs w:val="24"/>
        </w:rPr>
        <w:t xml:space="preserve"> </w:t>
      </w:r>
      <w:r w:rsidR="001F3EBD" w:rsidRPr="00FC49E0">
        <w:rPr>
          <w:rFonts w:ascii="Garamond" w:hAnsi="Garamond"/>
          <w:color w:val="000000" w:themeColor="text1"/>
          <w:sz w:val="24"/>
          <w:szCs w:val="24"/>
        </w:rPr>
        <w:t xml:space="preserve">Kontrak Kerjasama Dan Bagi Hasil Bisnis Franchise Agen Tiki Sumber Kabupaten </w:t>
      </w:r>
      <w:r w:rsidR="001F3EBD" w:rsidRPr="00FC49E0">
        <w:rPr>
          <w:rFonts w:ascii="Garamond" w:hAnsi="Garamond"/>
          <w:color w:val="000000" w:themeColor="text1"/>
          <w:sz w:val="24"/>
          <w:szCs w:val="24"/>
        </w:rPr>
        <w:lastRenderedPageBreak/>
        <w:t>Cirebon Dalam Perspektif Hukum Ekonomi Islam</w:t>
      </w:r>
      <w:r w:rsidRPr="00FC49E0">
        <w:rPr>
          <w:rFonts w:ascii="Garamond" w:hAnsi="Garamond" w:cs="Times New Roman"/>
          <w:color w:val="000000" w:themeColor="text1"/>
          <w:sz w:val="24"/>
          <w:szCs w:val="24"/>
        </w:rPr>
        <w:t>.</w:t>
      </w:r>
      <w:r w:rsidR="00196F79" w:rsidRPr="009C4103">
        <w:rPr>
          <w:rStyle w:val="FootnoteReference"/>
        </w:rPr>
        <w:footnoteReference w:id="6"/>
      </w:r>
      <w:r w:rsidRPr="00FC49E0">
        <w:rPr>
          <w:rFonts w:ascii="Garamond" w:hAnsi="Garamond" w:cs="Times New Roman"/>
          <w:color w:val="000000" w:themeColor="text1"/>
          <w:sz w:val="24"/>
          <w:szCs w:val="24"/>
        </w:rPr>
        <w:t xml:space="preserve"> Fokus kajian penelitian ini terletak pada </w:t>
      </w:r>
      <w:r w:rsidR="001F3EBD" w:rsidRPr="00FC49E0">
        <w:rPr>
          <w:rStyle w:val="Emphasis"/>
          <w:rFonts w:ascii="Garamond" w:hAnsi="Garamond"/>
          <w:i w:val="0"/>
          <w:iCs w:val="0"/>
          <w:color w:val="000000" w:themeColor="text1"/>
          <w:sz w:val="24"/>
          <w:szCs w:val="24"/>
          <w:shd w:val="clear" w:color="auto" w:fill="FFFFFF"/>
        </w:rPr>
        <w:t xml:space="preserve">Kontrak kerjasama yang digunakan oleh PT. TIKI dengan Agen TIKI Sumber, telah sesuai dan memenuhi pasal 54 Undang-Undang Nomor 13 tahun 2003 tentang ketenagakerjaan. Sistem bagi hasil yang digunakan oleh PT. TIKI dengan Agen TIKI Sumber menggunakan pembagian prosentase 75% (PT. TIKI): 25% (Agen TIKI).  Sedangkan sistem kerjasama yang digunakan oleh PT. TIKI dengan Agen TIKI Sumber adalah menggunakan sistem kerjasama musyarakah </w:t>
      </w:r>
      <w:r w:rsidR="001F3EBD" w:rsidRPr="00FC49E0">
        <w:rPr>
          <w:rStyle w:val="Emphasis"/>
          <w:rFonts w:ascii="Garamond" w:hAnsi="Garamond"/>
          <w:color w:val="000000" w:themeColor="text1"/>
          <w:sz w:val="24"/>
          <w:szCs w:val="24"/>
          <w:shd w:val="clear" w:color="auto" w:fill="FFFFFF"/>
        </w:rPr>
        <w:t>inân</w:t>
      </w:r>
      <w:r w:rsidRPr="00FC49E0">
        <w:rPr>
          <w:rFonts w:ascii="Garamond" w:hAnsi="Garamond" w:cs="Times New Roman"/>
          <w:color w:val="000000" w:themeColor="text1"/>
          <w:sz w:val="24"/>
          <w:szCs w:val="24"/>
        </w:rPr>
        <w:t xml:space="preserve">. Selanjutnya penelitian yang dilakukan oleh </w:t>
      </w:r>
      <w:r w:rsidR="001F3EBD" w:rsidRPr="00FC49E0">
        <w:rPr>
          <w:rFonts w:ascii="Garamond" w:eastAsia="Times New Roman" w:hAnsi="Garamond" w:cs="Arial"/>
          <w:i/>
          <w:iCs/>
          <w:color w:val="000000" w:themeColor="text1"/>
          <w:sz w:val="24"/>
          <w:szCs w:val="24"/>
        </w:rPr>
        <w:t xml:space="preserve">Selamet Hartanto, Devid Frastiawan Amir Sup </w:t>
      </w:r>
      <w:r w:rsidRPr="00FC49E0">
        <w:rPr>
          <w:rFonts w:ascii="Garamond" w:hAnsi="Garamond" w:cs="Times New Roman"/>
          <w:color w:val="000000" w:themeColor="text1"/>
          <w:sz w:val="24"/>
          <w:szCs w:val="24"/>
        </w:rPr>
        <w:t xml:space="preserve">yang berjudul </w:t>
      </w:r>
      <w:r w:rsidR="001F3EBD" w:rsidRPr="00FC49E0">
        <w:rPr>
          <w:rFonts w:ascii="Garamond" w:hAnsi="Garamond" w:cs="Arial"/>
          <w:color w:val="000000" w:themeColor="text1"/>
          <w:sz w:val="24"/>
          <w:szCs w:val="24"/>
        </w:rPr>
        <w:t>Konsep Hybrid Contract di Indonesia dalam Perspektif Fatwa DSN-MUI</w:t>
      </w:r>
      <w:r w:rsidRPr="00FC49E0">
        <w:rPr>
          <w:rFonts w:ascii="Garamond" w:hAnsi="Garamond" w:cs="Times New Roman"/>
          <w:color w:val="000000" w:themeColor="text1"/>
          <w:sz w:val="24"/>
          <w:szCs w:val="24"/>
          <w:lang w:val="en-ID"/>
        </w:rPr>
        <w:t>.</w:t>
      </w:r>
      <w:r w:rsidR="00A455F1" w:rsidRPr="009C4103">
        <w:rPr>
          <w:rStyle w:val="FootnoteReference"/>
        </w:rPr>
        <w:footnoteReference w:id="7"/>
      </w:r>
      <w:r w:rsidRPr="00FC49E0">
        <w:rPr>
          <w:rFonts w:ascii="Garamond" w:hAnsi="Garamond" w:cs="Times New Roman"/>
          <w:color w:val="000000" w:themeColor="text1"/>
          <w:sz w:val="24"/>
          <w:szCs w:val="24"/>
          <w:lang w:val="en-ID"/>
        </w:rPr>
        <w:t xml:space="preserve"> </w:t>
      </w:r>
      <w:r w:rsidRPr="00FC49E0">
        <w:rPr>
          <w:rFonts w:ascii="Garamond" w:hAnsi="Garamond" w:cs="Times New Roman"/>
          <w:color w:val="000000" w:themeColor="text1"/>
          <w:sz w:val="24"/>
          <w:szCs w:val="24"/>
        </w:rPr>
        <w:t xml:space="preserve">Penelitian ini menguraikan problematika </w:t>
      </w:r>
      <w:r w:rsidR="001F3EBD" w:rsidRPr="00FC49E0">
        <w:rPr>
          <w:rFonts w:ascii="Garamond" w:hAnsi="Garamond" w:cs="Arial"/>
          <w:color w:val="000000" w:themeColor="text1"/>
          <w:sz w:val="24"/>
          <w:szCs w:val="24"/>
          <w:shd w:val="clear" w:color="auto" w:fill="FFFFFF"/>
        </w:rPr>
        <w:t> batasan yang disepakati oleh para ulama mengenai beberapa kriteria bagi </w:t>
      </w:r>
      <w:r w:rsidR="001F3EBD" w:rsidRPr="00FC49E0">
        <w:rPr>
          <w:rStyle w:val="Emphasis"/>
          <w:rFonts w:ascii="Garamond" w:hAnsi="Garamond" w:cs="Arial"/>
          <w:color w:val="000000" w:themeColor="text1"/>
          <w:sz w:val="24"/>
          <w:szCs w:val="24"/>
          <w:shd w:val="clear" w:color="auto" w:fill="FFFFFF"/>
        </w:rPr>
        <w:t>hybrid contract</w:t>
      </w:r>
      <w:r w:rsidR="001F3EBD" w:rsidRPr="00FC49E0">
        <w:rPr>
          <w:rFonts w:ascii="Garamond" w:hAnsi="Garamond" w:cs="Arial"/>
          <w:color w:val="000000" w:themeColor="text1"/>
          <w:sz w:val="24"/>
          <w:szCs w:val="24"/>
          <w:shd w:val="clear" w:color="auto" w:fill="FFFFFF"/>
        </w:rPr>
        <w:t> agar diperbolehkan secara syar’i, yaitu bukan yang dilarang dalam </w:t>
      </w:r>
      <w:r w:rsidR="001F3EBD" w:rsidRPr="00FC49E0">
        <w:rPr>
          <w:rStyle w:val="Emphasis"/>
          <w:rFonts w:ascii="Garamond" w:hAnsi="Garamond" w:cs="Arial"/>
          <w:color w:val="000000" w:themeColor="text1"/>
          <w:sz w:val="24"/>
          <w:szCs w:val="24"/>
          <w:shd w:val="clear" w:color="auto" w:fill="FFFFFF"/>
        </w:rPr>
        <w:t>nash</w:t>
      </w:r>
      <w:r w:rsidR="001F3EBD" w:rsidRPr="00FC49E0">
        <w:rPr>
          <w:rFonts w:ascii="Garamond" w:hAnsi="Garamond" w:cs="Arial"/>
          <w:color w:val="000000" w:themeColor="text1"/>
          <w:sz w:val="24"/>
          <w:szCs w:val="24"/>
          <w:shd w:val="clear" w:color="auto" w:fill="FFFFFF"/>
        </w:rPr>
        <w:t>, tidak menjadi sarana ke suatu yang diharamkan, tidak dijadikan sebagai </w:t>
      </w:r>
      <w:r w:rsidR="001F3EBD" w:rsidRPr="00FC49E0">
        <w:rPr>
          <w:rStyle w:val="Emphasis"/>
          <w:rFonts w:ascii="Garamond" w:hAnsi="Garamond" w:cs="Arial"/>
          <w:color w:val="000000" w:themeColor="text1"/>
          <w:sz w:val="24"/>
          <w:szCs w:val="24"/>
          <w:shd w:val="clear" w:color="auto" w:fill="FFFFFF"/>
        </w:rPr>
        <w:t>hilah</w:t>
      </w:r>
      <w:r w:rsidR="001F3EBD" w:rsidRPr="00FC49E0">
        <w:rPr>
          <w:rFonts w:ascii="Garamond" w:hAnsi="Garamond" w:cs="Arial"/>
          <w:color w:val="000000" w:themeColor="text1"/>
          <w:sz w:val="24"/>
          <w:szCs w:val="24"/>
          <w:shd w:val="clear" w:color="auto" w:fill="FFFFFF"/>
        </w:rPr>
        <w:t> (siasat) untuk mengambil riba dengan jalan lain, dan tidak termasuk ke dalam</w:t>
      </w:r>
      <w:r w:rsidR="001F3EBD" w:rsidRPr="00FC49E0">
        <w:rPr>
          <w:rStyle w:val="Emphasis"/>
          <w:rFonts w:ascii="Garamond" w:hAnsi="Garamond" w:cs="Arial"/>
          <w:color w:val="000000" w:themeColor="text1"/>
          <w:sz w:val="24"/>
          <w:szCs w:val="24"/>
          <w:shd w:val="clear" w:color="auto" w:fill="FFFFFF"/>
        </w:rPr>
        <w:t> </w:t>
      </w:r>
      <w:r w:rsidR="001F3EBD" w:rsidRPr="00FC49E0">
        <w:rPr>
          <w:rFonts w:ascii="Garamond" w:hAnsi="Garamond" w:cs="Arial"/>
          <w:color w:val="000000" w:themeColor="text1"/>
          <w:sz w:val="24"/>
          <w:szCs w:val="24"/>
          <w:shd w:val="clear" w:color="auto" w:fill="FFFFFF"/>
        </w:rPr>
        <w:t>akad-akad yang berlawanan. Fatwa DSN-MUI mengenai </w:t>
      </w:r>
      <w:r w:rsidR="001F3EBD" w:rsidRPr="00FC49E0">
        <w:rPr>
          <w:rStyle w:val="Emphasis"/>
          <w:rFonts w:ascii="Garamond" w:hAnsi="Garamond" w:cs="Arial"/>
          <w:color w:val="000000" w:themeColor="text1"/>
          <w:sz w:val="24"/>
          <w:szCs w:val="24"/>
          <w:shd w:val="clear" w:color="auto" w:fill="FFFFFF"/>
        </w:rPr>
        <w:t>hybrid contract</w:t>
      </w:r>
      <w:r w:rsidR="001F3EBD" w:rsidRPr="00FC49E0">
        <w:rPr>
          <w:rFonts w:ascii="Garamond" w:hAnsi="Garamond" w:cs="Arial"/>
          <w:color w:val="000000" w:themeColor="text1"/>
          <w:sz w:val="24"/>
          <w:szCs w:val="24"/>
          <w:shd w:val="clear" w:color="auto" w:fill="FFFFFF"/>
        </w:rPr>
        <w:t> pada produk keuangan syariah di Indonesia, yaitu </w:t>
      </w:r>
      <w:r w:rsidR="001F3EBD" w:rsidRPr="00FC49E0">
        <w:rPr>
          <w:rStyle w:val="Emphasis"/>
          <w:rFonts w:ascii="Garamond" w:hAnsi="Garamond" w:cs="Arial"/>
          <w:color w:val="000000" w:themeColor="text1"/>
          <w:sz w:val="24"/>
          <w:szCs w:val="24"/>
          <w:shd w:val="clear" w:color="auto" w:fill="FFFFFF"/>
        </w:rPr>
        <w:t>mudharabah musytarakah</w:t>
      </w:r>
      <w:r w:rsidR="001F3EBD" w:rsidRPr="00FC49E0">
        <w:rPr>
          <w:rFonts w:ascii="Garamond" w:hAnsi="Garamond" w:cs="Arial"/>
          <w:color w:val="000000" w:themeColor="text1"/>
          <w:sz w:val="24"/>
          <w:szCs w:val="24"/>
          <w:shd w:val="clear" w:color="auto" w:fill="FFFFFF"/>
        </w:rPr>
        <w:t>, </w:t>
      </w:r>
      <w:r w:rsidR="001F3EBD" w:rsidRPr="00FC49E0">
        <w:rPr>
          <w:rStyle w:val="Emphasis"/>
          <w:rFonts w:ascii="Garamond" w:hAnsi="Garamond" w:cs="Arial"/>
          <w:color w:val="000000" w:themeColor="text1"/>
          <w:sz w:val="24"/>
          <w:szCs w:val="24"/>
          <w:shd w:val="clear" w:color="auto" w:fill="FFFFFF"/>
        </w:rPr>
        <w:t>musyarakah mutanaqisah</w:t>
      </w:r>
      <w:r w:rsidR="001F3EBD" w:rsidRPr="00FC49E0">
        <w:rPr>
          <w:rFonts w:ascii="Garamond" w:hAnsi="Garamond" w:cs="Arial"/>
          <w:color w:val="000000" w:themeColor="text1"/>
          <w:sz w:val="24"/>
          <w:szCs w:val="24"/>
          <w:shd w:val="clear" w:color="auto" w:fill="FFFFFF"/>
        </w:rPr>
        <w:t>, </w:t>
      </w:r>
      <w:r w:rsidR="001F3EBD" w:rsidRPr="00FC49E0">
        <w:rPr>
          <w:rStyle w:val="Emphasis"/>
          <w:rFonts w:ascii="Garamond" w:hAnsi="Garamond" w:cs="Arial"/>
          <w:color w:val="000000" w:themeColor="text1"/>
          <w:sz w:val="24"/>
          <w:szCs w:val="24"/>
          <w:shd w:val="clear" w:color="auto" w:fill="FFFFFF"/>
        </w:rPr>
        <w:t>musyarakah muntahiyah bi al-tamlik</w:t>
      </w:r>
      <w:r w:rsidR="001F3EBD" w:rsidRPr="00FC49E0">
        <w:rPr>
          <w:rFonts w:ascii="Garamond" w:hAnsi="Garamond" w:cs="Arial"/>
          <w:color w:val="000000" w:themeColor="text1"/>
          <w:sz w:val="24"/>
          <w:szCs w:val="24"/>
          <w:shd w:val="clear" w:color="auto" w:fill="FFFFFF"/>
        </w:rPr>
        <w:t>, dan </w:t>
      </w:r>
      <w:r w:rsidR="001F3EBD" w:rsidRPr="00FC49E0">
        <w:rPr>
          <w:rStyle w:val="Emphasis"/>
          <w:rFonts w:ascii="Garamond" w:hAnsi="Garamond" w:cs="Arial"/>
          <w:color w:val="000000" w:themeColor="text1"/>
          <w:sz w:val="24"/>
          <w:szCs w:val="24"/>
          <w:shd w:val="clear" w:color="auto" w:fill="FFFFFF"/>
        </w:rPr>
        <w:t>al-ijarah al-muntahiyah bi al-tamlik</w:t>
      </w:r>
      <w:r w:rsidRPr="00FC49E0">
        <w:rPr>
          <w:rFonts w:ascii="Garamond" w:hAnsi="Garamond" w:cs="Times New Roman"/>
          <w:color w:val="000000" w:themeColor="text1"/>
          <w:sz w:val="24"/>
          <w:szCs w:val="24"/>
        </w:rPr>
        <w:t>.</w:t>
      </w:r>
      <w:bookmarkStart w:id="2" w:name="_Hlk112437278"/>
    </w:p>
    <w:p w14:paraId="4FF78ED2" w14:textId="5BB6E965" w:rsidR="00995F29" w:rsidRDefault="0025063C" w:rsidP="00995F29">
      <w:pPr>
        <w:tabs>
          <w:tab w:val="right" w:pos="8271"/>
        </w:tabs>
        <w:ind w:firstLine="567"/>
        <w:jc w:val="both"/>
        <w:rPr>
          <w:rFonts w:ascii="Garamond" w:hAnsi="Garamond" w:cs="Times New Roman"/>
          <w:color w:val="000000" w:themeColor="text1"/>
          <w:sz w:val="24"/>
          <w:szCs w:val="24"/>
        </w:rPr>
      </w:pPr>
      <w:r w:rsidRPr="00FC49E0">
        <w:rPr>
          <w:rFonts w:ascii="Garamond" w:hAnsi="Garamond" w:cs="Times New Roman"/>
          <w:color w:val="000000" w:themeColor="text1"/>
          <w:sz w:val="24"/>
          <w:szCs w:val="24"/>
        </w:rPr>
        <w:t xml:space="preserve">Berdasarkan penelitian tersebut menunjukkan bahwa penelitian ini memberi definisi yang berbeda mengenai istilah </w:t>
      </w:r>
      <w:r w:rsidR="001F3EBD" w:rsidRPr="00FC49E0">
        <w:rPr>
          <w:rFonts w:ascii="Garamond" w:hAnsi="Garamond" w:cs="Times New Roman"/>
          <w:color w:val="000000" w:themeColor="text1"/>
          <w:sz w:val="24"/>
          <w:szCs w:val="24"/>
        </w:rPr>
        <w:t>nisbah akad musyarakh</w:t>
      </w:r>
      <w:r w:rsidRPr="00FC49E0">
        <w:rPr>
          <w:rFonts w:ascii="Garamond" w:hAnsi="Garamond" w:cs="Times New Roman"/>
          <w:color w:val="000000" w:themeColor="text1"/>
          <w:sz w:val="24"/>
          <w:szCs w:val="24"/>
        </w:rPr>
        <w:t xml:space="preserve">. Selain itu, penelitian ini mengkaji praktek </w:t>
      </w:r>
      <w:r w:rsidR="001F3EBD" w:rsidRPr="00FC49E0">
        <w:rPr>
          <w:rFonts w:ascii="Garamond" w:hAnsi="Garamond"/>
          <w:color w:val="000000" w:themeColor="text1"/>
          <w:sz w:val="24"/>
          <w:szCs w:val="24"/>
          <w:lang w:val="id-ID"/>
        </w:rPr>
        <w:t>pelaksanaan perhitungan nisbah musyarakah produk retail pada Indomart di Kudus serta bagaimana analisa fatwa DSN MUI No 08/DSN-MUI/IV/2000 terhadap sistem pelaksanaan perhitungan nisbah musyarakah produk retail pada Indomart di Kudus</w:t>
      </w:r>
      <w:r w:rsidRPr="00FC49E0">
        <w:rPr>
          <w:rFonts w:ascii="Garamond" w:hAnsi="Garamond" w:cs="Times New Roman"/>
          <w:color w:val="000000" w:themeColor="text1"/>
          <w:sz w:val="24"/>
          <w:szCs w:val="24"/>
        </w:rPr>
        <w:t xml:space="preserve">. Hasil penelitian ini diharapakan dapat memberikan kontribusi bagi seluruh lapisan masyarakat serta pemerintah berwenang setempat dalam merespon fakta yang terjadi di masyarakat tentang </w:t>
      </w:r>
      <w:r w:rsidR="001F3EBD" w:rsidRPr="00FC49E0">
        <w:rPr>
          <w:rFonts w:ascii="Garamond" w:hAnsi="Garamond" w:cs="Times New Roman"/>
          <w:color w:val="000000" w:themeColor="text1"/>
          <w:sz w:val="24"/>
          <w:szCs w:val="24"/>
        </w:rPr>
        <w:t>nisbah akad musyarakah</w:t>
      </w:r>
      <w:r w:rsidRPr="00FC49E0">
        <w:rPr>
          <w:rFonts w:ascii="Garamond" w:hAnsi="Garamond" w:cs="Times New Roman"/>
          <w:color w:val="000000" w:themeColor="text1"/>
          <w:sz w:val="24"/>
          <w:szCs w:val="24"/>
        </w:rPr>
        <w:t xml:space="preserve">. Hal ini penting mengingat </w:t>
      </w:r>
      <w:r w:rsidR="001F3EBD" w:rsidRPr="00FC49E0">
        <w:rPr>
          <w:rFonts w:ascii="Garamond" w:hAnsi="Garamond" w:cs="Times New Roman"/>
          <w:color w:val="000000" w:themeColor="text1"/>
          <w:sz w:val="24"/>
          <w:szCs w:val="24"/>
        </w:rPr>
        <w:t>semakin pesatnya bisnis retail indomart di kota kudus</w:t>
      </w:r>
      <w:bookmarkEnd w:id="2"/>
      <w:r w:rsidR="00995F29">
        <w:rPr>
          <w:rFonts w:ascii="Garamond" w:hAnsi="Garamond" w:cs="Times New Roman"/>
          <w:color w:val="000000" w:themeColor="text1"/>
          <w:sz w:val="24"/>
          <w:szCs w:val="24"/>
        </w:rPr>
        <w:t>.</w:t>
      </w:r>
    </w:p>
    <w:p w14:paraId="1324A98D" w14:textId="77777777" w:rsidR="0092599E" w:rsidRPr="00FC49E0" w:rsidRDefault="0092599E" w:rsidP="00995F29">
      <w:pPr>
        <w:tabs>
          <w:tab w:val="right" w:pos="8271"/>
        </w:tabs>
        <w:ind w:firstLine="567"/>
        <w:jc w:val="both"/>
        <w:rPr>
          <w:rFonts w:ascii="Garamond" w:hAnsi="Garamond"/>
          <w:color w:val="000000" w:themeColor="text1"/>
          <w:sz w:val="24"/>
          <w:szCs w:val="24"/>
          <w:lang w:val="id-ID"/>
        </w:rPr>
      </w:pPr>
    </w:p>
    <w:p w14:paraId="22629DE1" w14:textId="62F3CF36" w:rsidR="00A87C22" w:rsidRPr="00FC49E0" w:rsidRDefault="00A87C22" w:rsidP="008F411B">
      <w:pPr>
        <w:tabs>
          <w:tab w:val="right" w:pos="8271"/>
        </w:tabs>
        <w:jc w:val="both"/>
        <w:rPr>
          <w:rFonts w:ascii="Garamond" w:hAnsi="Garamond"/>
          <w:b/>
          <w:bCs/>
          <w:color w:val="000000" w:themeColor="text1"/>
          <w:sz w:val="24"/>
          <w:szCs w:val="24"/>
        </w:rPr>
      </w:pPr>
      <w:r w:rsidRPr="00FC49E0">
        <w:rPr>
          <w:rFonts w:ascii="Garamond" w:hAnsi="Garamond"/>
          <w:b/>
          <w:bCs/>
          <w:color w:val="000000" w:themeColor="text1"/>
          <w:sz w:val="24"/>
          <w:szCs w:val="24"/>
          <w:lang w:val="id-ID"/>
        </w:rPr>
        <w:t xml:space="preserve">PEMBAHASAN </w:t>
      </w:r>
      <w:r w:rsidR="00E35CA5" w:rsidRPr="00FC49E0">
        <w:rPr>
          <w:rFonts w:ascii="Garamond" w:hAnsi="Garamond"/>
          <w:b/>
          <w:bCs/>
          <w:color w:val="000000" w:themeColor="text1"/>
          <w:sz w:val="24"/>
          <w:szCs w:val="24"/>
          <w:lang w:val="id-ID"/>
        </w:rPr>
        <w:t xml:space="preserve">/ HASIL </w:t>
      </w:r>
      <w:r w:rsidR="008F411B" w:rsidRPr="00FC49E0">
        <w:rPr>
          <w:rFonts w:ascii="Garamond" w:hAnsi="Garamond"/>
          <w:b/>
          <w:bCs/>
          <w:color w:val="000000" w:themeColor="text1"/>
          <w:sz w:val="24"/>
          <w:szCs w:val="24"/>
        </w:rPr>
        <w:t>PENELITIAN</w:t>
      </w:r>
    </w:p>
    <w:p w14:paraId="7F1B1958" w14:textId="159A9961" w:rsidR="00FC49E0" w:rsidRPr="00995F29" w:rsidRDefault="008F411B" w:rsidP="00FC49E0">
      <w:pPr>
        <w:tabs>
          <w:tab w:val="right" w:pos="8271"/>
        </w:tabs>
        <w:jc w:val="both"/>
        <w:rPr>
          <w:rFonts w:ascii="Garamond" w:hAnsi="Garamond"/>
          <w:b/>
          <w:bCs/>
          <w:color w:val="000000" w:themeColor="text1"/>
          <w:sz w:val="24"/>
          <w:szCs w:val="24"/>
          <w:lang w:val="id-ID"/>
        </w:rPr>
      </w:pPr>
      <w:r w:rsidRPr="00FC49E0">
        <w:rPr>
          <w:rFonts w:ascii="Garamond" w:hAnsi="Garamond"/>
          <w:b/>
          <w:bCs/>
          <w:color w:val="000000" w:themeColor="text1"/>
          <w:sz w:val="24"/>
          <w:szCs w:val="24"/>
          <w:lang w:val="id-ID"/>
        </w:rPr>
        <w:t xml:space="preserve">Pelaksanaan Perhitungan Nisbah Musyarakah Produk Retail Pada Indomart Di Kudus </w:t>
      </w:r>
    </w:p>
    <w:p w14:paraId="2B9F3FCC" w14:textId="77777777" w:rsidR="00995F29" w:rsidRDefault="00995F29" w:rsidP="00995F29">
      <w:pPr>
        <w:tabs>
          <w:tab w:val="right" w:pos="8271"/>
        </w:tabs>
        <w:ind w:firstLine="567"/>
        <w:jc w:val="both"/>
        <w:rPr>
          <w:rFonts w:ascii="Garamond" w:hAnsi="Garamond"/>
          <w:color w:val="000000" w:themeColor="text1"/>
          <w:sz w:val="24"/>
          <w:szCs w:val="24"/>
          <w:lang w:val="en-ID"/>
        </w:rPr>
      </w:pPr>
      <w:r>
        <w:rPr>
          <w:rFonts w:ascii="Garamond" w:hAnsi="Garamond"/>
          <w:color w:val="000000" w:themeColor="text1"/>
          <w:sz w:val="24"/>
          <w:szCs w:val="24"/>
          <w:lang w:val="id-ID"/>
        </w:rPr>
        <w:tab/>
      </w:r>
      <w:r w:rsidR="00FC49E0" w:rsidRPr="00FC49E0">
        <w:rPr>
          <w:rFonts w:ascii="Garamond" w:hAnsi="Garamond"/>
          <w:color w:val="000000" w:themeColor="text1"/>
          <w:sz w:val="24"/>
          <w:szCs w:val="24"/>
          <w:lang w:val="id-ID"/>
        </w:rPr>
        <w:t xml:space="preserve">Nisbah atau bagi hasil merupakan kegiatan dalam pemecahan keuntungan atas pengelolaan dana yang dilakukan oleh mitra dengan lembaga keuangan syariah yang </w:t>
      </w:r>
      <w:r w:rsidR="00FC49E0" w:rsidRPr="00FC49E0">
        <w:rPr>
          <w:rFonts w:ascii="Garamond" w:hAnsi="Garamond"/>
          <w:color w:val="000000" w:themeColor="text1"/>
          <w:sz w:val="24"/>
          <w:szCs w:val="24"/>
          <w:lang w:val="id-ID"/>
        </w:rPr>
        <w:lastRenderedPageBreak/>
        <w:t>terlibat.</w:t>
      </w:r>
      <w:r w:rsidR="00FC49E0" w:rsidRPr="009C4103">
        <w:rPr>
          <w:rStyle w:val="FootnoteReference"/>
        </w:rPr>
        <w:footnoteReference w:id="8"/>
      </w:r>
      <w:r w:rsidR="00FC49E0" w:rsidRPr="00FC49E0">
        <w:rPr>
          <w:rFonts w:ascii="Garamond" w:hAnsi="Garamond"/>
          <w:color w:val="000000" w:themeColor="text1"/>
          <w:sz w:val="24"/>
          <w:szCs w:val="24"/>
          <w:lang w:val="id-ID"/>
        </w:rPr>
        <w:t xml:space="preserve"> </w:t>
      </w:r>
      <w:r w:rsidR="00FC49E0" w:rsidRPr="00FC49E0">
        <w:rPr>
          <w:rFonts w:ascii="Garamond" w:hAnsi="Garamond"/>
          <w:color w:val="000000" w:themeColor="text1"/>
          <w:sz w:val="24"/>
          <w:szCs w:val="24"/>
          <w:lang w:val="en-ID"/>
        </w:rPr>
        <w:t>Bagi hasil sendiri juga bisa dikatakan sebagai pembagian keuntungan antara pemilik modal dengan pengelola suaha.</w:t>
      </w:r>
      <w:r w:rsidR="00FC49E0" w:rsidRPr="009C4103">
        <w:rPr>
          <w:rStyle w:val="FootnoteReference"/>
        </w:rPr>
        <w:footnoteReference w:id="9"/>
      </w:r>
      <w:r w:rsidR="00FC49E0" w:rsidRPr="00FC49E0">
        <w:rPr>
          <w:rFonts w:ascii="Garamond" w:hAnsi="Garamond"/>
          <w:color w:val="000000" w:themeColor="text1"/>
          <w:sz w:val="24"/>
          <w:szCs w:val="24"/>
          <w:lang w:val="en-ID"/>
        </w:rPr>
        <w:t xml:space="preserve"> Keuntungan atau kerugian yang mungkin timbul juga harus ditanggung secara bersama oleh kedua belah pihak.</w:t>
      </w:r>
      <w:r w:rsidR="00FC49E0" w:rsidRPr="009C4103">
        <w:rPr>
          <w:rStyle w:val="FootnoteReference"/>
        </w:rPr>
        <w:footnoteReference w:id="10"/>
      </w:r>
      <w:r w:rsidR="00FC49E0" w:rsidRPr="00FC49E0">
        <w:rPr>
          <w:rFonts w:ascii="Garamond" w:hAnsi="Garamond"/>
          <w:color w:val="000000" w:themeColor="text1"/>
          <w:sz w:val="24"/>
          <w:szCs w:val="24"/>
          <w:lang w:val="en-ID"/>
        </w:rPr>
        <w:t xml:space="preserve"> Maka dalam hal ini antara pemilik modal dengan pelaksana usaha melakukan perjanjian atau kesepakatan untuk sama-sama menyepakati bagaimana pemetaan yang mungkin terjadi dikemudian hari. Kemungkinan yang mungkin terjadi bagi kedua belah pihak adalah keuntungan dan kerugian yang timbul dari perjanjian yang dilakukan oleh kedua pihak.</w:t>
      </w:r>
    </w:p>
    <w:p w14:paraId="48D798BC" w14:textId="6876AB87" w:rsidR="00FC49E0" w:rsidRPr="00FC49E0" w:rsidRDefault="00FC49E0" w:rsidP="00995F29">
      <w:pPr>
        <w:tabs>
          <w:tab w:val="right" w:pos="8271"/>
        </w:tabs>
        <w:ind w:firstLine="567"/>
        <w:jc w:val="both"/>
        <w:rPr>
          <w:rFonts w:ascii="Garamond" w:hAnsi="Garamond"/>
          <w:color w:val="000000" w:themeColor="text1"/>
          <w:sz w:val="24"/>
          <w:szCs w:val="24"/>
          <w:lang w:val="en-ID"/>
        </w:rPr>
      </w:pPr>
      <w:r w:rsidRPr="00FC49E0">
        <w:rPr>
          <w:rFonts w:ascii="Garamond" w:hAnsi="Garamond"/>
          <w:color w:val="000000" w:themeColor="text1"/>
          <w:sz w:val="24"/>
          <w:szCs w:val="24"/>
          <w:lang w:val="en-ID"/>
        </w:rPr>
        <w:t>Sedangkan musyarakah atau kerjasama seniri merupakan kesepakatan dua pihak atau lebih yang terlibat.</w:t>
      </w:r>
      <w:r w:rsidRPr="009C4103">
        <w:rPr>
          <w:rStyle w:val="FootnoteReference"/>
        </w:rPr>
        <w:footnoteReference w:id="11"/>
      </w:r>
      <w:r w:rsidRPr="00FC49E0">
        <w:rPr>
          <w:rFonts w:ascii="Garamond" w:hAnsi="Garamond"/>
          <w:color w:val="000000" w:themeColor="text1"/>
          <w:sz w:val="24"/>
          <w:szCs w:val="24"/>
          <w:lang w:val="en-ID"/>
        </w:rPr>
        <w:t xml:space="preserve"> Musyarakah dianggap sebagai kerjasama untuk melakukan usaha tertentu dimana kedua belah pihak harus memberikan kontribusi baik dana ataupun kontribusi dalam hal pengelolaan dana tersebut.</w:t>
      </w:r>
      <w:r w:rsidRPr="009C4103">
        <w:rPr>
          <w:rStyle w:val="FootnoteReference"/>
        </w:rPr>
        <w:footnoteReference w:id="12"/>
      </w:r>
      <w:r w:rsidRPr="00FC49E0">
        <w:rPr>
          <w:rFonts w:ascii="Garamond" w:hAnsi="Garamond"/>
          <w:color w:val="000000" w:themeColor="text1"/>
          <w:sz w:val="24"/>
          <w:szCs w:val="24"/>
          <w:lang w:val="en-ID"/>
        </w:rPr>
        <w:t xml:space="preserve"> Musyarakah harus diawali dengan akad dimana pihak yang memberikan kontribusi membentuk ketentuan-ketentuan atau batasan-batasan atas pelaksananaan jenis usaha yang dilakukan.</w:t>
      </w:r>
      <w:r w:rsidRPr="009C4103">
        <w:rPr>
          <w:rStyle w:val="FootnoteReference"/>
        </w:rPr>
        <w:footnoteReference w:id="13"/>
      </w:r>
      <w:r w:rsidRPr="00FC49E0">
        <w:rPr>
          <w:rFonts w:ascii="Garamond" w:hAnsi="Garamond"/>
          <w:color w:val="000000" w:themeColor="text1"/>
          <w:sz w:val="24"/>
          <w:szCs w:val="24"/>
          <w:lang w:val="en-ID"/>
        </w:rPr>
        <w:t xml:space="preserve"> Bagi pihak penyedia dana memberikan kontribusi yang dapat dipetakan dalam bentuk kas ataupun aset nonkas. Sebagaimana yang disebutkan oleh antonis yang berbunyi: </w:t>
      </w:r>
      <w:r w:rsidRPr="00FC49E0">
        <w:rPr>
          <w:rFonts w:ascii="Garamond" w:hAnsi="Garamond"/>
          <w:i/>
          <w:iCs/>
          <w:color w:val="000000" w:themeColor="text1"/>
          <w:sz w:val="24"/>
          <w:szCs w:val="24"/>
          <w:lang w:val="en-ID"/>
        </w:rPr>
        <w:t>Musyarakat contracts are similar to joint benture agreements in which a bank and an entrepeneur jointly contrbute capital and manage a business project</w:t>
      </w:r>
      <w:r w:rsidRPr="00FC49E0">
        <w:rPr>
          <w:rFonts w:ascii="Garamond" w:hAnsi="Garamond"/>
          <w:color w:val="000000" w:themeColor="text1"/>
          <w:sz w:val="24"/>
          <w:szCs w:val="24"/>
          <w:lang w:val="en-ID"/>
        </w:rPr>
        <w:t>. Selanjutnya dalam pelaksanaan akad harus memenuhi beberapa rukun ainataranya adalah:</w:t>
      </w:r>
    </w:p>
    <w:p w14:paraId="120B41A9" w14:textId="77777777" w:rsidR="00FC49E0" w:rsidRPr="00FC49E0" w:rsidRDefault="00FC49E0" w:rsidP="00FC49E0">
      <w:pPr>
        <w:pStyle w:val="ListParagraph"/>
        <w:numPr>
          <w:ilvl w:val="0"/>
          <w:numId w:val="21"/>
        </w:numPr>
        <w:tabs>
          <w:tab w:val="right" w:pos="8271"/>
        </w:tabs>
        <w:jc w:val="both"/>
        <w:rPr>
          <w:rFonts w:ascii="Garamond" w:hAnsi="Garamond"/>
          <w:color w:val="000000" w:themeColor="text1"/>
          <w:sz w:val="24"/>
          <w:szCs w:val="24"/>
          <w:lang w:val="en-ID"/>
        </w:rPr>
      </w:pPr>
      <w:r w:rsidRPr="00FC49E0">
        <w:rPr>
          <w:rFonts w:ascii="Garamond" w:hAnsi="Garamond"/>
          <w:color w:val="000000" w:themeColor="text1"/>
          <w:sz w:val="24"/>
          <w:szCs w:val="24"/>
          <w:lang w:val="en-ID"/>
        </w:rPr>
        <w:t>Akad</w:t>
      </w:r>
    </w:p>
    <w:p w14:paraId="54E2B04F" w14:textId="77777777" w:rsidR="00FC49E0" w:rsidRPr="00FC49E0" w:rsidRDefault="00FC49E0" w:rsidP="00FC49E0">
      <w:pPr>
        <w:pStyle w:val="ListParagraph"/>
        <w:numPr>
          <w:ilvl w:val="0"/>
          <w:numId w:val="21"/>
        </w:numPr>
        <w:tabs>
          <w:tab w:val="right" w:pos="8271"/>
        </w:tabs>
        <w:jc w:val="both"/>
        <w:rPr>
          <w:rFonts w:ascii="Garamond" w:hAnsi="Garamond"/>
          <w:color w:val="000000" w:themeColor="text1"/>
          <w:sz w:val="24"/>
          <w:szCs w:val="24"/>
          <w:lang w:val="en-ID"/>
        </w:rPr>
      </w:pPr>
      <w:r w:rsidRPr="00FC49E0">
        <w:rPr>
          <w:rFonts w:ascii="Garamond" w:hAnsi="Garamond"/>
          <w:color w:val="000000" w:themeColor="text1"/>
          <w:sz w:val="24"/>
          <w:szCs w:val="24"/>
          <w:lang w:val="en-ID"/>
        </w:rPr>
        <w:t>Objek akad</w:t>
      </w:r>
    </w:p>
    <w:p w14:paraId="17929E38" w14:textId="77777777" w:rsidR="00FC49E0" w:rsidRPr="00FC49E0" w:rsidRDefault="00FC49E0" w:rsidP="00FC49E0">
      <w:pPr>
        <w:pStyle w:val="ListParagraph"/>
        <w:numPr>
          <w:ilvl w:val="0"/>
          <w:numId w:val="21"/>
        </w:numPr>
        <w:tabs>
          <w:tab w:val="right" w:pos="8271"/>
        </w:tabs>
        <w:jc w:val="both"/>
        <w:rPr>
          <w:rFonts w:ascii="Garamond" w:hAnsi="Garamond"/>
          <w:color w:val="000000" w:themeColor="text1"/>
          <w:sz w:val="24"/>
          <w:szCs w:val="24"/>
          <w:lang w:val="en-ID"/>
        </w:rPr>
      </w:pPr>
      <w:r w:rsidRPr="00FC49E0">
        <w:rPr>
          <w:rFonts w:ascii="Garamond" w:hAnsi="Garamond"/>
          <w:color w:val="000000" w:themeColor="text1"/>
          <w:sz w:val="24"/>
          <w:szCs w:val="24"/>
          <w:lang w:val="en-ID"/>
        </w:rPr>
        <w:t>Perjanjian</w:t>
      </w:r>
    </w:p>
    <w:p w14:paraId="6ECC83D0" w14:textId="77777777" w:rsidR="00FC49E0" w:rsidRPr="00FC49E0" w:rsidRDefault="00FC49E0" w:rsidP="00FC49E0">
      <w:pPr>
        <w:tabs>
          <w:tab w:val="right" w:pos="8271"/>
        </w:tabs>
        <w:ind w:firstLine="630"/>
        <w:jc w:val="both"/>
        <w:rPr>
          <w:rFonts w:ascii="Garamond" w:hAnsi="Garamond"/>
          <w:color w:val="000000" w:themeColor="text1"/>
          <w:sz w:val="24"/>
          <w:szCs w:val="24"/>
          <w:lang w:val="en-ID"/>
        </w:rPr>
      </w:pPr>
      <w:r w:rsidRPr="00FC49E0">
        <w:rPr>
          <w:rFonts w:ascii="Garamond" w:hAnsi="Garamond"/>
          <w:color w:val="000000" w:themeColor="text1"/>
          <w:sz w:val="24"/>
          <w:szCs w:val="24"/>
          <w:lang w:val="en-ID"/>
        </w:rPr>
        <w:t xml:space="preserve">Perjanjian dalam akad musyarakah harus juga memenuhi beberapa unsur hal-hal diantarnaya pihak yang berakad, modal yang dikeluarkan, objek akad dapat berupa aset ataupun proyek usaha yang dapat menghasilkan keuntungan bagi para pihak, ijab qabul </w:t>
      </w:r>
      <w:r w:rsidRPr="00FC49E0">
        <w:rPr>
          <w:rFonts w:ascii="Garamond" w:hAnsi="Garamond"/>
          <w:color w:val="000000" w:themeColor="text1"/>
          <w:sz w:val="24"/>
          <w:szCs w:val="24"/>
          <w:lang w:val="en-ID"/>
        </w:rPr>
        <w:lastRenderedPageBreak/>
        <w:t>atau penyerahan penawaran dan penerimannya, nisbah bagi hasil sebagai bentuk pembagian keuntungan yang diperoleh oleh kedua belah pihak (dalam hal ini pembagian kerugian juga perlu dilakukan kesepakan terlebih dahulu).</w:t>
      </w:r>
      <w:r w:rsidRPr="009C4103">
        <w:rPr>
          <w:rStyle w:val="FootnoteReference"/>
        </w:rPr>
        <w:footnoteReference w:id="14"/>
      </w:r>
      <w:r w:rsidRPr="00FC49E0">
        <w:rPr>
          <w:rFonts w:ascii="Garamond" w:hAnsi="Garamond"/>
          <w:color w:val="000000" w:themeColor="text1"/>
          <w:sz w:val="24"/>
          <w:szCs w:val="24"/>
          <w:lang w:val="en-ID"/>
        </w:rPr>
        <w:t xml:space="preserve"> Musyarakah sebagai modal usaha menimbulkan manfaat diantaranya adalah lebih menguntugkan karena berdasarkan pada prinsip bagi hasil dan mekanisme pengembalian pembiayaan cenderung dinamis.</w:t>
      </w:r>
      <w:r w:rsidRPr="009C4103">
        <w:rPr>
          <w:rStyle w:val="FootnoteReference"/>
        </w:rPr>
        <w:footnoteReference w:id="15"/>
      </w:r>
      <w:r w:rsidRPr="00FC49E0">
        <w:rPr>
          <w:rFonts w:ascii="Garamond" w:hAnsi="Garamond"/>
          <w:color w:val="000000" w:themeColor="text1"/>
          <w:sz w:val="24"/>
          <w:szCs w:val="24"/>
          <w:lang w:val="en-ID"/>
        </w:rPr>
        <w:t xml:space="preserve">  Bagi hasil juga menguntungkan karena sistem bagi hasil menggunakan sistem revenue sharing. Hal tersebut dapat diartikan bahwa pendapatan lembaga keuangan atau keuntungan dari pihak ketiga sebelum dikurangi biaya-biaya oprasional.</w:t>
      </w:r>
      <w:r w:rsidRPr="009C4103">
        <w:rPr>
          <w:rStyle w:val="FootnoteReference"/>
        </w:rPr>
        <w:footnoteReference w:id="16"/>
      </w:r>
    </w:p>
    <w:p w14:paraId="36E9A89E" w14:textId="77777777" w:rsidR="00FC49E0" w:rsidRPr="00FC49E0" w:rsidRDefault="00FC49E0" w:rsidP="00FC49E0">
      <w:pPr>
        <w:tabs>
          <w:tab w:val="right" w:pos="8271"/>
        </w:tabs>
        <w:ind w:firstLine="630"/>
        <w:jc w:val="both"/>
        <w:rPr>
          <w:rFonts w:ascii="Garamond" w:hAnsi="Garamond"/>
          <w:color w:val="000000" w:themeColor="text1"/>
          <w:sz w:val="24"/>
          <w:szCs w:val="24"/>
          <w:lang w:val="en-ID"/>
        </w:rPr>
      </w:pPr>
      <w:r w:rsidRPr="00FC49E0">
        <w:rPr>
          <w:rFonts w:ascii="Garamond" w:hAnsi="Garamond"/>
          <w:color w:val="000000" w:themeColor="text1"/>
          <w:sz w:val="24"/>
          <w:szCs w:val="24"/>
          <w:lang w:val="en-ID"/>
        </w:rPr>
        <w:t>Keuntungan yang dihasilkan dari akad musyarakah ini dibagi kepada para pihak secara proporsional sesuai dengan nisbah yang telah disepakati oleh mitra. Kerugian yang ditimbulkan harus disesuaikan dengan dana yang dikeluarkan oleh lembaga keuangan. Setidaknya terdapat tiga cara dalam melakukan perhitungan bagi hasil diantaranya adalah:</w:t>
      </w:r>
      <w:r w:rsidRPr="009C4103">
        <w:rPr>
          <w:rStyle w:val="FootnoteReference"/>
        </w:rPr>
        <w:footnoteReference w:id="17"/>
      </w:r>
    </w:p>
    <w:p w14:paraId="3CF67829" w14:textId="77777777" w:rsidR="00FC49E0" w:rsidRPr="00FC49E0" w:rsidRDefault="00FC49E0" w:rsidP="00FC49E0">
      <w:pPr>
        <w:pStyle w:val="ListParagraph"/>
        <w:numPr>
          <w:ilvl w:val="0"/>
          <w:numId w:val="22"/>
        </w:numPr>
        <w:tabs>
          <w:tab w:val="right" w:pos="8271"/>
        </w:tabs>
        <w:jc w:val="both"/>
        <w:rPr>
          <w:rFonts w:ascii="Garamond" w:hAnsi="Garamond"/>
          <w:color w:val="000000" w:themeColor="text1"/>
          <w:sz w:val="24"/>
          <w:szCs w:val="24"/>
          <w:lang w:val="en-ID"/>
        </w:rPr>
      </w:pPr>
      <w:r w:rsidRPr="00FC49E0">
        <w:rPr>
          <w:rFonts w:ascii="Garamond" w:hAnsi="Garamond"/>
          <w:color w:val="000000" w:themeColor="text1"/>
          <w:sz w:val="24"/>
          <w:szCs w:val="24"/>
          <w:lang w:val="en-ID"/>
        </w:rPr>
        <w:t>Metode profit dan lost sharing adalah pihak yang mendapatkan bagian hasi sebesar nisbah sesui kesepakatan kemudian dikalikan dengan keuntungan, jika terdapat kerugian makan ditanggung bersama sebanding dengan kontribusi masing-masing pihak yang terlibat</w:t>
      </w:r>
    </w:p>
    <w:p w14:paraId="566C90AA" w14:textId="77777777" w:rsidR="00FC49E0" w:rsidRPr="00FC49E0" w:rsidRDefault="00FC49E0" w:rsidP="00FC49E0">
      <w:pPr>
        <w:pStyle w:val="ListParagraph"/>
        <w:numPr>
          <w:ilvl w:val="0"/>
          <w:numId w:val="22"/>
        </w:numPr>
        <w:tabs>
          <w:tab w:val="right" w:pos="8271"/>
        </w:tabs>
        <w:jc w:val="both"/>
        <w:rPr>
          <w:rFonts w:ascii="Garamond" w:hAnsi="Garamond"/>
          <w:color w:val="000000" w:themeColor="text1"/>
          <w:sz w:val="24"/>
          <w:szCs w:val="24"/>
          <w:lang w:val="en-ID"/>
        </w:rPr>
      </w:pPr>
      <w:r w:rsidRPr="00FC49E0">
        <w:rPr>
          <w:rFonts w:ascii="Garamond" w:hAnsi="Garamond"/>
          <w:color w:val="000000" w:themeColor="text1"/>
          <w:sz w:val="24"/>
          <w:szCs w:val="24"/>
          <w:lang w:val="en-ID"/>
        </w:rPr>
        <w:t>Metode Profit sharing adalah pihak yang mendapatkan bagian hasil sebesar nisbah dikalikan dengan perolehan keuntungan yang didapatkan oleh pengusaha sedangkan jika terjadi kerugian keuangan akan ditanggung oleh pemilik dana</w:t>
      </w:r>
    </w:p>
    <w:p w14:paraId="1DF6A672" w14:textId="77777777" w:rsidR="00FC49E0" w:rsidRPr="00FC49E0" w:rsidRDefault="00FC49E0" w:rsidP="00FC49E0">
      <w:pPr>
        <w:pStyle w:val="ListParagraph"/>
        <w:numPr>
          <w:ilvl w:val="0"/>
          <w:numId w:val="22"/>
        </w:numPr>
        <w:tabs>
          <w:tab w:val="right" w:pos="8271"/>
        </w:tabs>
        <w:jc w:val="both"/>
        <w:rPr>
          <w:rFonts w:ascii="Garamond" w:hAnsi="Garamond"/>
          <w:color w:val="000000" w:themeColor="text1"/>
          <w:sz w:val="24"/>
          <w:szCs w:val="24"/>
          <w:lang w:val="en-ID"/>
        </w:rPr>
      </w:pPr>
      <w:r w:rsidRPr="00FC49E0">
        <w:rPr>
          <w:rFonts w:ascii="Garamond" w:hAnsi="Garamond"/>
          <w:color w:val="000000" w:themeColor="text1"/>
          <w:sz w:val="24"/>
          <w:szCs w:val="24"/>
          <w:lang w:val="en-ID"/>
        </w:rPr>
        <w:t>Metode revenue sharing adalah para pihak yang memperoleh bsgisn hasil sebesar nisbah dikalikan dengan besarnya pendapatan atau revenue yang diperoleh oleh pemilik usaha.</w:t>
      </w:r>
    </w:p>
    <w:p w14:paraId="7D674DA8" w14:textId="3C7BE7EF" w:rsidR="00FC49E0" w:rsidRPr="00995F29" w:rsidRDefault="00995F29" w:rsidP="00995F29">
      <w:pPr>
        <w:tabs>
          <w:tab w:val="right" w:pos="8271"/>
        </w:tabs>
        <w:ind w:firstLine="709"/>
        <w:jc w:val="both"/>
        <w:rPr>
          <w:rFonts w:ascii="Garamond" w:hAnsi="Garamond"/>
          <w:color w:val="000000" w:themeColor="text1"/>
          <w:sz w:val="24"/>
          <w:szCs w:val="24"/>
        </w:rPr>
      </w:pPr>
      <w:r>
        <w:rPr>
          <w:rFonts w:ascii="Garamond" w:hAnsi="Garamond"/>
          <w:color w:val="000000" w:themeColor="text1"/>
          <w:sz w:val="24"/>
          <w:szCs w:val="24"/>
          <w:lang w:val="en-ID"/>
        </w:rPr>
        <w:tab/>
      </w:r>
      <w:r w:rsidR="00FC49E0" w:rsidRPr="00FC49E0">
        <w:rPr>
          <w:rFonts w:ascii="Garamond" w:hAnsi="Garamond"/>
          <w:color w:val="000000" w:themeColor="text1"/>
          <w:sz w:val="24"/>
          <w:szCs w:val="24"/>
          <w:lang w:val="en-ID"/>
        </w:rPr>
        <w:t xml:space="preserve">Jika kemudian dihubungkan dengan penelitian ini yang berhubungan dengan bagaimana metode yang digunakan dalam </w:t>
      </w:r>
      <w:r w:rsidR="00FC49E0" w:rsidRPr="00FC49E0">
        <w:rPr>
          <w:rFonts w:ascii="Garamond" w:hAnsi="Garamond"/>
          <w:color w:val="000000" w:themeColor="text1"/>
          <w:sz w:val="24"/>
          <w:szCs w:val="24"/>
        </w:rPr>
        <w:t xml:space="preserve">fatwa DSN-MUI No.15/DSN-MUI/IX/2000, maka setidaknya dalam fatwa disebutkan dua metode dalam penggunaan yang dianggap standar dalam pemenuhan nisbah bagi hasil dalam akad musyarakah. Kedua metode tersebut adalah profit sharing dan revenue sharing. Profit sharing merupakan keutungan bersih dari keseluruhan pendapatan setelah dikurangi dengan biaya-biaya yang dikeluarkan </w:t>
      </w:r>
      <w:r w:rsidR="00FC49E0" w:rsidRPr="00FC49E0">
        <w:rPr>
          <w:rFonts w:ascii="Garamond" w:hAnsi="Garamond"/>
          <w:color w:val="000000" w:themeColor="text1"/>
          <w:sz w:val="24"/>
          <w:szCs w:val="24"/>
        </w:rPr>
        <w:lastRenderedPageBreak/>
        <w:t>untuk mendapatkan pendapatan. Sedangkan revenue sharing merupakan total keseluruhan pendapatan sebelum dikurangi dengan biaya yang dikeluarkan untuk mendapatkan keuntungan.</w:t>
      </w:r>
    </w:p>
    <w:p w14:paraId="572DFF6B" w14:textId="77777777" w:rsidR="008F411B" w:rsidRPr="00FC49E0" w:rsidRDefault="008F411B" w:rsidP="007A4728">
      <w:pPr>
        <w:pStyle w:val="ListParagraph"/>
        <w:tabs>
          <w:tab w:val="right" w:pos="8271"/>
        </w:tabs>
        <w:ind w:left="0" w:firstLine="720"/>
        <w:jc w:val="both"/>
        <w:rPr>
          <w:rFonts w:ascii="Garamond" w:hAnsi="Garamond"/>
          <w:color w:val="000000" w:themeColor="text1"/>
          <w:sz w:val="24"/>
          <w:szCs w:val="24"/>
          <w:lang w:val="id-ID"/>
        </w:rPr>
      </w:pPr>
      <w:r w:rsidRPr="00FC49E0">
        <w:rPr>
          <w:rFonts w:ascii="Garamond" w:hAnsi="Garamond"/>
          <w:color w:val="000000" w:themeColor="text1"/>
          <w:sz w:val="24"/>
          <w:szCs w:val="24"/>
          <w:lang w:val="id-ID"/>
        </w:rPr>
        <w:t xml:space="preserve">Berperan sebagai format pendistribusian barang dan jasa dengan istilah </w:t>
      </w:r>
      <w:r w:rsidRPr="00FC49E0">
        <w:rPr>
          <w:rFonts w:ascii="Garamond" w:hAnsi="Garamond"/>
          <w:i/>
          <w:iCs/>
          <w:color w:val="000000" w:themeColor="text1"/>
          <w:sz w:val="24"/>
          <w:szCs w:val="24"/>
          <w:lang w:val="id-ID"/>
        </w:rPr>
        <w:t xml:space="preserve">Franchise. </w:t>
      </w:r>
      <w:r w:rsidRPr="00FC49E0">
        <w:rPr>
          <w:rFonts w:ascii="Garamond" w:hAnsi="Garamond"/>
          <w:color w:val="000000" w:themeColor="text1"/>
          <w:sz w:val="24"/>
          <w:szCs w:val="24"/>
          <w:lang w:val="id-ID"/>
        </w:rPr>
        <w:t xml:space="preserve">Di belahan dunia termasuk Amerika usaha </w:t>
      </w:r>
      <w:r w:rsidRPr="00FC49E0">
        <w:rPr>
          <w:rFonts w:ascii="Garamond" w:hAnsi="Garamond"/>
          <w:i/>
          <w:iCs/>
          <w:color w:val="000000" w:themeColor="text1"/>
          <w:sz w:val="24"/>
          <w:szCs w:val="24"/>
          <w:lang w:val="id-ID"/>
        </w:rPr>
        <w:t>franchise</w:t>
      </w:r>
      <w:r w:rsidRPr="00FC49E0">
        <w:rPr>
          <w:rFonts w:ascii="Garamond" w:hAnsi="Garamond"/>
          <w:color w:val="000000" w:themeColor="text1"/>
          <w:sz w:val="24"/>
          <w:szCs w:val="24"/>
          <w:lang w:val="id-ID"/>
        </w:rPr>
        <w:t xml:space="preserve"> dikenal sejak tahun 1851 M. Sejak itu format </w:t>
      </w:r>
      <w:r w:rsidRPr="00FC49E0">
        <w:rPr>
          <w:rFonts w:ascii="Garamond" w:hAnsi="Garamond"/>
          <w:i/>
          <w:iCs/>
          <w:color w:val="000000" w:themeColor="text1"/>
          <w:sz w:val="24"/>
          <w:szCs w:val="24"/>
          <w:lang w:val="id-ID"/>
        </w:rPr>
        <w:t xml:space="preserve">franchise </w:t>
      </w:r>
      <w:r w:rsidRPr="00FC49E0">
        <w:rPr>
          <w:rFonts w:ascii="Garamond" w:hAnsi="Garamond"/>
          <w:color w:val="000000" w:themeColor="text1"/>
          <w:sz w:val="24"/>
          <w:szCs w:val="24"/>
          <w:lang w:val="id-ID"/>
        </w:rPr>
        <w:t>menggunakan jenis waralaba produk murni (</w:t>
      </w:r>
      <w:r w:rsidRPr="00FC49E0">
        <w:rPr>
          <w:rFonts w:ascii="Garamond" w:hAnsi="Garamond"/>
          <w:i/>
          <w:iCs/>
          <w:color w:val="000000" w:themeColor="text1"/>
          <w:sz w:val="24"/>
          <w:szCs w:val="24"/>
          <w:lang w:val="id-ID"/>
        </w:rPr>
        <w:t>straight product franchising)</w:t>
      </w:r>
      <w:r w:rsidRPr="00FC49E0">
        <w:rPr>
          <w:rFonts w:ascii="Garamond" w:hAnsi="Garamond"/>
          <w:color w:val="000000" w:themeColor="text1"/>
          <w:sz w:val="24"/>
          <w:szCs w:val="24"/>
          <w:lang w:val="id-ID"/>
        </w:rPr>
        <w:t>. Waralaba ini pernah digunakan sebagai sarana pendistribusian pada minuman Coca Cola yaitu dengan cara pemberian lisensi, kemudian berkembang pada industri mobil (general-motors) dan terus berkembang hingga pada pemberian hakwaralaba oleh produsen bahan bakar kepada pemilik pompa bensin dalam memperluas jaringan penyediaan bahan bakar dengan cepat. Pada tahun 1917 seorang pelopor waralaba di Amerika Serikat bernama Invine Robbins dengan jenis usahanya restoran es krim bersama iparnya yang berlokasi di Washington memiliki motto yang selalu diucapkan dalam penjualan usaha bisnisnya yaitu: “kita tidak hanya menjual es krim tetapi juga menjual suatu kenangan. Bisnis dengan format waralaba mulai dikenal di Indonesia pada tahun 1950-an yaitu: “ munculnya dealer kendaraan bermotor yang menjadi agen tunggal pemilik merek melalui pembelian lisensi.”</w:t>
      </w:r>
    </w:p>
    <w:p w14:paraId="1AAC826A" w14:textId="77777777" w:rsidR="008F411B" w:rsidRPr="00FC49E0" w:rsidRDefault="008F411B" w:rsidP="007A4728">
      <w:pPr>
        <w:pStyle w:val="ListParagraph"/>
        <w:tabs>
          <w:tab w:val="right" w:pos="8271"/>
        </w:tabs>
        <w:ind w:left="0" w:firstLine="720"/>
        <w:jc w:val="both"/>
        <w:rPr>
          <w:rFonts w:ascii="Garamond" w:hAnsi="Garamond"/>
          <w:color w:val="000000" w:themeColor="text1"/>
          <w:sz w:val="24"/>
          <w:szCs w:val="24"/>
          <w:lang w:val="id-ID"/>
        </w:rPr>
      </w:pPr>
      <w:r w:rsidRPr="00FC49E0">
        <w:rPr>
          <w:rFonts w:ascii="Garamond" w:hAnsi="Garamond"/>
          <w:color w:val="000000" w:themeColor="text1"/>
          <w:sz w:val="24"/>
          <w:szCs w:val="24"/>
          <w:lang w:val="id-ID"/>
        </w:rPr>
        <w:t>Waralaba sudah dikenal di Indonesia sejak tahun 1997 dengan dikeluarkannya Peraturan Pemerintah RI No. 16 Tahun 1997 tanggal 18 Juni 1997 tentang Waralaba, yang disusul dengan Keputusan Menteri Perindustrian dan Perdagangan Republik Indonesia Nomor: 259/MPP/Kep/7/1997 tanggal 30 Juli 1997 tentang Ketentuan dan Tata Cara Pelaksanaan Pendaftaran Usaha.</w:t>
      </w:r>
    </w:p>
    <w:p w14:paraId="4965B711" w14:textId="2414A812" w:rsidR="007A4728" w:rsidRPr="00FC49E0" w:rsidRDefault="008F411B" w:rsidP="007139AB">
      <w:pPr>
        <w:pStyle w:val="ListParagraph"/>
        <w:tabs>
          <w:tab w:val="right" w:pos="8271"/>
        </w:tabs>
        <w:ind w:left="0" w:firstLine="720"/>
        <w:jc w:val="both"/>
        <w:rPr>
          <w:rFonts w:ascii="Garamond" w:hAnsi="Garamond"/>
          <w:color w:val="000000" w:themeColor="text1"/>
          <w:sz w:val="24"/>
          <w:szCs w:val="24"/>
          <w:lang w:val="id-ID"/>
        </w:rPr>
      </w:pPr>
      <w:r w:rsidRPr="00FC49E0">
        <w:rPr>
          <w:rFonts w:ascii="Garamond" w:hAnsi="Garamond"/>
          <w:color w:val="000000" w:themeColor="text1"/>
          <w:sz w:val="24"/>
          <w:szCs w:val="24"/>
          <w:lang w:val="id-ID"/>
        </w:rPr>
        <w:t xml:space="preserve">Waralaba dalam perspektif akad bisnis syariah mencakup dua hal, yaitu waralaba sebagai hubungan bisnis jaringan pemasaran atau pendistribusian barang dan jasa dengan tujuan memperoleh keuntungan baik bagi pemilik waralaba </w:t>
      </w:r>
      <w:r w:rsidRPr="00FC49E0">
        <w:rPr>
          <w:rFonts w:ascii="Garamond" w:hAnsi="Garamond"/>
          <w:i/>
          <w:iCs/>
          <w:color w:val="000000" w:themeColor="text1"/>
          <w:sz w:val="24"/>
          <w:szCs w:val="24"/>
          <w:lang w:val="id-ID"/>
        </w:rPr>
        <w:t>(franchisor</w:t>
      </w:r>
      <w:r w:rsidRPr="00FC49E0">
        <w:rPr>
          <w:rFonts w:ascii="Garamond" w:hAnsi="Garamond"/>
          <w:color w:val="000000" w:themeColor="text1"/>
          <w:sz w:val="24"/>
          <w:szCs w:val="24"/>
          <w:lang w:val="id-ID"/>
        </w:rPr>
        <w:t>) maupun bagi pembeli waralaba (</w:t>
      </w:r>
      <w:r w:rsidRPr="00FC49E0">
        <w:rPr>
          <w:rFonts w:ascii="Garamond" w:hAnsi="Garamond"/>
          <w:i/>
          <w:iCs/>
          <w:color w:val="000000" w:themeColor="text1"/>
          <w:sz w:val="24"/>
          <w:szCs w:val="24"/>
          <w:lang w:val="id-ID"/>
        </w:rPr>
        <w:t>franchisee</w:t>
      </w:r>
      <w:r w:rsidRPr="00FC49E0">
        <w:rPr>
          <w:rFonts w:ascii="Garamond" w:hAnsi="Garamond"/>
          <w:color w:val="000000" w:themeColor="text1"/>
          <w:sz w:val="24"/>
          <w:szCs w:val="24"/>
          <w:lang w:val="id-ID"/>
        </w:rPr>
        <w:t>) dan menghindari kerugian antara kedua belah pihak. Waralaba sebagai perjanjian atau perikatan dapat diatur  dalam ketentuan umum Peraturan Pemerintah Nomor 42 Tahun 2007 pada Bab I, Pasal I ayat (1) sebagai berikut; Waralaba adalah hak khusus yang dimiliki oleh orang perseorangan atau badan usaha dalam rangka yang terbukti telah berhasil dan dapat dimanfaatkan atau digunakan oleh pihak lain berdasarkan perjanjian waralaba. Terdapat beberapa klausul dalam Perjanjian Waralaba yang menjadi dasar kerjasama penting yang digunakan sebagai pedoman sebagaimana dalam pasal 5 sebgai berikut: Nama dan alamat para pihak, jenis kekayaan hak intelektual, Kegiatan usaha, Hak dan kewajiban para pihak, Bantuan fasilitas, bimbingan operasional, pelatihan dan pemasaran yang diberikan oleh pihak pemberi waralaba dan pihak penerima waralaba, Wilayah usaha, Jangka waktu perjanjian, Tata cara pembayaran imbalan, Kepemilikan perusahaan dan ahli waris, Penyelesaian sengketa, Tata cara perpanjangan.</w:t>
      </w:r>
      <w:r w:rsidR="007139AB" w:rsidRPr="00FC49E0">
        <w:rPr>
          <w:rFonts w:ascii="Garamond" w:hAnsi="Garamond"/>
          <w:color w:val="000000" w:themeColor="text1"/>
          <w:sz w:val="24"/>
          <w:szCs w:val="24"/>
          <w:lang w:val="en-ID"/>
        </w:rPr>
        <w:t xml:space="preserve"> </w:t>
      </w:r>
      <w:r w:rsidR="00E35CA5" w:rsidRPr="00FC49E0">
        <w:rPr>
          <w:rFonts w:ascii="Garamond" w:hAnsi="Garamond"/>
          <w:color w:val="000000" w:themeColor="text1"/>
          <w:sz w:val="24"/>
          <w:szCs w:val="24"/>
          <w:lang w:val="id-ID"/>
        </w:rPr>
        <w:lastRenderedPageBreak/>
        <w:t>Pembuatan suatu kontrak bisnis merupakan momentum terpenting dalam suatu pros</w:t>
      </w:r>
      <w:r w:rsidR="00E30721" w:rsidRPr="00FC49E0">
        <w:rPr>
          <w:rFonts w:ascii="Garamond" w:hAnsi="Garamond"/>
          <w:color w:val="000000" w:themeColor="text1"/>
          <w:sz w:val="24"/>
          <w:szCs w:val="24"/>
          <w:lang w:val="id-ID"/>
        </w:rPr>
        <w:t>es kerja sama bisnis.</w:t>
      </w:r>
      <w:r w:rsidR="00D01A36" w:rsidRPr="009C4103">
        <w:rPr>
          <w:rStyle w:val="FootnoteReference"/>
        </w:rPr>
        <w:footnoteReference w:id="18"/>
      </w:r>
      <w:r w:rsidR="003A0FAF" w:rsidRPr="00FC49E0">
        <w:rPr>
          <w:rFonts w:ascii="Garamond" w:hAnsi="Garamond"/>
          <w:color w:val="000000" w:themeColor="text1"/>
          <w:sz w:val="24"/>
          <w:szCs w:val="24"/>
          <w:lang w:val="id-ID"/>
        </w:rPr>
        <w:t xml:space="preserve"> </w:t>
      </w:r>
    </w:p>
    <w:p w14:paraId="6F0E1AD4" w14:textId="145BEF13" w:rsidR="008F411B" w:rsidRPr="00FC49E0" w:rsidRDefault="008F411B" w:rsidP="007A4728">
      <w:pPr>
        <w:tabs>
          <w:tab w:val="right" w:pos="8271"/>
        </w:tabs>
        <w:spacing w:line="240" w:lineRule="auto"/>
        <w:ind w:firstLine="810"/>
        <w:jc w:val="both"/>
        <w:rPr>
          <w:rFonts w:ascii="Garamond" w:hAnsi="Garamond"/>
          <w:b/>
          <w:bCs/>
          <w:color w:val="000000" w:themeColor="text1"/>
          <w:sz w:val="24"/>
          <w:szCs w:val="24"/>
          <w:lang w:val="id-ID"/>
        </w:rPr>
      </w:pPr>
      <w:r w:rsidRPr="00FC49E0">
        <w:rPr>
          <w:rFonts w:ascii="Garamond" w:hAnsi="Garamond"/>
          <w:color w:val="000000" w:themeColor="text1"/>
          <w:sz w:val="24"/>
          <w:szCs w:val="24"/>
          <w:lang w:val="id-ID"/>
        </w:rPr>
        <w:t>Indomaret Group adalah salah satu anak perusahaan Salim Group yang berdiri sejak tahun 1988 dan dikelola oleh PT Indomarco Prismatama. PT. Indomarco Prismata merupakan salah satu perusahaan swasta nasional yang bergerak di bidang ritel waralaba di Indonesia. Selain itu Indomaret merupakan jaringan minimarket yang menyediakan berbagai kebutuhan pokok dan kebutuhan sehari-hari. Pada tanggal 20 Juni 1988, PT. Indomarco Prismatama resmi membuka toko pertamanya dengan nama Indomaret yang berlokasi di Ancol, Jakarta Utara. Pada tahun 1997, PT. Indomarco Prismatama memiliki mengembangkan bisnis waralaba pertama di Indonesia dengan total 230 outlet di seluruh Indonesia. Pada tahun 2015, jumlah gerai yang dimiliki oleh PT. Indomarco Prismatama meningkat di 11.400 stan. Pada awal tahun 2017, jumlah gerai yang dimiliki PT. Indomarco Prismatama mencapai 13.000 outlet. Hingga saat ini jumlah gerai Indomaret telah mencapai 16.000 gerai dengan rincian 60% milik sendiri dan 40% dimiliki oleh masyarakat (waralaba). Jumlah outlet bertambahnya jumlah ini karena luasnya. Distribusi Indomaret merata di seluruh Indonesia seperti di Sumatera, Jawa, Bali, Kalimantan, Sulawesi, dan Ambon. Selain itu, mitra bisnis Waralaba ini meliputi koperasi, badan usaha, dan individu</w:t>
      </w:r>
      <w:r w:rsidRPr="00FC49E0">
        <w:rPr>
          <w:rFonts w:ascii="Garamond" w:hAnsi="Garamond"/>
          <w:b/>
          <w:bCs/>
          <w:color w:val="000000" w:themeColor="text1"/>
          <w:sz w:val="24"/>
          <w:szCs w:val="24"/>
          <w:lang w:val="id-ID"/>
        </w:rPr>
        <w:t>.</w:t>
      </w:r>
      <w:r w:rsidR="00861A70" w:rsidRPr="009C4103">
        <w:rPr>
          <w:rStyle w:val="FootnoteReference"/>
        </w:rPr>
        <w:footnoteReference w:id="19"/>
      </w:r>
    </w:p>
    <w:p w14:paraId="25EF715D" w14:textId="77777777" w:rsidR="00861A70" w:rsidRPr="00FC49E0" w:rsidRDefault="00861A70" w:rsidP="007A4728">
      <w:pPr>
        <w:tabs>
          <w:tab w:val="right" w:pos="8271"/>
        </w:tabs>
        <w:spacing w:line="240" w:lineRule="auto"/>
        <w:ind w:firstLine="810"/>
        <w:jc w:val="both"/>
        <w:rPr>
          <w:rFonts w:ascii="Garamond" w:hAnsi="Garamond"/>
          <w:color w:val="000000" w:themeColor="text1"/>
          <w:sz w:val="24"/>
          <w:szCs w:val="24"/>
          <w:lang w:val="id-ID"/>
        </w:rPr>
      </w:pPr>
    </w:p>
    <w:p w14:paraId="42C08A2C" w14:textId="7BB82E3C" w:rsidR="008F411B" w:rsidRDefault="008F411B" w:rsidP="008F411B">
      <w:pPr>
        <w:tabs>
          <w:tab w:val="right" w:pos="8271"/>
        </w:tabs>
        <w:jc w:val="both"/>
        <w:rPr>
          <w:rFonts w:ascii="Garamond" w:hAnsi="Garamond"/>
          <w:b/>
          <w:bCs/>
          <w:color w:val="000000" w:themeColor="text1"/>
          <w:sz w:val="24"/>
          <w:szCs w:val="24"/>
          <w:lang w:val="id-ID"/>
        </w:rPr>
      </w:pPr>
      <w:r w:rsidRPr="00FC49E0">
        <w:rPr>
          <w:rFonts w:ascii="Garamond" w:hAnsi="Garamond"/>
          <w:b/>
          <w:bCs/>
          <w:color w:val="000000" w:themeColor="text1"/>
          <w:sz w:val="24"/>
          <w:szCs w:val="24"/>
          <w:lang w:val="id-ID"/>
        </w:rPr>
        <w:t>Analisa Fatwa</w:t>
      </w:r>
      <w:r w:rsidRPr="00FC49E0">
        <w:rPr>
          <w:rFonts w:ascii="Garamond" w:hAnsi="Garamond"/>
          <w:color w:val="000000" w:themeColor="text1"/>
          <w:sz w:val="24"/>
          <w:szCs w:val="24"/>
          <w:lang w:val="id-ID"/>
        </w:rPr>
        <w:t xml:space="preserve"> </w:t>
      </w:r>
      <w:r w:rsidRPr="00FC49E0">
        <w:rPr>
          <w:rFonts w:ascii="Garamond" w:hAnsi="Garamond"/>
          <w:b/>
          <w:bCs/>
          <w:color w:val="000000" w:themeColor="text1"/>
          <w:sz w:val="24"/>
          <w:szCs w:val="24"/>
          <w:lang w:val="id-ID"/>
        </w:rPr>
        <w:t>DSN MUI No 08/DSN-MUI/IV/2000</w:t>
      </w:r>
      <w:r w:rsidRPr="00FC49E0">
        <w:rPr>
          <w:rFonts w:ascii="Garamond" w:hAnsi="Garamond"/>
          <w:color w:val="000000" w:themeColor="text1"/>
          <w:sz w:val="24"/>
          <w:szCs w:val="24"/>
          <w:lang w:val="id-ID"/>
        </w:rPr>
        <w:t xml:space="preserve"> </w:t>
      </w:r>
      <w:r w:rsidRPr="00FC49E0">
        <w:rPr>
          <w:rFonts w:ascii="Garamond" w:hAnsi="Garamond"/>
          <w:b/>
          <w:bCs/>
          <w:color w:val="000000" w:themeColor="text1"/>
          <w:sz w:val="24"/>
          <w:szCs w:val="24"/>
          <w:lang w:val="id-ID"/>
        </w:rPr>
        <w:t xml:space="preserve">Terhadap Sistem Pelaksanaan Perhitungan Nisbah Musyarakah </w:t>
      </w:r>
      <w:r w:rsidRPr="00FC49E0">
        <w:rPr>
          <w:rFonts w:ascii="Garamond" w:hAnsi="Garamond"/>
          <w:b/>
          <w:bCs/>
          <w:color w:val="000000" w:themeColor="text1"/>
          <w:sz w:val="24"/>
          <w:szCs w:val="24"/>
        </w:rPr>
        <w:t xml:space="preserve">Bisnis </w:t>
      </w:r>
      <w:r w:rsidRPr="00FC49E0">
        <w:rPr>
          <w:rFonts w:ascii="Garamond" w:hAnsi="Garamond"/>
          <w:b/>
          <w:bCs/>
          <w:color w:val="000000" w:themeColor="text1"/>
          <w:sz w:val="24"/>
          <w:szCs w:val="24"/>
          <w:lang w:val="id-ID"/>
        </w:rPr>
        <w:t>Retail Pada Indomart Di Kudus</w:t>
      </w:r>
    </w:p>
    <w:p w14:paraId="39BC3919" w14:textId="77777777" w:rsidR="00C6080D" w:rsidRDefault="00FC49E0" w:rsidP="00C6080D">
      <w:pPr>
        <w:tabs>
          <w:tab w:val="right" w:pos="8271"/>
        </w:tabs>
        <w:ind w:firstLine="567"/>
        <w:jc w:val="both"/>
        <w:rPr>
          <w:rFonts w:ascii="Garamond" w:hAnsi="Garamond"/>
          <w:color w:val="000000" w:themeColor="text1"/>
          <w:sz w:val="24"/>
          <w:szCs w:val="24"/>
        </w:rPr>
      </w:pPr>
      <w:r w:rsidRPr="00FC49E0">
        <w:rPr>
          <w:rFonts w:ascii="Garamond" w:hAnsi="Garamond"/>
          <w:color w:val="000000" w:themeColor="text1"/>
          <w:sz w:val="24"/>
          <w:szCs w:val="24"/>
        </w:rPr>
        <w:t>Dewan Syariah Nasional merupakan lembaga yang didirikan oleh Majlis Ulama Indonesia atau yang biasa disebut dengan MUI. Lembaga ini mempunyai tugas untuk menyelesaikan masalah yang berkaitan dengan umat mulim. Salah satu MUI adalah mengkaji, menggali dan merumuskan nilai serta prnsip huku Islam dengan mengeluarkan fatwa yang kemudian dijadikan rujukan dalam kegiatan ekonomi di masyarakat.</w:t>
      </w:r>
      <w:r w:rsidRPr="009C4103">
        <w:rPr>
          <w:rStyle w:val="FootnoteReference"/>
        </w:rPr>
        <w:footnoteReference w:id="20"/>
      </w:r>
      <w:r w:rsidRPr="00FC49E0">
        <w:rPr>
          <w:rFonts w:ascii="Garamond" w:hAnsi="Garamond"/>
          <w:color w:val="000000" w:themeColor="text1"/>
          <w:sz w:val="24"/>
          <w:szCs w:val="24"/>
        </w:rPr>
        <w:t xml:space="preserve"> Melalui Dewan Pengawas Syariah (DPS), MUI melaksanakan pengawasan terhadap pelaksanaan prinsip syariah sebagaiman siste dan menejemen dalam setiap akad yang dilakukan.</w:t>
      </w:r>
    </w:p>
    <w:p w14:paraId="25069543" w14:textId="7B34F587" w:rsidR="00FC49E0" w:rsidRPr="00FC49E0" w:rsidRDefault="00FC49E0" w:rsidP="00C6080D">
      <w:pPr>
        <w:tabs>
          <w:tab w:val="right" w:pos="8271"/>
        </w:tabs>
        <w:ind w:firstLine="567"/>
        <w:jc w:val="both"/>
        <w:rPr>
          <w:rFonts w:ascii="Garamond" w:hAnsi="Garamond"/>
          <w:color w:val="000000" w:themeColor="text1"/>
          <w:sz w:val="24"/>
          <w:szCs w:val="24"/>
        </w:rPr>
      </w:pPr>
      <w:r w:rsidRPr="00FC49E0">
        <w:rPr>
          <w:rFonts w:ascii="Garamond" w:hAnsi="Garamond"/>
          <w:color w:val="000000" w:themeColor="text1"/>
          <w:sz w:val="24"/>
          <w:szCs w:val="24"/>
        </w:rPr>
        <w:lastRenderedPageBreak/>
        <w:t>Dewan Syariah Nasional-Majelis Ulama Indonesia (DSN-MUI) dibentuk dalam tugas untuk melaksanakan ide gagasan uma Ilam mengenai masalah ekonomi. Selain itu, Dewan Syariah Nasional-Majelis Ulama Indonesia (DSN-MUI) juga bertuga melakukan pengwasan terhadap penaraan prinsip syariah dalam sistem pelaksanaan akadnya. Dewan Syariah Nasional-Majelis Ulama Indonesia (DSN-MUI) dibentuk dengan tujuan dapat melaksanakan langkah strategis dalam menerapkan syariat Islam dan dapat merespon permasalahan masyarakat yang berhubungan dengan ekonomi atau keunganan. Berbagai masalah yang timbul tersebut sudah dipastikan memerlukan rumusan hukum baru yang berbentuk fatwa. Fatwa akan dibahas secara bersama oleh para ulama yang terlatih dan tersertifikasi. Hal ini yang kemudian diperlukan penerapan ajaran Islam dalam kehidupan ekonomi dan keuangan. Dewan Syariah Nasional-Majelis Ulama Indonesia (DSN-MUI) seharusnya dilakukan secara proaktif dalam menanggapi persoalan masyarakat yang cukup variatif dalam bidang ekonomi dan bisnis.</w:t>
      </w:r>
      <w:r w:rsidRPr="009C4103">
        <w:rPr>
          <w:rStyle w:val="FootnoteReference"/>
        </w:rPr>
        <w:footnoteReference w:id="21"/>
      </w:r>
      <w:r w:rsidRPr="00FC49E0">
        <w:rPr>
          <w:rFonts w:ascii="Garamond" w:hAnsi="Garamond"/>
          <w:color w:val="000000" w:themeColor="text1"/>
          <w:sz w:val="24"/>
          <w:szCs w:val="24"/>
        </w:rPr>
        <w:t xml:space="preserve"> Salah satu fatwa yang berhubungan dengan hal ini adalah DSN-MUI No.15/DSN-MUI/IX/2000 tentang distribusi bagi hasil usaha dalam Lembaga Keuangan Syariah.</w:t>
      </w:r>
      <w:r w:rsidRPr="009C4103">
        <w:rPr>
          <w:rStyle w:val="FootnoteReference"/>
        </w:rPr>
        <w:footnoteReference w:id="22"/>
      </w:r>
      <w:r w:rsidRPr="00FC49E0">
        <w:rPr>
          <w:rFonts w:ascii="Garamond" w:hAnsi="Garamond"/>
          <w:color w:val="000000" w:themeColor="text1"/>
          <w:sz w:val="24"/>
          <w:szCs w:val="24"/>
        </w:rPr>
        <w:t xml:space="preserve"> Fatwa ini menjelaskan mengenai hal-hal berikut:</w:t>
      </w:r>
    </w:p>
    <w:p w14:paraId="0898FC57" w14:textId="77777777" w:rsidR="00FC49E0" w:rsidRPr="00FC49E0" w:rsidRDefault="00FC49E0" w:rsidP="00FC49E0">
      <w:pPr>
        <w:pStyle w:val="ListParagraph"/>
        <w:numPr>
          <w:ilvl w:val="0"/>
          <w:numId w:val="20"/>
        </w:numPr>
        <w:tabs>
          <w:tab w:val="right" w:pos="8271"/>
        </w:tabs>
        <w:jc w:val="both"/>
        <w:rPr>
          <w:rFonts w:ascii="Garamond" w:hAnsi="Garamond"/>
          <w:color w:val="000000" w:themeColor="text1"/>
          <w:sz w:val="24"/>
          <w:szCs w:val="24"/>
        </w:rPr>
      </w:pPr>
      <w:r w:rsidRPr="00FC49E0">
        <w:rPr>
          <w:rFonts w:ascii="Garamond" w:hAnsi="Garamond"/>
          <w:color w:val="000000" w:themeColor="text1"/>
          <w:sz w:val="24"/>
          <w:szCs w:val="24"/>
        </w:rPr>
        <w:t>Lembaga Keuangan Syariah diperbolehkan menggunakan prinsip bagi hasil maupun bagi unuk dalam pembagian hasil usaha</w:t>
      </w:r>
    </w:p>
    <w:p w14:paraId="701556A4" w14:textId="77777777" w:rsidR="00FC49E0" w:rsidRPr="00FC49E0" w:rsidRDefault="00FC49E0" w:rsidP="00FC49E0">
      <w:pPr>
        <w:pStyle w:val="ListParagraph"/>
        <w:numPr>
          <w:ilvl w:val="0"/>
          <w:numId w:val="20"/>
        </w:numPr>
        <w:tabs>
          <w:tab w:val="right" w:pos="8271"/>
        </w:tabs>
        <w:jc w:val="both"/>
        <w:rPr>
          <w:rFonts w:ascii="Garamond" w:hAnsi="Garamond"/>
          <w:color w:val="000000" w:themeColor="text1"/>
          <w:sz w:val="24"/>
          <w:szCs w:val="24"/>
        </w:rPr>
      </w:pPr>
      <w:r w:rsidRPr="00FC49E0">
        <w:rPr>
          <w:rFonts w:ascii="Garamond" w:hAnsi="Garamond"/>
          <w:color w:val="000000" w:themeColor="text1"/>
          <w:sz w:val="24"/>
          <w:szCs w:val="24"/>
        </w:rPr>
        <w:t>Pembagian hasil usaha segarusnya menggunakan prinsip bagi hasil untuk melihat segi mashlahahnya</w:t>
      </w:r>
    </w:p>
    <w:p w14:paraId="7DA9C4E4" w14:textId="77777777" w:rsidR="00FC49E0" w:rsidRPr="00FC49E0" w:rsidRDefault="00FC49E0" w:rsidP="00FC49E0">
      <w:pPr>
        <w:pStyle w:val="ListParagraph"/>
        <w:numPr>
          <w:ilvl w:val="0"/>
          <w:numId w:val="20"/>
        </w:numPr>
        <w:tabs>
          <w:tab w:val="right" w:pos="8271"/>
        </w:tabs>
        <w:jc w:val="both"/>
        <w:rPr>
          <w:rFonts w:ascii="Garamond" w:hAnsi="Garamond"/>
          <w:color w:val="000000" w:themeColor="text1"/>
          <w:sz w:val="24"/>
          <w:szCs w:val="24"/>
        </w:rPr>
      </w:pPr>
      <w:r w:rsidRPr="00FC49E0">
        <w:rPr>
          <w:rFonts w:ascii="Garamond" w:hAnsi="Garamond"/>
          <w:color w:val="000000" w:themeColor="text1"/>
          <w:sz w:val="24"/>
          <w:szCs w:val="24"/>
        </w:rPr>
        <w:t>Penetapan bagi hasil usaha yang dipilih seharusnya arus disepakati dalam akad.</w:t>
      </w:r>
    </w:p>
    <w:p w14:paraId="0599E235" w14:textId="77777777" w:rsidR="00C6080D" w:rsidRDefault="00FC49E0" w:rsidP="00C6080D">
      <w:pPr>
        <w:tabs>
          <w:tab w:val="right" w:pos="8271"/>
        </w:tabs>
        <w:ind w:firstLine="567"/>
        <w:jc w:val="both"/>
        <w:rPr>
          <w:rFonts w:ascii="Garamond" w:hAnsi="Garamond"/>
          <w:color w:val="000000" w:themeColor="text1"/>
          <w:sz w:val="24"/>
          <w:szCs w:val="24"/>
        </w:rPr>
      </w:pPr>
      <w:r w:rsidRPr="00FC49E0">
        <w:rPr>
          <w:rFonts w:ascii="Garamond" w:hAnsi="Garamond"/>
          <w:color w:val="000000" w:themeColor="text1"/>
          <w:sz w:val="24"/>
          <w:szCs w:val="24"/>
        </w:rPr>
        <w:t>Fatwa diatas setidaknya menjelaskan mengenai kemashlahatan.</w:t>
      </w:r>
      <w:r w:rsidRPr="009C4103">
        <w:rPr>
          <w:rStyle w:val="FootnoteReference"/>
        </w:rPr>
        <w:footnoteReference w:id="23"/>
      </w:r>
      <w:r w:rsidRPr="00FC49E0">
        <w:rPr>
          <w:rFonts w:ascii="Garamond" w:hAnsi="Garamond"/>
          <w:color w:val="000000" w:themeColor="text1"/>
          <w:sz w:val="24"/>
          <w:szCs w:val="24"/>
        </w:rPr>
        <w:t xml:space="preserve"> Maka dari itu Lembaga Keuangan Syariah yang melakukan pembiayaan terhadap pendirian ritel bisnis waralaba Indomart dikudus menggunakan prinsip kajian mengenai implikasi dan dampak yang dihasilkan dalam bisnis yang dilakukan secara bersama. </w:t>
      </w:r>
      <w:r w:rsidR="003363F5" w:rsidRPr="00FC49E0">
        <w:rPr>
          <w:rFonts w:ascii="Garamond" w:hAnsi="Garamond"/>
          <w:color w:val="000000" w:themeColor="text1"/>
          <w:sz w:val="24"/>
          <w:szCs w:val="24"/>
          <w:lang w:val="id-ID"/>
        </w:rPr>
        <w:t xml:space="preserve">Bisnis </w:t>
      </w:r>
      <w:r w:rsidR="00995F29">
        <w:rPr>
          <w:rFonts w:ascii="Garamond" w:hAnsi="Garamond"/>
          <w:color w:val="000000" w:themeColor="text1"/>
          <w:sz w:val="24"/>
          <w:szCs w:val="24"/>
          <w:lang w:val="en-ID"/>
        </w:rPr>
        <w:t>sebagai bentuk</w:t>
      </w:r>
      <w:r w:rsidR="003363F5" w:rsidRPr="00FC49E0">
        <w:rPr>
          <w:rFonts w:ascii="Garamond" w:hAnsi="Garamond"/>
          <w:color w:val="000000" w:themeColor="text1"/>
          <w:sz w:val="24"/>
          <w:szCs w:val="24"/>
          <w:lang w:val="id-ID"/>
        </w:rPr>
        <w:t xml:space="preserve"> kegiatan yang dilakukan oleh manusia untuk memperoleh penghasilan dan memenuhi kebutuhan hidupnya dengan memanfaatkan dan mengelola sumber daya manusia dan alam secara efisien dan efektif. Bisnis adalah suatu organisasi yang mampu melakukan kegiatan atau kegiatan untuk menghasilkan barang, mendistribusikan barang dan jasa yang dibutuhkan dan diinginkan oleh konsumen untuk mendapatkan suatu keuntungan</w:t>
      </w:r>
      <w:r w:rsidR="00861A70" w:rsidRPr="00FC49E0">
        <w:rPr>
          <w:rFonts w:ascii="Garamond" w:hAnsi="Garamond"/>
          <w:color w:val="000000" w:themeColor="text1"/>
          <w:sz w:val="24"/>
          <w:szCs w:val="24"/>
          <w:lang w:val="en-ID"/>
        </w:rPr>
        <w:t>.</w:t>
      </w:r>
      <w:r w:rsidR="00DF0DA3" w:rsidRPr="009C4103">
        <w:rPr>
          <w:rStyle w:val="FootnoteReference"/>
        </w:rPr>
        <w:footnoteReference w:id="24"/>
      </w:r>
      <w:r w:rsidR="003363F5" w:rsidRPr="00FC49E0">
        <w:rPr>
          <w:rFonts w:ascii="Garamond" w:hAnsi="Garamond"/>
          <w:color w:val="000000" w:themeColor="text1"/>
          <w:sz w:val="24"/>
          <w:szCs w:val="24"/>
          <w:lang w:val="id-ID"/>
        </w:rPr>
        <w:t xml:space="preserve"> Dalam Al-Qur'an </w:t>
      </w:r>
      <w:r w:rsidR="003363F5" w:rsidRPr="00FC49E0">
        <w:rPr>
          <w:rFonts w:ascii="Garamond" w:hAnsi="Garamond"/>
          <w:color w:val="000000" w:themeColor="text1"/>
          <w:sz w:val="24"/>
          <w:szCs w:val="24"/>
          <w:lang w:val="id-ID"/>
        </w:rPr>
        <w:lastRenderedPageBreak/>
        <w:t xml:space="preserve">kata bisnis adalah al-tijarah yang artinya berbisnis atau berdagang. sangat merekomendasikan bagi orang-orangnya untuk berdagang. </w:t>
      </w:r>
    </w:p>
    <w:p w14:paraId="57E1D6E4" w14:textId="77777777" w:rsidR="00C6080D" w:rsidRDefault="008F411B" w:rsidP="00C6080D">
      <w:pPr>
        <w:tabs>
          <w:tab w:val="right" w:pos="8271"/>
        </w:tabs>
        <w:ind w:firstLine="567"/>
        <w:jc w:val="both"/>
        <w:rPr>
          <w:rFonts w:ascii="Garamond" w:hAnsi="Garamond"/>
          <w:color w:val="000000" w:themeColor="text1"/>
          <w:sz w:val="24"/>
          <w:szCs w:val="24"/>
        </w:rPr>
      </w:pPr>
      <w:r w:rsidRPr="00FC49E0">
        <w:rPr>
          <w:rFonts w:ascii="Garamond" w:hAnsi="Garamond"/>
          <w:color w:val="000000" w:themeColor="text1"/>
          <w:sz w:val="24"/>
          <w:szCs w:val="24"/>
          <w:lang w:val="id-ID"/>
        </w:rPr>
        <w:t>Teknik pemasaran dan promosi Indomaret di tengah pandemi Covid-19 mengikuti perubahan pola perilaku belanja konsumen. Situasi ekonomi, gaya hidup, dan pola belanja berubah sejak pandemi Covid-19. Hal ini tentunya berdampak pada penjualan retail seperti Indomaret. Di tengah pandemi Covid-19, perusahaan retail Indomaret melakukan strategi pemasaran yang mendorong konsumen berbelanja melalui platform digital dengan layanan pengiriman online menggunakan aplikasi Klik Indomaret. Hal ini dilakukan sebagai upaya mendukung pemerintah dalam menerapkan Pembatasan Sosial Berskala Besar (PSBB) untuk memutus mata rantai penyebaran virus Covid-19.</w:t>
      </w:r>
      <w:r w:rsidRPr="00FC49E0">
        <w:rPr>
          <w:rFonts w:ascii="Garamond" w:hAnsi="Garamond"/>
          <w:color w:val="000000" w:themeColor="text1"/>
        </w:rPr>
        <w:t xml:space="preserve"> </w:t>
      </w:r>
      <w:r w:rsidRPr="00FC49E0">
        <w:rPr>
          <w:rFonts w:ascii="Garamond" w:hAnsi="Garamond"/>
          <w:color w:val="000000" w:themeColor="text1"/>
          <w:sz w:val="24"/>
          <w:szCs w:val="24"/>
          <w:lang w:val="id-ID"/>
        </w:rPr>
        <w:t>Selain itu, strategi pemasaran di era new normal saat ini, Indomaret terus mengembangkan layanan drive thru sebagai upaya terobosan inovasi untuk kebutuhan konsumen yang terus berkembang. Dengan layanan drive-thru, konsumen dapat melakukan transaksi belanja lebih praktis, cepat, nyaman dan aman di masa pandemi Covid-19. Mulai dari pemesanan, pembayaran dan pengambilan barang konsumsi masih berada di dalam kendaraan. Layanan drive-thru merupakan pilihan yang praktis dan efisien sehingga meminimalkan kontak dengan konsumen lain (</w:t>
      </w:r>
      <w:r w:rsidRPr="00FC49E0">
        <w:rPr>
          <w:rFonts w:ascii="Garamond" w:hAnsi="Garamond"/>
          <w:i/>
          <w:iCs/>
          <w:color w:val="000000" w:themeColor="text1"/>
          <w:sz w:val="24"/>
          <w:szCs w:val="24"/>
          <w:lang w:val="id-ID"/>
        </w:rPr>
        <w:t>physical distancing</w:t>
      </w:r>
      <w:r w:rsidRPr="00FC49E0">
        <w:rPr>
          <w:rFonts w:ascii="Garamond" w:hAnsi="Garamond"/>
          <w:color w:val="000000" w:themeColor="text1"/>
          <w:sz w:val="24"/>
          <w:szCs w:val="24"/>
          <w:lang w:val="id-ID"/>
        </w:rPr>
        <w:t xml:space="preserve">). Namun, layanan </w:t>
      </w:r>
      <w:r w:rsidRPr="00FC49E0">
        <w:rPr>
          <w:rFonts w:ascii="Garamond" w:hAnsi="Garamond"/>
          <w:i/>
          <w:iCs/>
          <w:color w:val="000000" w:themeColor="text1"/>
          <w:sz w:val="24"/>
          <w:szCs w:val="24"/>
          <w:lang w:val="id-ID"/>
        </w:rPr>
        <w:t>drive-thru</w:t>
      </w:r>
      <w:r w:rsidRPr="00FC49E0">
        <w:rPr>
          <w:rFonts w:ascii="Garamond" w:hAnsi="Garamond"/>
          <w:color w:val="000000" w:themeColor="text1"/>
          <w:sz w:val="24"/>
          <w:szCs w:val="24"/>
          <w:lang w:val="id-ID"/>
        </w:rPr>
        <w:t xml:space="preserve"> Indomaret saat ini hanya beroperasi di kota-kota besar dan masih dikembangkan secara selektif di kota-kota lain. </w:t>
      </w:r>
    </w:p>
    <w:p w14:paraId="2379F429" w14:textId="2489DCA1" w:rsidR="00E0703B" w:rsidRDefault="00E0703B" w:rsidP="00C6080D">
      <w:pPr>
        <w:tabs>
          <w:tab w:val="right" w:pos="8271"/>
        </w:tabs>
        <w:ind w:firstLine="567"/>
        <w:jc w:val="both"/>
        <w:rPr>
          <w:rFonts w:ascii="Garamond" w:hAnsi="Garamond"/>
          <w:color w:val="000000" w:themeColor="text1"/>
          <w:sz w:val="24"/>
          <w:szCs w:val="24"/>
        </w:rPr>
      </w:pPr>
      <w:r w:rsidRPr="00FC49E0">
        <w:rPr>
          <w:rFonts w:ascii="Garamond" w:hAnsi="Garamond"/>
          <w:color w:val="000000" w:themeColor="text1"/>
          <w:sz w:val="24"/>
          <w:szCs w:val="24"/>
        </w:rPr>
        <w:t>Bisnis us</w:t>
      </w:r>
      <w:r w:rsidR="00906232" w:rsidRPr="00FC49E0">
        <w:rPr>
          <w:rFonts w:ascii="Garamond" w:hAnsi="Garamond"/>
          <w:color w:val="000000" w:themeColor="text1"/>
          <w:sz w:val="24"/>
          <w:szCs w:val="24"/>
        </w:rPr>
        <w:t>aha</w:t>
      </w:r>
      <w:r w:rsidRPr="00FC49E0">
        <w:rPr>
          <w:rFonts w:ascii="Garamond" w:hAnsi="Garamond"/>
          <w:color w:val="000000" w:themeColor="text1"/>
          <w:sz w:val="24"/>
          <w:szCs w:val="24"/>
        </w:rPr>
        <w:t xml:space="preserve"> yag cukup terbilang menjanjikan ini pada dasarnya menggnakan metode revenue shari atau bagi pendapatan tanpa mengurangi komponen biaya. Prinsip bagi hasil sebagai salah satu akad musyarakah dimana pembiayaan musyarakah merupakan akad kerjasama atau percampuran anara dua pihak atau lebih untuk melaksanakan suatu usha tertentu yang diperbolehkan. Keuntungan selanjutnya akan dibagikan sesuai nisbah bagi hasil yang telah disepakati pada perjanjian sebelumnya. Selanjutnya resiko yang ditanggung</w:t>
      </w:r>
      <w:r w:rsidR="00906232" w:rsidRPr="00FC49E0">
        <w:rPr>
          <w:rFonts w:ascii="Garamond" w:hAnsi="Garamond"/>
          <w:color w:val="000000" w:themeColor="text1"/>
          <w:sz w:val="24"/>
          <w:szCs w:val="24"/>
        </w:rPr>
        <w:t xml:space="preserve"> disesuaikan dengan presentase pada perjanjian sebelumnya.</w:t>
      </w:r>
    </w:p>
    <w:p w14:paraId="6A7506DB" w14:textId="77777777" w:rsidR="00995F29" w:rsidRPr="00FC49E0" w:rsidRDefault="00995F29" w:rsidP="00995F29">
      <w:pPr>
        <w:tabs>
          <w:tab w:val="right" w:pos="8271"/>
        </w:tabs>
        <w:spacing w:line="240" w:lineRule="auto"/>
        <w:ind w:firstLine="540"/>
        <w:jc w:val="both"/>
        <w:rPr>
          <w:rFonts w:ascii="Garamond" w:hAnsi="Garamond"/>
          <w:color w:val="000000" w:themeColor="text1"/>
          <w:sz w:val="24"/>
          <w:szCs w:val="24"/>
          <w:lang w:val="id-ID"/>
        </w:rPr>
      </w:pPr>
      <w:r w:rsidRPr="00FC49E0">
        <w:rPr>
          <w:rFonts w:ascii="Garamond" w:hAnsi="Garamond"/>
          <w:color w:val="000000" w:themeColor="text1"/>
          <w:sz w:val="24"/>
          <w:szCs w:val="24"/>
          <w:lang w:val="id-ID"/>
        </w:rPr>
        <w:t xml:space="preserve">Waralaba </w:t>
      </w:r>
      <w:r w:rsidRPr="00FC49E0">
        <w:rPr>
          <w:rFonts w:ascii="Garamond" w:hAnsi="Garamond"/>
          <w:color w:val="000000" w:themeColor="text1"/>
          <w:sz w:val="24"/>
          <w:szCs w:val="24"/>
          <w:lang w:val="en-ID"/>
        </w:rPr>
        <w:t>m</w:t>
      </w:r>
      <w:r w:rsidRPr="00FC49E0">
        <w:rPr>
          <w:rFonts w:ascii="Garamond" w:hAnsi="Garamond"/>
          <w:color w:val="000000" w:themeColor="text1"/>
          <w:sz w:val="24"/>
          <w:szCs w:val="24"/>
          <w:lang w:val="id-ID"/>
        </w:rPr>
        <w:t>erupakan suatu pemasaran barang dan jasa secara vertikal yakni pemberi waralaba bersedia menyerahkan semua sistem usaha waralabanya kepada penerima waralaba berdasarkan perjanjian waralaba sehingga termasuk di dalamnya perjanjian lisensi yang merupakan salah satu jenis dari hak kekayaan intelektual.</w:t>
      </w:r>
      <w:r w:rsidRPr="009C4103">
        <w:rPr>
          <w:rStyle w:val="FootnoteReference"/>
        </w:rPr>
        <w:footnoteReference w:id="25"/>
      </w:r>
      <w:r w:rsidRPr="00FC49E0">
        <w:rPr>
          <w:rFonts w:ascii="Garamond" w:hAnsi="Garamond"/>
          <w:color w:val="000000" w:themeColor="text1"/>
          <w:sz w:val="24"/>
          <w:szCs w:val="24"/>
          <w:lang w:val="id-ID"/>
        </w:rPr>
        <w:t xml:space="preserve"> Hak Kekayaan Intelektual (HKI) sebagai hasil dari kerja keras dalam penemuan-penemuan, karya cipta, seni yang luar biasa nilainya sebagai perkembangan ilmu pengetahuan dan teknologi. Hal tersebut diperlukan dalam dunia bisnis sebagai upaya merebut pangsa pasar yang sangat besar.</w:t>
      </w:r>
      <w:r w:rsidRPr="009C4103">
        <w:rPr>
          <w:rStyle w:val="FootnoteReference"/>
        </w:rPr>
        <w:footnoteReference w:id="26"/>
      </w:r>
      <w:r w:rsidRPr="00FC49E0">
        <w:rPr>
          <w:rFonts w:ascii="Garamond" w:hAnsi="Garamond"/>
          <w:color w:val="000000" w:themeColor="text1"/>
          <w:sz w:val="24"/>
          <w:szCs w:val="24"/>
          <w:lang w:val="id-ID"/>
        </w:rPr>
        <w:t xml:space="preserve"> Hak Kekayaan Intelektual tidak berwujud materi namun memiliki nilai yang sangat tinggi </w:t>
      </w:r>
      <w:r w:rsidRPr="00FC49E0">
        <w:rPr>
          <w:rFonts w:ascii="Garamond" w:hAnsi="Garamond"/>
          <w:color w:val="000000" w:themeColor="text1"/>
          <w:sz w:val="24"/>
          <w:szCs w:val="24"/>
          <w:lang w:val="id-ID"/>
        </w:rPr>
        <w:lastRenderedPageBreak/>
        <w:t>sehingga keberadaannya diakui oleh hukum.</w:t>
      </w:r>
      <w:r w:rsidRPr="009C4103">
        <w:rPr>
          <w:rStyle w:val="FootnoteReference"/>
        </w:rPr>
        <w:footnoteReference w:id="27"/>
      </w:r>
      <w:r w:rsidRPr="00FC49E0">
        <w:rPr>
          <w:rFonts w:ascii="Garamond" w:hAnsi="Garamond"/>
          <w:color w:val="000000" w:themeColor="text1"/>
          <w:sz w:val="24"/>
          <w:szCs w:val="24"/>
          <w:lang w:val="id-ID"/>
        </w:rPr>
        <w:t xml:space="preserve"> Bila pemberi waralaba telah menyerahkan semua sistem waralabanya kepada mitra usaha (penerima) waralaba seperti penggunaan nama dagang dan merek terkenal, sistem pembuatan dan tata cara pengemasan, penyajian dan pendistribusiannya maka akan mendapatkan imbalan waralaba seperti :</w:t>
      </w:r>
      <w:r w:rsidRPr="00FC49E0">
        <w:rPr>
          <w:rFonts w:ascii="Garamond" w:hAnsi="Garamond"/>
          <w:color w:val="000000" w:themeColor="text1"/>
          <w:sz w:val="24"/>
          <w:szCs w:val="24"/>
        </w:rPr>
        <w:t xml:space="preserve"> </w:t>
      </w:r>
      <w:r w:rsidRPr="00FC49E0">
        <w:rPr>
          <w:rFonts w:ascii="Garamond" w:hAnsi="Garamond"/>
          <w:color w:val="000000" w:themeColor="text1"/>
          <w:sz w:val="24"/>
          <w:szCs w:val="24"/>
          <w:lang w:val="id-ID"/>
        </w:rPr>
        <w:t>Initial fee</w:t>
      </w:r>
      <w:r w:rsidRPr="00FC49E0">
        <w:rPr>
          <w:rFonts w:ascii="Garamond" w:hAnsi="Garamond"/>
          <w:color w:val="000000" w:themeColor="text1"/>
          <w:sz w:val="24"/>
          <w:szCs w:val="24"/>
        </w:rPr>
        <w:t xml:space="preserve"> (</w:t>
      </w:r>
      <w:r w:rsidRPr="00FC49E0">
        <w:rPr>
          <w:rFonts w:ascii="Garamond" w:hAnsi="Garamond"/>
          <w:color w:val="000000" w:themeColor="text1"/>
          <w:sz w:val="24"/>
          <w:szCs w:val="24"/>
          <w:lang w:val="id-ID"/>
        </w:rPr>
        <w:t xml:space="preserve">Biaya awal adalah biaya pembelian hak waralaba yang dibayarkan oleh penerima waralaba kepada penerima waralaba pada saat perjanjian waralaba yang dibayarkan hanya satu kali selama perjanjian waralaba. </w:t>
      </w:r>
    </w:p>
    <w:p w14:paraId="2694DFD8" w14:textId="77777777" w:rsidR="00995F29" w:rsidRPr="00FC49E0" w:rsidRDefault="00995F29" w:rsidP="00995F29">
      <w:pPr>
        <w:tabs>
          <w:tab w:val="right" w:pos="8271"/>
        </w:tabs>
        <w:spacing w:line="240" w:lineRule="auto"/>
        <w:ind w:firstLine="540"/>
        <w:jc w:val="both"/>
        <w:rPr>
          <w:rFonts w:ascii="Garamond" w:hAnsi="Garamond"/>
          <w:color w:val="000000" w:themeColor="text1"/>
          <w:sz w:val="24"/>
          <w:szCs w:val="24"/>
        </w:rPr>
      </w:pPr>
      <w:r w:rsidRPr="00FC49E0">
        <w:rPr>
          <w:rFonts w:ascii="Garamond" w:hAnsi="Garamond"/>
          <w:color w:val="000000" w:themeColor="text1"/>
          <w:sz w:val="24"/>
          <w:szCs w:val="24"/>
          <w:lang w:val="id-ID"/>
        </w:rPr>
        <w:t>Pada dasarnya biaya awal adalah biaya kompensasi atas biaya yang telah dikeluarkan oleh penerima waralaba untuk pengembangan pengalaman, pelatihan, rekrutmen, dan hak untuk menggunakan nama merek waralaba), Royalty fee (</w:t>
      </w:r>
      <w:r w:rsidRPr="00FC49E0">
        <w:rPr>
          <w:rFonts w:ascii="Garamond" w:hAnsi="Garamond"/>
          <w:i/>
          <w:iCs/>
          <w:color w:val="000000" w:themeColor="text1"/>
          <w:sz w:val="24"/>
          <w:szCs w:val="24"/>
          <w:lang w:val="id-ID"/>
        </w:rPr>
        <w:t>Royalty fee</w:t>
      </w:r>
      <w:r w:rsidRPr="00FC49E0">
        <w:rPr>
          <w:rFonts w:ascii="Garamond" w:hAnsi="Garamond"/>
          <w:color w:val="000000" w:themeColor="text1"/>
          <w:sz w:val="24"/>
          <w:szCs w:val="24"/>
          <w:lang w:val="id-ID"/>
        </w:rPr>
        <w:t xml:space="preserve"> adalah biaya yang harus dibayarkan oleh penerima waralaba (</w:t>
      </w:r>
      <w:r w:rsidRPr="00FC49E0">
        <w:rPr>
          <w:rFonts w:ascii="Garamond" w:hAnsi="Garamond"/>
          <w:i/>
          <w:iCs/>
          <w:color w:val="000000" w:themeColor="text1"/>
          <w:sz w:val="24"/>
          <w:szCs w:val="24"/>
          <w:lang w:val="id-ID"/>
        </w:rPr>
        <w:t>franchisee</w:t>
      </w:r>
      <w:r w:rsidRPr="00FC49E0">
        <w:rPr>
          <w:rFonts w:ascii="Garamond" w:hAnsi="Garamond"/>
          <w:color w:val="000000" w:themeColor="text1"/>
          <w:sz w:val="24"/>
          <w:szCs w:val="24"/>
          <w:lang w:val="id-ID"/>
        </w:rPr>
        <w:t>) kepada penerima waralaba selama perjanjian kerjasama, yang dibayarkan setiap bulan sejak pembukaan gerai waralaba.</w:t>
      </w:r>
      <w:r w:rsidRPr="009C4103">
        <w:rPr>
          <w:rStyle w:val="FootnoteReference"/>
        </w:rPr>
        <w:footnoteReference w:id="28"/>
      </w:r>
      <w:r w:rsidRPr="00FC49E0">
        <w:rPr>
          <w:rFonts w:ascii="Garamond" w:hAnsi="Garamond"/>
          <w:color w:val="000000" w:themeColor="text1"/>
          <w:sz w:val="24"/>
          <w:szCs w:val="24"/>
          <w:lang w:val="id-ID"/>
        </w:rPr>
        <w:t xml:space="preserve"> Sedangkan gaji didasarkan pada persentase pendapatan waralaba tidak termasuk pajak dan unsur penjualan kotor</w:t>
      </w:r>
      <w:r w:rsidRPr="00FC49E0">
        <w:rPr>
          <w:rFonts w:ascii="Garamond" w:hAnsi="Garamond"/>
          <w:color w:val="000000" w:themeColor="text1"/>
          <w:sz w:val="24"/>
          <w:szCs w:val="24"/>
        </w:rPr>
        <w:t xml:space="preserve">), </w:t>
      </w:r>
      <w:r w:rsidRPr="00FC49E0">
        <w:rPr>
          <w:rFonts w:ascii="Garamond" w:hAnsi="Garamond"/>
          <w:color w:val="000000" w:themeColor="text1"/>
          <w:sz w:val="24"/>
          <w:szCs w:val="24"/>
          <w:lang w:val="id-ID"/>
        </w:rPr>
        <w:t xml:space="preserve">Disclosure </w:t>
      </w:r>
      <w:r w:rsidRPr="00FC49E0">
        <w:rPr>
          <w:rFonts w:ascii="Garamond" w:hAnsi="Garamond"/>
          <w:color w:val="000000" w:themeColor="text1"/>
          <w:sz w:val="24"/>
          <w:szCs w:val="24"/>
        </w:rPr>
        <w:t>(</w:t>
      </w:r>
      <w:r w:rsidRPr="00FC49E0">
        <w:rPr>
          <w:rFonts w:ascii="Garamond" w:hAnsi="Garamond"/>
          <w:color w:val="000000" w:themeColor="text1"/>
          <w:sz w:val="24"/>
          <w:szCs w:val="24"/>
          <w:lang w:val="id-ID"/>
        </w:rPr>
        <w:t xml:space="preserve">Keterbukaan atau </w:t>
      </w:r>
      <w:r w:rsidRPr="00FC49E0">
        <w:rPr>
          <w:rFonts w:ascii="Garamond" w:hAnsi="Garamond"/>
          <w:i/>
          <w:iCs/>
          <w:color w:val="000000" w:themeColor="text1"/>
          <w:sz w:val="24"/>
          <w:szCs w:val="24"/>
          <w:lang w:val="id-ID"/>
        </w:rPr>
        <w:t>Disclosure</w:t>
      </w:r>
      <w:r w:rsidRPr="00FC49E0">
        <w:rPr>
          <w:rFonts w:ascii="Garamond" w:hAnsi="Garamond"/>
          <w:color w:val="000000" w:themeColor="text1"/>
          <w:sz w:val="24"/>
          <w:szCs w:val="24"/>
          <w:lang w:val="id-ID"/>
        </w:rPr>
        <w:t xml:space="preserve"> adalah pemberian informasi atau data secara terbuka oleh franchisor kepada calon franchisee, agar data tersebut bermanfaat bagi yang membutuhkan. Dalam bisnis waralaba digunakan sebagai sarana untuk menyajikan informasi berupa data dan fakta serta penjualan, kepegawaian, dan kondisi bisnis keuangan</w:t>
      </w:r>
      <w:r w:rsidRPr="00FC49E0">
        <w:rPr>
          <w:rFonts w:ascii="Garamond" w:hAnsi="Garamond"/>
          <w:color w:val="000000" w:themeColor="text1"/>
          <w:sz w:val="24"/>
          <w:szCs w:val="24"/>
        </w:rPr>
        <w:t>)</w:t>
      </w:r>
      <w:r w:rsidRPr="00FC49E0">
        <w:rPr>
          <w:rFonts w:ascii="Garamond" w:hAnsi="Garamond"/>
          <w:color w:val="000000" w:themeColor="text1"/>
          <w:sz w:val="24"/>
          <w:szCs w:val="24"/>
          <w:lang w:val="id-ID"/>
        </w:rPr>
        <w:t xml:space="preserve">. </w:t>
      </w:r>
    </w:p>
    <w:p w14:paraId="385C249B" w14:textId="77777777" w:rsidR="00995F29" w:rsidRPr="00FC49E0" w:rsidRDefault="00995F29" w:rsidP="00995F29">
      <w:pPr>
        <w:tabs>
          <w:tab w:val="right" w:pos="8271"/>
        </w:tabs>
        <w:spacing w:line="240" w:lineRule="auto"/>
        <w:ind w:firstLine="540"/>
        <w:jc w:val="both"/>
        <w:rPr>
          <w:rFonts w:ascii="Garamond" w:hAnsi="Garamond"/>
          <w:color w:val="000000" w:themeColor="text1"/>
          <w:sz w:val="24"/>
          <w:szCs w:val="24"/>
        </w:rPr>
      </w:pPr>
      <w:r w:rsidRPr="00FC49E0">
        <w:rPr>
          <w:rFonts w:ascii="Garamond" w:hAnsi="Garamond"/>
          <w:color w:val="000000" w:themeColor="text1"/>
          <w:sz w:val="24"/>
          <w:szCs w:val="24"/>
        </w:rPr>
        <w:t xml:space="preserve">Selanjutnya, </w:t>
      </w:r>
      <w:r w:rsidRPr="00FC49E0">
        <w:rPr>
          <w:rFonts w:ascii="Garamond" w:hAnsi="Garamond"/>
          <w:color w:val="000000" w:themeColor="text1"/>
          <w:sz w:val="24"/>
          <w:szCs w:val="24"/>
          <w:lang w:val="id-ID"/>
        </w:rPr>
        <w:t>Hak dan kewajiban dalam Perjanjian Waralaba</w:t>
      </w:r>
      <w:r w:rsidRPr="00FC49E0">
        <w:rPr>
          <w:rFonts w:ascii="Garamond" w:hAnsi="Garamond"/>
          <w:color w:val="000000" w:themeColor="text1"/>
          <w:sz w:val="24"/>
          <w:szCs w:val="24"/>
        </w:rPr>
        <w:t xml:space="preserve"> </w:t>
      </w:r>
      <w:r w:rsidRPr="00FC49E0">
        <w:rPr>
          <w:rFonts w:ascii="Garamond" w:hAnsi="Garamond"/>
          <w:color w:val="000000" w:themeColor="text1"/>
          <w:sz w:val="24"/>
          <w:szCs w:val="24"/>
          <w:lang w:val="id-ID"/>
        </w:rPr>
        <w:t>yang harus terpenuhi yaitu</w:t>
      </w:r>
      <w:r w:rsidRPr="00FC49E0">
        <w:rPr>
          <w:rFonts w:ascii="Garamond" w:hAnsi="Garamond"/>
          <w:color w:val="000000" w:themeColor="text1"/>
          <w:sz w:val="24"/>
          <w:szCs w:val="24"/>
        </w:rPr>
        <w:t>:</w:t>
      </w:r>
      <w:r w:rsidRPr="009C4103">
        <w:rPr>
          <w:rStyle w:val="FootnoteReference"/>
        </w:rPr>
        <w:footnoteReference w:id="29"/>
      </w:r>
      <w:r w:rsidRPr="00FC49E0">
        <w:rPr>
          <w:rFonts w:ascii="Garamond" w:hAnsi="Garamond"/>
          <w:color w:val="000000" w:themeColor="text1"/>
          <w:sz w:val="24"/>
          <w:szCs w:val="24"/>
        </w:rPr>
        <w:t xml:space="preserve"> </w:t>
      </w:r>
      <w:r w:rsidRPr="00FC49E0">
        <w:rPr>
          <w:rFonts w:ascii="Garamond" w:hAnsi="Garamond"/>
          <w:color w:val="000000" w:themeColor="text1"/>
          <w:sz w:val="24"/>
          <w:szCs w:val="24"/>
          <w:lang w:val="id-ID"/>
        </w:rPr>
        <w:t xml:space="preserve">Pemberi Waralaba berhak menerima </w:t>
      </w:r>
      <w:r w:rsidRPr="00FC49E0">
        <w:rPr>
          <w:rFonts w:ascii="Garamond" w:hAnsi="Garamond"/>
          <w:i/>
          <w:iCs/>
          <w:color w:val="000000" w:themeColor="text1"/>
          <w:sz w:val="24"/>
          <w:szCs w:val="24"/>
          <w:lang w:val="id-ID"/>
        </w:rPr>
        <w:t>Fee</w:t>
      </w:r>
      <w:r w:rsidRPr="00FC49E0">
        <w:rPr>
          <w:rFonts w:ascii="Garamond" w:hAnsi="Garamond"/>
          <w:color w:val="000000" w:themeColor="text1"/>
          <w:sz w:val="24"/>
          <w:szCs w:val="24"/>
          <w:lang w:val="id-ID"/>
        </w:rPr>
        <w:t xml:space="preserve"> atau </w:t>
      </w:r>
      <w:r w:rsidRPr="00FC49E0">
        <w:rPr>
          <w:rFonts w:ascii="Garamond" w:hAnsi="Garamond"/>
          <w:i/>
          <w:iCs/>
          <w:color w:val="000000" w:themeColor="text1"/>
          <w:sz w:val="24"/>
          <w:szCs w:val="24"/>
          <w:lang w:val="id-ID"/>
        </w:rPr>
        <w:t>Royalty</w:t>
      </w:r>
      <w:r w:rsidRPr="00FC49E0">
        <w:rPr>
          <w:rFonts w:ascii="Garamond" w:hAnsi="Garamond"/>
          <w:color w:val="000000" w:themeColor="text1"/>
          <w:sz w:val="24"/>
          <w:szCs w:val="24"/>
          <w:lang w:val="id-ID"/>
        </w:rPr>
        <w:t xml:space="preserve"> dan  berkewajiban memberi pembinaan kepada penerima waralaba, sedangkan penerima waralaba berhak mendapatkan pembinaan  berkesinambungan kepada penerima waralaba</w:t>
      </w:r>
      <w:r w:rsidRPr="00FC49E0">
        <w:rPr>
          <w:rFonts w:ascii="Garamond" w:hAnsi="Garamond"/>
          <w:color w:val="000000" w:themeColor="text1"/>
          <w:sz w:val="24"/>
          <w:szCs w:val="24"/>
        </w:rPr>
        <w:t xml:space="preserve">, </w:t>
      </w:r>
      <w:r w:rsidRPr="00FC49E0">
        <w:rPr>
          <w:rFonts w:ascii="Garamond" w:hAnsi="Garamond"/>
          <w:color w:val="000000" w:themeColor="text1"/>
          <w:sz w:val="24"/>
          <w:szCs w:val="24"/>
          <w:lang w:val="id-ID"/>
        </w:rPr>
        <w:t xml:space="preserve">Penerima Waralaba berhak menggunakan hak kekayaan Intelektual atau ciri khas usaha yang dimiliki pemberi waralaba,dan selanjutnya penerima waralaba berkewajiban menjaga kode etik/kerahasiaan Hak Kekayaan Intelektual atau ciri khas usaha tersebut. </w:t>
      </w:r>
    </w:p>
    <w:p w14:paraId="41F51E8F" w14:textId="77777777" w:rsidR="00995F29" w:rsidRPr="00FC49E0" w:rsidRDefault="00995F29" w:rsidP="00995F29">
      <w:pPr>
        <w:tabs>
          <w:tab w:val="right" w:pos="8271"/>
        </w:tabs>
        <w:spacing w:line="240" w:lineRule="auto"/>
        <w:ind w:firstLine="540"/>
        <w:jc w:val="both"/>
        <w:rPr>
          <w:rFonts w:ascii="Garamond" w:hAnsi="Garamond"/>
          <w:color w:val="000000" w:themeColor="text1"/>
          <w:sz w:val="24"/>
          <w:szCs w:val="24"/>
          <w:lang w:val="id-ID"/>
        </w:rPr>
      </w:pPr>
      <w:r w:rsidRPr="00FC49E0">
        <w:rPr>
          <w:rFonts w:ascii="Garamond" w:hAnsi="Garamond"/>
          <w:color w:val="000000" w:themeColor="text1"/>
          <w:sz w:val="24"/>
          <w:szCs w:val="24"/>
          <w:lang w:val="id-ID"/>
        </w:rPr>
        <w:t>Franchise (Waralaba) pada suatu perjanjian telah diatur dalam pasal 4 dan Peraturan pemerintah N0. 42 Tahun 2007 Tentang Waralaba, yaitu:</w:t>
      </w:r>
      <w:r w:rsidRPr="00FC49E0">
        <w:rPr>
          <w:rFonts w:ascii="Garamond" w:hAnsi="Garamond"/>
          <w:color w:val="000000" w:themeColor="text1"/>
          <w:sz w:val="24"/>
          <w:szCs w:val="24"/>
        </w:rPr>
        <w:t xml:space="preserve"> </w:t>
      </w:r>
      <w:r w:rsidRPr="00FC49E0">
        <w:rPr>
          <w:rFonts w:ascii="Garamond" w:hAnsi="Garamond"/>
          <w:color w:val="000000" w:themeColor="text1"/>
          <w:sz w:val="24"/>
          <w:szCs w:val="24"/>
          <w:lang w:val="id-ID"/>
        </w:rPr>
        <w:t>Waralaba diselenggarakan berdasarkan perjanjian tertulis antara Pemberi Waralaba dengan Penerima Waralaba dengan memperhatikan hukum Indonesia</w:t>
      </w:r>
      <w:r w:rsidRPr="00FC49E0">
        <w:rPr>
          <w:rFonts w:ascii="Garamond" w:hAnsi="Garamond"/>
          <w:color w:val="000000" w:themeColor="text1"/>
          <w:sz w:val="24"/>
          <w:szCs w:val="24"/>
        </w:rPr>
        <w:t xml:space="preserve"> dan </w:t>
      </w:r>
      <w:r w:rsidRPr="00FC49E0">
        <w:rPr>
          <w:rFonts w:ascii="Garamond" w:hAnsi="Garamond"/>
          <w:color w:val="000000" w:themeColor="text1"/>
          <w:sz w:val="24"/>
          <w:szCs w:val="24"/>
          <w:lang w:val="id-ID"/>
        </w:rPr>
        <w:t>hal perjanjian sebagaimana dimaksud pada ayat (1) ditulis dalam bahasa asing, perjanjian tersebut harus diterjemahkan dalam bahasa Indonesia.</w:t>
      </w:r>
    </w:p>
    <w:p w14:paraId="73A21C07" w14:textId="77777777" w:rsidR="00995F29" w:rsidRPr="00FC49E0" w:rsidRDefault="00995F29" w:rsidP="00995F29">
      <w:pPr>
        <w:tabs>
          <w:tab w:val="right" w:pos="8271"/>
        </w:tabs>
        <w:spacing w:line="240" w:lineRule="auto"/>
        <w:ind w:firstLine="540"/>
        <w:jc w:val="both"/>
        <w:rPr>
          <w:rFonts w:ascii="Garamond" w:hAnsi="Garamond"/>
          <w:color w:val="000000" w:themeColor="text1"/>
          <w:sz w:val="24"/>
          <w:szCs w:val="24"/>
          <w:lang w:val="id-ID"/>
        </w:rPr>
      </w:pPr>
      <w:r w:rsidRPr="00FC49E0">
        <w:rPr>
          <w:rFonts w:ascii="Garamond" w:hAnsi="Garamond"/>
          <w:color w:val="000000" w:themeColor="text1"/>
          <w:sz w:val="24"/>
          <w:szCs w:val="24"/>
          <w:lang w:val="id-ID"/>
        </w:rPr>
        <w:lastRenderedPageBreak/>
        <w:t>Franchis atau waralaba pada dasarnya mengandung elemen-elemen pokok sebagai berikut:</w:t>
      </w:r>
      <w:r w:rsidRPr="009C4103">
        <w:rPr>
          <w:rStyle w:val="FootnoteReference"/>
        </w:rPr>
        <w:footnoteReference w:id="30"/>
      </w:r>
      <w:r w:rsidRPr="00FC49E0">
        <w:rPr>
          <w:rFonts w:ascii="Garamond" w:hAnsi="Garamond"/>
          <w:color w:val="000000" w:themeColor="text1"/>
          <w:sz w:val="24"/>
          <w:szCs w:val="24"/>
          <w:lang w:val="id-ID"/>
        </w:rPr>
        <w:t xml:space="preserve"> Franchisor yaitu pihak pemilik/produsen dari barang atau jasa yang telah memiliki merek tertentu serta memberikan atau melisensikan hak eklslusif tertentu untuk pemasaran dari barang atau jasa itu, Franchisee yaitu pihak yang menerima hak ekslusif itu dari </w:t>
      </w:r>
      <w:r w:rsidRPr="00FC49E0">
        <w:rPr>
          <w:rFonts w:ascii="Garamond" w:hAnsi="Garamond"/>
          <w:i/>
          <w:iCs/>
          <w:color w:val="000000" w:themeColor="text1"/>
          <w:sz w:val="24"/>
          <w:szCs w:val="24"/>
          <w:lang w:val="id-ID"/>
        </w:rPr>
        <w:t>franchisor</w:t>
      </w:r>
      <w:r w:rsidRPr="00FC49E0">
        <w:rPr>
          <w:rFonts w:ascii="Garamond" w:hAnsi="Garamond"/>
          <w:color w:val="000000" w:themeColor="text1"/>
          <w:sz w:val="24"/>
          <w:szCs w:val="24"/>
          <w:lang w:val="id-ID"/>
        </w:rPr>
        <w:t xml:space="preserve">, Adanya penyerahan hak-hak secara eksklusif (dalam praktek meliputi berbagai macam hak milik intelektual/hak milik perindustrian) dari </w:t>
      </w:r>
      <w:r w:rsidRPr="00FC49E0">
        <w:rPr>
          <w:rFonts w:ascii="Garamond" w:hAnsi="Garamond"/>
          <w:i/>
          <w:iCs/>
          <w:color w:val="000000" w:themeColor="text1"/>
          <w:sz w:val="24"/>
          <w:szCs w:val="24"/>
          <w:lang w:val="id-ID"/>
        </w:rPr>
        <w:t xml:space="preserve">franchisor </w:t>
      </w:r>
      <w:r w:rsidRPr="00FC49E0">
        <w:rPr>
          <w:rFonts w:ascii="Garamond" w:hAnsi="Garamond"/>
          <w:color w:val="000000" w:themeColor="text1"/>
          <w:sz w:val="24"/>
          <w:szCs w:val="24"/>
          <w:lang w:val="id-ID"/>
        </w:rPr>
        <w:t xml:space="preserve">kepada </w:t>
      </w:r>
      <w:r w:rsidRPr="00FC49E0">
        <w:rPr>
          <w:rFonts w:ascii="Garamond" w:hAnsi="Garamond"/>
          <w:i/>
          <w:iCs/>
          <w:color w:val="000000" w:themeColor="text1"/>
          <w:sz w:val="24"/>
          <w:szCs w:val="24"/>
          <w:lang w:val="id-ID"/>
        </w:rPr>
        <w:t>franchisee</w:t>
      </w:r>
      <w:r w:rsidRPr="00FC49E0">
        <w:rPr>
          <w:rFonts w:ascii="Garamond" w:hAnsi="Garamond"/>
          <w:i/>
          <w:iCs/>
          <w:color w:val="000000" w:themeColor="text1"/>
          <w:sz w:val="24"/>
          <w:szCs w:val="24"/>
        </w:rPr>
        <w:t xml:space="preserve">, </w:t>
      </w:r>
      <w:r w:rsidRPr="00FC49E0">
        <w:rPr>
          <w:rFonts w:ascii="Garamond" w:hAnsi="Garamond"/>
          <w:color w:val="000000" w:themeColor="text1"/>
          <w:sz w:val="24"/>
          <w:szCs w:val="24"/>
          <w:lang w:val="id-ID"/>
        </w:rPr>
        <w:t>Adanya penetapan wilayah tertentu, franchise area di mana franchisee diberikan hak untuk beroperasi di wilayah tertentu. Contoh: hanya diperbolehkan untuk beroperasi di Pulau Jawa</w:t>
      </w:r>
      <w:r w:rsidRPr="00FC49E0">
        <w:rPr>
          <w:rFonts w:ascii="Garamond" w:hAnsi="Garamond"/>
          <w:color w:val="000000" w:themeColor="text1"/>
          <w:sz w:val="24"/>
          <w:szCs w:val="24"/>
        </w:rPr>
        <w:t xml:space="preserve">, </w:t>
      </w:r>
      <w:r w:rsidRPr="00FC49E0">
        <w:rPr>
          <w:rFonts w:ascii="Garamond" w:hAnsi="Garamond"/>
          <w:color w:val="000000" w:themeColor="text1"/>
          <w:sz w:val="24"/>
          <w:szCs w:val="24"/>
          <w:lang w:val="id-ID"/>
        </w:rPr>
        <w:t xml:space="preserve">Adanya imbal - prestasi dari </w:t>
      </w:r>
      <w:r w:rsidRPr="00FC49E0">
        <w:rPr>
          <w:rFonts w:ascii="Garamond" w:hAnsi="Garamond"/>
          <w:i/>
          <w:iCs/>
          <w:color w:val="000000" w:themeColor="text1"/>
          <w:sz w:val="24"/>
          <w:szCs w:val="24"/>
          <w:lang w:val="id-ID"/>
        </w:rPr>
        <w:t>franchisee</w:t>
      </w:r>
      <w:r w:rsidRPr="00FC49E0">
        <w:rPr>
          <w:rFonts w:ascii="Garamond" w:hAnsi="Garamond"/>
          <w:color w:val="000000" w:themeColor="text1"/>
          <w:sz w:val="24"/>
          <w:szCs w:val="24"/>
          <w:lang w:val="id-ID"/>
        </w:rPr>
        <w:t xml:space="preserve"> kepada </w:t>
      </w:r>
      <w:r w:rsidRPr="00FC49E0">
        <w:rPr>
          <w:rFonts w:ascii="Garamond" w:hAnsi="Garamond"/>
          <w:i/>
          <w:iCs/>
          <w:color w:val="000000" w:themeColor="text1"/>
          <w:sz w:val="24"/>
          <w:szCs w:val="24"/>
          <w:lang w:val="id-ID"/>
        </w:rPr>
        <w:t>franchisor</w:t>
      </w:r>
      <w:r w:rsidRPr="00FC49E0">
        <w:rPr>
          <w:rFonts w:ascii="Garamond" w:hAnsi="Garamond"/>
          <w:color w:val="000000" w:themeColor="text1"/>
          <w:sz w:val="24"/>
          <w:szCs w:val="24"/>
          <w:lang w:val="id-ID"/>
        </w:rPr>
        <w:t xml:space="preserve"> yang berupa </w:t>
      </w:r>
      <w:r w:rsidRPr="00FC49E0">
        <w:rPr>
          <w:rFonts w:ascii="Garamond" w:hAnsi="Garamond"/>
          <w:i/>
          <w:iCs/>
          <w:color w:val="000000" w:themeColor="text1"/>
          <w:sz w:val="24"/>
          <w:szCs w:val="24"/>
          <w:lang w:val="id-ID"/>
        </w:rPr>
        <w:t xml:space="preserve">Initial Fee </w:t>
      </w:r>
      <w:r w:rsidRPr="00FC49E0">
        <w:rPr>
          <w:rFonts w:ascii="Garamond" w:hAnsi="Garamond"/>
          <w:color w:val="000000" w:themeColor="text1"/>
          <w:sz w:val="24"/>
          <w:szCs w:val="24"/>
          <w:lang w:val="id-ID"/>
        </w:rPr>
        <w:t xml:space="preserve">dan </w:t>
      </w:r>
      <w:r w:rsidRPr="00FC49E0">
        <w:rPr>
          <w:rFonts w:ascii="Garamond" w:hAnsi="Garamond"/>
          <w:i/>
          <w:iCs/>
          <w:color w:val="000000" w:themeColor="text1"/>
          <w:sz w:val="24"/>
          <w:szCs w:val="24"/>
          <w:lang w:val="id-ID"/>
        </w:rPr>
        <w:t>Royaltie</w:t>
      </w:r>
      <w:r w:rsidRPr="00FC49E0">
        <w:rPr>
          <w:rFonts w:ascii="Garamond" w:hAnsi="Garamond"/>
          <w:color w:val="000000" w:themeColor="text1"/>
          <w:sz w:val="24"/>
          <w:szCs w:val="24"/>
          <w:lang w:val="id-ID"/>
        </w:rPr>
        <w:t>s serta biaya-biaya lain yang disepakati oleh kedua belah pihak</w:t>
      </w:r>
      <w:r w:rsidRPr="00FC49E0">
        <w:rPr>
          <w:rFonts w:ascii="Garamond" w:hAnsi="Garamond"/>
          <w:color w:val="000000" w:themeColor="text1"/>
          <w:sz w:val="24"/>
          <w:szCs w:val="24"/>
        </w:rPr>
        <w:t xml:space="preserve">, </w:t>
      </w:r>
      <w:r w:rsidRPr="00FC49E0">
        <w:rPr>
          <w:rFonts w:ascii="Garamond" w:hAnsi="Garamond"/>
          <w:color w:val="000000" w:themeColor="text1"/>
          <w:sz w:val="24"/>
          <w:szCs w:val="24"/>
          <w:lang w:val="id-ID"/>
        </w:rPr>
        <w:t xml:space="preserve">Adanya standar mutu yang ditetapkan oleh </w:t>
      </w:r>
      <w:r w:rsidRPr="00FC49E0">
        <w:rPr>
          <w:rFonts w:ascii="Garamond" w:hAnsi="Garamond"/>
          <w:i/>
          <w:iCs/>
          <w:color w:val="000000" w:themeColor="text1"/>
          <w:sz w:val="24"/>
          <w:szCs w:val="24"/>
          <w:lang w:val="id-ID"/>
        </w:rPr>
        <w:t>franchisor</w:t>
      </w:r>
      <w:r w:rsidRPr="00FC49E0">
        <w:rPr>
          <w:rFonts w:ascii="Garamond" w:hAnsi="Garamond"/>
          <w:color w:val="000000" w:themeColor="text1"/>
          <w:sz w:val="24"/>
          <w:szCs w:val="24"/>
          <w:lang w:val="id-ID"/>
        </w:rPr>
        <w:t xml:space="preserve"> bagi </w:t>
      </w:r>
      <w:r w:rsidRPr="00FC49E0">
        <w:rPr>
          <w:rFonts w:ascii="Garamond" w:hAnsi="Garamond"/>
          <w:i/>
          <w:iCs/>
          <w:color w:val="000000" w:themeColor="text1"/>
          <w:sz w:val="24"/>
          <w:szCs w:val="24"/>
          <w:lang w:val="id-ID"/>
        </w:rPr>
        <w:t>franchisee</w:t>
      </w:r>
      <w:r w:rsidRPr="00FC49E0">
        <w:rPr>
          <w:rFonts w:ascii="Garamond" w:hAnsi="Garamond"/>
          <w:color w:val="000000" w:themeColor="text1"/>
          <w:sz w:val="24"/>
          <w:szCs w:val="24"/>
          <w:lang w:val="id-ID"/>
        </w:rPr>
        <w:t>, serta supervisi secara berkala dalam rangka mempertahankan mutu</w:t>
      </w:r>
      <w:r w:rsidRPr="00FC49E0">
        <w:rPr>
          <w:rFonts w:ascii="Garamond" w:hAnsi="Garamond"/>
          <w:color w:val="000000" w:themeColor="text1"/>
          <w:sz w:val="24"/>
          <w:szCs w:val="24"/>
        </w:rPr>
        <w:t xml:space="preserve">, </w:t>
      </w:r>
      <w:r w:rsidRPr="00FC49E0">
        <w:rPr>
          <w:rFonts w:ascii="Garamond" w:hAnsi="Garamond"/>
          <w:color w:val="000000" w:themeColor="text1"/>
          <w:sz w:val="24"/>
          <w:szCs w:val="24"/>
          <w:lang w:val="id-ID"/>
        </w:rPr>
        <w:t xml:space="preserve">Adanya pelatihan awal, pelatihan yang berkesinambungan, yang diselenggarakan oleh </w:t>
      </w:r>
      <w:r w:rsidRPr="00FC49E0">
        <w:rPr>
          <w:rFonts w:ascii="Garamond" w:hAnsi="Garamond"/>
          <w:i/>
          <w:iCs/>
          <w:color w:val="000000" w:themeColor="text1"/>
          <w:sz w:val="24"/>
          <w:szCs w:val="24"/>
          <w:lang w:val="id-ID"/>
        </w:rPr>
        <w:t>franchisor</w:t>
      </w:r>
      <w:r w:rsidRPr="00FC49E0">
        <w:rPr>
          <w:rFonts w:ascii="Garamond" w:hAnsi="Garamond"/>
          <w:color w:val="000000" w:themeColor="text1"/>
          <w:sz w:val="24"/>
          <w:szCs w:val="24"/>
          <w:lang w:val="id-ID"/>
        </w:rPr>
        <w:t xml:space="preserve"> guna peningkatan ketrampilan. Saat ini bentuk-bentuk waralaba sudah menjamur di masyarakat dan sudah memiliki sertifikat dan sudah berkembang tidak sebatas bisnis internasional seperti 5 tahun lalau, melainkan waralaba mempengaruhi pedagang ayam goreng kaki lima yang meniru ( KFC, McD, CFC ) yang memiliki hukum dan hak yang jelas.</w:t>
      </w:r>
      <w:r w:rsidRPr="009C4103">
        <w:rPr>
          <w:rStyle w:val="FootnoteReference"/>
        </w:rPr>
        <w:footnoteReference w:id="31"/>
      </w:r>
    </w:p>
    <w:p w14:paraId="2D1A2EB5" w14:textId="3450E4D6" w:rsidR="00995F29" w:rsidRPr="00FC49E0" w:rsidRDefault="00995F29" w:rsidP="00995F29">
      <w:pPr>
        <w:tabs>
          <w:tab w:val="right" w:pos="8271"/>
        </w:tabs>
        <w:spacing w:line="240" w:lineRule="auto"/>
        <w:ind w:firstLine="540"/>
        <w:jc w:val="both"/>
        <w:rPr>
          <w:rFonts w:ascii="Garamond" w:hAnsi="Garamond"/>
          <w:color w:val="000000" w:themeColor="text1"/>
          <w:sz w:val="24"/>
          <w:szCs w:val="24"/>
          <w:lang w:val="id-ID"/>
        </w:rPr>
      </w:pPr>
      <w:r w:rsidRPr="00FC49E0">
        <w:rPr>
          <w:rFonts w:ascii="Garamond" w:hAnsi="Garamond"/>
          <w:color w:val="000000" w:themeColor="text1"/>
          <w:sz w:val="24"/>
          <w:szCs w:val="24"/>
          <w:lang w:val="id-ID"/>
        </w:rPr>
        <w:t>Industri adalah bidang yang menggunakan keterampilan, dan ketekunan dalam bekerja (bahasa Inggris: industrial) dan penggunaan alat-alat di bidang pengolahan hasil pertanian, dan distribusinya sebagai dasarnya. Jadi industri secara umum dikenal sebagai mata rantai berikutnya dalam bisnis untuk memenuhi kebutuhan (ekonomi) yang berkaitan dengan bumi, setelah pertanian, perkebunan, dan pertambangan yang erat kaitannya dengan tanah.</w:t>
      </w:r>
      <w:r w:rsidR="00C6080D" w:rsidRPr="009C4103">
        <w:rPr>
          <w:rStyle w:val="FootnoteReference"/>
        </w:rPr>
        <w:footnoteReference w:id="32"/>
      </w:r>
      <w:r w:rsidRPr="00FC49E0">
        <w:rPr>
          <w:rFonts w:ascii="Garamond" w:hAnsi="Garamond"/>
          <w:color w:val="000000" w:themeColor="text1"/>
          <w:sz w:val="24"/>
          <w:szCs w:val="24"/>
          <w:lang w:val="id-ID"/>
        </w:rPr>
        <w:t xml:space="preserve"> Industri adalah usaha atau kegiatan mengolah barang mentah atau setengah jadi. Industri adalah bidang yang menggunakan keterampilan, dan ketekunan dalam bekerja (bahasa Inggris: </w:t>
      </w:r>
      <w:r w:rsidRPr="00FC49E0">
        <w:rPr>
          <w:rFonts w:ascii="Garamond" w:hAnsi="Garamond"/>
          <w:i/>
          <w:iCs/>
          <w:color w:val="000000" w:themeColor="text1"/>
          <w:sz w:val="24"/>
          <w:szCs w:val="24"/>
          <w:lang w:val="id-ID"/>
        </w:rPr>
        <w:t>industri)</w:t>
      </w:r>
      <w:r w:rsidRPr="00FC49E0">
        <w:rPr>
          <w:rFonts w:ascii="Garamond" w:hAnsi="Garamond"/>
          <w:color w:val="000000" w:themeColor="text1"/>
          <w:sz w:val="24"/>
          <w:szCs w:val="24"/>
          <w:lang w:val="id-ID"/>
        </w:rPr>
        <w:t xml:space="preserve"> dan penggunaan alat-alat di bidang pengolahan hasil pertanian, dan distribusinya sebagai dasar. Jadi industri secara umum dikenal sebagai mata rantai berikutnya dalam mata rantai bisnis untuk memenuhi kebutuhan (ekonomi) yang berhubungan dengan bumi, setelah pertanian, perkebunan, dan pertambangan yang erat kaitannya dengan tanah. Bisnis perakitan dan perbaikan juga merupakan bagian dari industri. Produk industri tidak hanya berupa barang, tetapi juga berupa jasa. Beberapa </w:t>
      </w:r>
      <w:r w:rsidRPr="00FC49E0">
        <w:rPr>
          <w:rFonts w:ascii="Garamond" w:hAnsi="Garamond"/>
          <w:color w:val="000000" w:themeColor="text1"/>
          <w:sz w:val="24"/>
          <w:szCs w:val="24"/>
          <w:lang w:val="id-ID"/>
        </w:rPr>
        <w:lastRenderedPageBreak/>
        <w:t>contoh industri yang ada di Indonesia adalah industri makanan dan minuman, tembakau, tekstil, kendaraan bermotor, mesin, perbankan, pergudangan, dan masih banyak lagi.</w:t>
      </w:r>
      <w:r w:rsidR="00C6080D" w:rsidRPr="009C4103">
        <w:rPr>
          <w:rStyle w:val="FootnoteReference"/>
        </w:rPr>
        <w:footnoteReference w:id="33"/>
      </w:r>
    </w:p>
    <w:p w14:paraId="7CEED822" w14:textId="77777777" w:rsidR="00C6080D" w:rsidRDefault="00995F29" w:rsidP="00C6080D">
      <w:pPr>
        <w:tabs>
          <w:tab w:val="right" w:pos="8271"/>
        </w:tabs>
        <w:spacing w:line="240" w:lineRule="auto"/>
        <w:ind w:firstLine="540"/>
        <w:jc w:val="both"/>
        <w:rPr>
          <w:rFonts w:ascii="Garamond" w:hAnsi="Garamond"/>
          <w:color w:val="000000" w:themeColor="text1"/>
          <w:sz w:val="24"/>
          <w:szCs w:val="24"/>
          <w:lang w:val="id-ID"/>
        </w:rPr>
      </w:pPr>
      <w:r w:rsidRPr="00FC49E0">
        <w:rPr>
          <w:rFonts w:ascii="Garamond" w:hAnsi="Garamond"/>
          <w:color w:val="000000" w:themeColor="text1"/>
          <w:sz w:val="24"/>
          <w:szCs w:val="24"/>
          <w:lang w:val="id-ID"/>
        </w:rPr>
        <w:t>Bisnis retail adalah bisnis yang melibatkan penjualan barang atau jasa kepada konsumen dalam satuan atau retail.</w:t>
      </w:r>
      <w:r w:rsidRPr="009C4103">
        <w:rPr>
          <w:rStyle w:val="FootnoteReference"/>
        </w:rPr>
        <w:footnoteReference w:id="34"/>
      </w:r>
      <w:r w:rsidRPr="00FC49E0">
        <w:rPr>
          <w:rFonts w:ascii="Garamond" w:hAnsi="Garamond"/>
          <w:color w:val="000000" w:themeColor="text1"/>
          <w:sz w:val="24"/>
          <w:szCs w:val="24"/>
          <w:lang w:val="id-ID"/>
        </w:rPr>
        <w:t xml:space="preserve"> Konsumen yang membeli produk atau jasa secara eceran dimaksudkan untuk dikonsumsi atau digunakan secara pribadi dan tidak dijual kembali. industri ritel adalah industri yang menjual produk dan jasa yang memiliki nilai tambah untuk memenuhi kebutuhan individu, keluarga, kelompok, atau pengguna akhir, bukan untuk dijual kembali. Dalam hal ini, industri ritel yang ada disekitar kita, termasuk indomaret adalah usaha yang sudah marak terdapat di beberapa kecamatan/kota di Indonesia. Dengan semakin canggih teknologi aplikasi online mengalami tahapan kenaikan keuntungan dengan sistem pesan antar (</w:t>
      </w:r>
      <w:r w:rsidRPr="00FC49E0">
        <w:rPr>
          <w:rFonts w:ascii="Garamond" w:hAnsi="Garamond"/>
          <w:i/>
          <w:iCs/>
          <w:color w:val="000000" w:themeColor="text1"/>
          <w:sz w:val="24"/>
          <w:szCs w:val="24"/>
          <w:lang w:val="id-ID"/>
        </w:rPr>
        <w:t>delivery order</w:t>
      </w:r>
      <w:r w:rsidRPr="00FC49E0">
        <w:rPr>
          <w:rFonts w:ascii="Garamond" w:hAnsi="Garamond"/>
          <w:color w:val="000000" w:themeColor="text1"/>
          <w:sz w:val="24"/>
          <w:szCs w:val="24"/>
          <w:lang w:val="id-ID"/>
        </w:rPr>
        <w:t xml:space="preserve">) yang memudahkan konsumen tanpa harus ke </w:t>
      </w:r>
      <w:r w:rsidRPr="00FC49E0">
        <w:rPr>
          <w:rFonts w:ascii="Garamond" w:hAnsi="Garamond"/>
          <w:color w:val="000000" w:themeColor="text1"/>
          <w:sz w:val="24"/>
          <w:szCs w:val="24"/>
          <w:lang w:val="en-ID"/>
        </w:rPr>
        <w:t>ritel</w:t>
      </w:r>
      <w:r w:rsidRPr="00FC49E0">
        <w:rPr>
          <w:rFonts w:ascii="Garamond" w:hAnsi="Garamond"/>
          <w:color w:val="000000" w:themeColor="text1"/>
          <w:sz w:val="24"/>
          <w:szCs w:val="24"/>
          <w:lang w:val="id-ID"/>
        </w:rPr>
        <w:t>.</w:t>
      </w:r>
      <w:r w:rsidRPr="009C4103">
        <w:rPr>
          <w:rStyle w:val="FootnoteReference"/>
        </w:rPr>
        <w:footnoteReference w:id="35"/>
      </w:r>
    </w:p>
    <w:p w14:paraId="1C0A96E0" w14:textId="5AF826A1" w:rsidR="00906232" w:rsidRPr="00C6080D" w:rsidRDefault="00906232" w:rsidP="00C6080D">
      <w:pPr>
        <w:tabs>
          <w:tab w:val="right" w:pos="8271"/>
        </w:tabs>
        <w:spacing w:line="240" w:lineRule="auto"/>
        <w:ind w:firstLine="540"/>
        <w:jc w:val="both"/>
        <w:rPr>
          <w:rFonts w:ascii="Garamond" w:hAnsi="Garamond"/>
          <w:color w:val="000000" w:themeColor="text1"/>
          <w:sz w:val="24"/>
          <w:szCs w:val="24"/>
          <w:lang w:val="id-ID"/>
        </w:rPr>
      </w:pPr>
      <w:r w:rsidRPr="00FC49E0">
        <w:rPr>
          <w:rFonts w:ascii="Garamond" w:hAnsi="Garamond"/>
          <w:color w:val="000000" w:themeColor="text1"/>
          <w:sz w:val="24"/>
          <w:szCs w:val="24"/>
        </w:rPr>
        <w:t>Dengan demikian sistem perhitungan dan pembagian nisbah musyarakah pada industri bisnis retail indomart menunggunakan metode revenue sharing tanpa mengurangi komponen biaya. Hal tersebut sesuai dengan fatwa DSN MUI No.15/DSN/MUI/IX/2000. Sistem pembagian keuntungannya tercantum pada saat akad terjadi secara jelas. Penentuan besarnya rasio atau nisbah bagi hasil dilakukan ketika akad berlangsung. Besaran rasio bagi hasil ditentukan pada keuntungan ritel waralaba yang dijalankan. Selain itu, pembagian keuntungan yang meningkat disesuikan dengan jumlah pendapatan yang akan diperoleh penyedia jasa beserta mitra bisnis ritelnya.</w:t>
      </w:r>
    </w:p>
    <w:p w14:paraId="4A4D8879" w14:textId="77777777" w:rsidR="00087197" w:rsidRPr="00FC49E0" w:rsidRDefault="00087197" w:rsidP="00AC6513">
      <w:pPr>
        <w:tabs>
          <w:tab w:val="right" w:pos="8271"/>
        </w:tabs>
        <w:spacing w:line="240" w:lineRule="auto"/>
        <w:jc w:val="both"/>
        <w:rPr>
          <w:rFonts w:ascii="Garamond" w:hAnsi="Garamond"/>
          <w:b/>
          <w:bCs/>
          <w:color w:val="000000" w:themeColor="text1"/>
          <w:sz w:val="24"/>
          <w:szCs w:val="24"/>
          <w:lang w:val="id-ID"/>
        </w:rPr>
      </w:pPr>
      <w:r w:rsidRPr="00FC49E0">
        <w:rPr>
          <w:rFonts w:ascii="Garamond" w:hAnsi="Garamond"/>
          <w:b/>
          <w:bCs/>
          <w:color w:val="000000" w:themeColor="text1"/>
          <w:sz w:val="24"/>
          <w:szCs w:val="24"/>
          <w:lang w:val="id-ID"/>
        </w:rPr>
        <w:t>KESIMPULAN</w:t>
      </w:r>
    </w:p>
    <w:p w14:paraId="187DBFF9" w14:textId="5CA7F4F0" w:rsidR="00C6080D" w:rsidRPr="00C6080D" w:rsidRDefault="00E4415D" w:rsidP="00C6080D">
      <w:pPr>
        <w:tabs>
          <w:tab w:val="right" w:pos="8271"/>
        </w:tabs>
        <w:spacing w:line="240" w:lineRule="auto"/>
        <w:ind w:firstLine="567"/>
        <w:jc w:val="both"/>
        <w:rPr>
          <w:rFonts w:ascii="Garamond" w:hAnsi="Garamond"/>
          <w:color w:val="000000" w:themeColor="text1"/>
          <w:sz w:val="24"/>
          <w:szCs w:val="24"/>
        </w:rPr>
      </w:pPr>
      <w:r w:rsidRPr="00FC49E0">
        <w:rPr>
          <w:rFonts w:ascii="Garamond" w:hAnsi="Garamond"/>
          <w:color w:val="000000" w:themeColor="text1"/>
          <w:sz w:val="24"/>
          <w:szCs w:val="24"/>
        </w:rPr>
        <w:t>Perhitungan dan pembagian nisbah akad musyarakah pada industri bisnis ritel indomart dikudus menggunakan merode revenue sharing dimana pembagian pendapatannya</w:t>
      </w:r>
      <w:r w:rsidR="00687054" w:rsidRPr="00FC49E0">
        <w:rPr>
          <w:rFonts w:ascii="Garamond" w:hAnsi="Garamond"/>
          <w:color w:val="000000" w:themeColor="text1"/>
          <w:sz w:val="24"/>
          <w:szCs w:val="24"/>
        </w:rPr>
        <w:t xml:space="preserve"> tanpa mengurangi komponen biaya. Sistem perhitungannya menggunakan unsur margin oleh pihak pemberi pembiaya yakni lembaga keuangan syariah. Hal tersebut merupakan presentase keuntungan yang selanjutnya keuntungan terus mengalami keuntungan yang dapat dirasakan oleh kedua pihak yang terlibat dalam pelaksanaan jenis usaha. Berdasarkan fatwa DSN-MUI No.15/DSN/MUI/IX/2000 terkait prinsip bagi hasil usaha antara pelaku usaha dengan pemberi modal dapat disebut bahwa sistem perhitungan dalam nisbah akad musyarakah sudah sesuai dengan sistem perhintungan. Hal tersebut disebakan karena sistem yang digunakan menggunakan metode revenue sharih dalam pembagian pendapatannya.</w:t>
      </w:r>
    </w:p>
    <w:p w14:paraId="37907AB6" w14:textId="52A79C15" w:rsidR="00087197" w:rsidRDefault="00087197" w:rsidP="00AC6513">
      <w:pPr>
        <w:tabs>
          <w:tab w:val="right" w:pos="8271"/>
        </w:tabs>
        <w:spacing w:line="240" w:lineRule="auto"/>
        <w:jc w:val="both"/>
        <w:rPr>
          <w:rFonts w:ascii="Garamond" w:hAnsi="Garamond"/>
          <w:b/>
          <w:bCs/>
          <w:color w:val="000000" w:themeColor="text1"/>
          <w:sz w:val="24"/>
          <w:szCs w:val="24"/>
          <w:lang w:val="id-ID"/>
        </w:rPr>
      </w:pPr>
      <w:r w:rsidRPr="00FC49E0">
        <w:rPr>
          <w:rFonts w:ascii="Garamond" w:hAnsi="Garamond"/>
          <w:b/>
          <w:bCs/>
          <w:color w:val="000000" w:themeColor="text1"/>
          <w:sz w:val="24"/>
          <w:szCs w:val="24"/>
          <w:lang w:val="id-ID"/>
        </w:rPr>
        <w:lastRenderedPageBreak/>
        <w:t>DAFTAR PUSTAKA</w:t>
      </w:r>
    </w:p>
    <w:p w14:paraId="2FCA3A68" w14:textId="6472B939" w:rsidR="00600574" w:rsidRDefault="00600574" w:rsidP="00600574">
      <w:pPr>
        <w:widowControl w:val="0"/>
        <w:autoSpaceDE w:val="0"/>
        <w:autoSpaceDN w:val="0"/>
        <w:adjustRightInd w:val="0"/>
        <w:spacing w:line="240" w:lineRule="auto"/>
        <w:ind w:left="480" w:hanging="480"/>
        <w:jc w:val="both"/>
        <w:rPr>
          <w:rFonts w:ascii="Garamond" w:hAnsi="Garamond" w:cs="Times New Roman"/>
          <w:noProof/>
          <w:sz w:val="24"/>
          <w:szCs w:val="24"/>
        </w:rPr>
      </w:pPr>
      <w:r>
        <w:rPr>
          <w:rFonts w:ascii="Garamond" w:hAnsi="Garamond"/>
          <w:b/>
          <w:bCs/>
          <w:color w:val="000000" w:themeColor="text1"/>
          <w:sz w:val="24"/>
          <w:szCs w:val="24"/>
          <w:lang w:val="id-ID"/>
        </w:rPr>
        <w:fldChar w:fldCharType="begin" w:fldLock="1"/>
      </w:r>
      <w:r>
        <w:rPr>
          <w:rFonts w:ascii="Garamond" w:hAnsi="Garamond"/>
          <w:b/>
          <w:bCs/>
          <w:color w:val="000000" w:themeColor="text1"/>
          <w:sz w:val="24"/>
          <w:szCs w:val="24"/>
          <w:lang w:val="id-ID"/>
        </w:rPr>
        <w:instrText xml:space="preserve">ADDIN Mendeley Bibliography CSL_BIBLIOGRAPHY </w:instrText>
      </w:r>
      <w:r>
        <w:rPr>
          <w:rFonts w:ascii="Garamond" w:hAnsi="Garamond"/>
          <w:b/>
          <w:bCs/>
          <w:color w:val="000000" w:themeColor="text1"/>
          <w:sz w:val="24"/>
          <w:szCs w:val="24"/>
          <w:lang w:val="id-ID"/>
        </w:rPr>
        <w:fldChar w:fldCharType="separate"/>
      </w:r>
      <w:r w:rsidRPr="00600574">
        <w:rPr>
          <w:rFonts w:ascii="Garamond" w:hAnsi="Garamond" w:cs="Times New Roman"/>
          <w:noProof/>
          <w:sz w:val="24"/>
          <w:szCs w:val="24"/>
        </w:rPr>
        <w:t xml:space="preserve">Abdul Haris Romdhoni, Ferlangga El Yozika. “Pengaruh Pembiayaan Mudharabah, Musyarakah Dan Ijarah Terhadap Profitabilitas Bank Muamalat Indonesia.” </w:t>
      </w:r>
      <w:r w:rsidRPr="00600574">
        <w:rPr>
          <w:rFonts w:ascii="Garamond" w:hAnsi="Garamond" w:cs="Times New Roman"/>
          <w:i/>
          <w:iCs/>
          <w:noProof/>
          <w:sz w:val="24"/>
          <w:szCs w:val="24"/>
        </w:rPr>
        <w:t>Jurnal Ilmiah Ekonomi Islam</w:t>
      </w:r>
      <w:r w:rsidRPr="00600574">
        <w:rPr>
          <w:rFonts w:ascii="Garamond" w:hAnsi="Garamond" w:cs="Times New Roman"/>
          <w:noProof/>
          <w:sz w:val="24"/>
          <w:szCs w:val="24"/>
        </w:rPr>
        <w:t xml:space="preserve"> 4, no. 3 (2018).</w:t>
      </w:r>
    </w:p>
    <w:p w14:paraId="7C2F77CD" w14:textId="77777777" w:rsidR="00600574" w:rsidRPr="00600574" w:rsidRDefault="00600574" w:rsidP="00600574">
      <w:pPr>
        <w:widowControl w:val="0"/>
        <w:autoSpaceDE w:val="0"/>
        <w:autoSpaceDN w:val="0"/>
        <w:adjustRightInd w:val="0"/>
        <w:spacing w:line="240" w:lineRule="auto"/>
        <w:ind w:left="480" w:hanging="480"/>
        <w:jc w:val="both"/>
        <w:rPr>
          <w:rFonts w:ascii="Garamond" w:hAnsi="Garamond" w:cs="Times New Roman"/>
          <w:noProof/>
          <w:sz w:val="24"/>
          <w:szCs w:val="24"/>
        </w:rPr>
      </w:pPr>
      <w:r w:rsidRPr="00600574">
        <w:rPr>
          <w:rFonts w:ascii="Garamond" w:hAnsi="Garamond" w:cs="Times New Roman"/>
          <w:noProof/>
          <w:sz w:val="24"/>
          <w:szCs w:val="24"/>
        </w:rPr>
        <w:t>Abdullah, Marie and, Septarina Budiwati. “Analisis Implementasi Supporting Management Pada Perjanjian Franchise Di Markobar.” Universitas Muhammadiyah Surakarta., 2019.</w:t>
      </w:r>
    </w:p>
    <w:p w14:paraId="4413F360" w14:textId="7D5C83AF" w:rsidR="00600574" w:rsidRDefault="00600574" w:rsidP="00600574">
      <w:pPr>
        <w:widowControl w:val="0"/>
        <w:autoSpaceDE w:val="0"/>
        <w:autoSpaceDN w:val="0"/>
        <w:adjustRightInd w:val="0"/>
        <w:spacing w:line="240" w:lineRule="auto"/>
        <w:ind w:left="480" w:hanging="480"/>
        <w:jc w:val="both"/>
        <w:rPr>
          <w:rFonts w:ascii="Garamond" w:hAnsi="Garamond" w:cs="Times New Roman"/>
          <w:noProof/>
          <w:sz w:val="24"/>
          <w:szCs w:val="24"/>
        </w:rPr>
      </w:pPr>
      <w:r w:rsidRPr="00600574">
        <w:rPr>
          <w:rFonts w:ascii="Garamond" w:hAnsi="Garamond" w:cs="Times New Roman"/>
          <w:noProof/>
          <w:sz w:val="24"/>
          <w:szCs w:val="24"/>
        </w:rPr>
        <w:t xml:space="preserve">Andi Nur Afifah, Sohrah, Muslimin Kara. “Royalty Fee Bisnis Waralaba Ritel Di Kota Makassar Dalam Perspektif Hukum Ekonomi Syariah Royalty Fee of Retail Franchise Business in the City of Makassar at Perspective of Sharia Economic Law.” </w:t>
      </w:r>
      <w:r w:rsidRPr="00600574">
        <w:rPr>
          <w:rFonts w:ascii="Garamond" w:hAnsi="Garamond" w:cs="Times New Roman"/>
          <w:i/>
          <w:iCs/>
          <w:noProof/>
          <w:sz w:val="24"/>
          <w:szCs w:val="24"/>
        </w:rPr>
        <w:t>Nuhkbatul ’Ulum: Jurnal Bidang Kajian</w:t>
      </w:r>
      <w:r w:rsidRPr="00600574">
        <w:rPr>
          <w:rFonts w:ascii="Garamond" w:hAnsi="Garamond" w:cs="Times New Roman"/>
          <w:noProof/>
          <w:sz w:val="24"/>
          <w:szCs w:val="24"/>
        </w:rPr>
        <w:t xml:space="preserve"> 7, no. 1 (2021). https://doi.org/https://doi.org/10.36701/nukhbah.v7i1.296.</w:t>
      </w:r>
    </w:p>
    <w:p w14:paraId="3EFE5949" w14:textId="77777777" w:rsidR="00600574" w:rsidRPr="00FC49E0" w:rsidRDefault="00600574" w:rsidP="00600574">
      <w:pPr>
        <w:tabs>
          <w:tab w:val="right" w:pos="8271"/>
        </w:tabs>
        <w:spacing w:line="240" w:lineRule="auto"/>
        <w:ind w:left="851" w:hanging="851"/>
        <w:jc w:val="both"/>
        <w:rPr>
          <w:rFonts w:ascii="Garamond" w:hAnsi="Garamond"/>
          <w:color w:val="000000" w:themeColor="text1"/>
          <w:sz w:val="24"/>
          <w:szCs w:val="24"/>
          <w:lang w:val="id-ID"/>
        </w:rPr>
      </w:pPr>
      <w:r w:rsidRPr="00FC49E0">
        <w:rPr>
          <w:rFonts w:ascii="Garamond" w:hAnsi="Garamond"/>
          <w:color w:val="000000" w:themeColor="text1"/>
          <w:sz w:val="24"/>
          <w:szCs w:val="24"/>
          <w:lang w:val="id-ID"/>
        </w:rPr>
        <w:t xml:space="preserve">Angeline, E.M. &amp; Novita (2020). </w:t>
      </w:r>
      <w:r w:rsidRPr="00FC49E0">
        <w:rPr>
          <w:rFonts w:ascii="Garamond" w:hAnsi="Garamond"/>
          <w:i/>
          <w:iCs/>
          <w:color w:val="000000" w:themeColor="text1"/>
          <w:sz w:val="24"/>
          <w:szCs w:val="24"/>
          <w:lang w:val="id-ID"/>
        </w:rPr>
        <w:t xml:space="preserve">Implikasi Mekanisme Corporate Governance Terhadap Pengungkapan Intellectual Capital. </w:t>
      </w:r>
      <w:r w:rsidRPr="00FC49E0">
        <w:rPr>
          <w:rFonts w:ascii="Garamond" w:hAnsi="Garamond"/>
          <w:color w:val="000000" w:themeColor="text1"/>
          <w:sz w:val="24"/>
          <w:szCs w:val="24"/>
          <w:lang w:val="id-ID"/>
        </w:rPr>
        <w:t>Jurnal Akuntansi Trisakti, jakarta</w:t>
      </w:r>
    </w:p>
    <w:p w14:paraId="3EB4237B" w14:textId="77777777" w:rsidR="00600574" w:rsidRPr="00FC49E0" w:rsidRDefault="00600574" w:rsidP="00600574">
      <w:pPr>
        <w:tabs>
          <w:tab w:val="right" w:pos="8271"/>
        </w:tabs>
        <w:spacing w:line="240" w:lineRule="auto"/>
        <w:ind w:left="851" w:hanging="851"/>
        <w:jc w:val="both"/>
        <w:rPr>
          <w:rFonts w:ascii="Garamond" w:hAnsi="Garamond"/>
          <w:color w:val="000000" w:themeColor="text1"/>
          <w:sz w:val="24"/>
          <w:szCs w:val="24"/>
          <w:lang w:val="id-ID"/>
        </w:rPr>
      </w:pPr>
      <w:r w:rsidRPr="00FC49E0">
        <w:rPr>
          <w:rFonts w:ascii="Garamond" w:hAnsi="Garamond"/>
          <w:color w:val="000000" w:themeColor="text1"/>
          <w:sz w:val="24"/>
          <w:szCs w:val="24"/>
          <w:lang w:val="id-ID"/>
        </w:rPr>
        <w:t xml:space="preserve">Adi, P.T, Auliya, D. &amp; Erna, A. (2020). </w:t>
      </w:r>
      <w:r w:rsidRPr="00FC49E0">
        <w:rPr>
          <w:rFonts w:ascii="Garamond" w:hAnsi="Garamond"/>
          <w:i/>
          <w:iCs/>
          <w:color w:val="000000" w:themeColor="text1"/>
          <w:sz w:val="24"/>
          <w:szCs w:val="24"/>
          <w:lang w:val="id-ID"/>
        </w:rPr>
        <w:t xml:space="preserve">Pengaruh Logistics Service Quality Terhadap Customer Satisfaction dan Customer Loyalty Pada Industri Ritel di Indonesia. </w:t>
      </w:r>
      <w:r w:rsidRPr="00FC49E0">
        <w:rPr>
          <w:rFonts w:ascii="Garamond" w:hAnsi="Garamond"/>
          <w:color w:val="000000" w:themeColor="text1"/>
          <w:sz w:val="24"/>
          <w:szCs w:val="24"/>
          <w:lang w:val="id-ID"/>
        </w:rPr>
        <w:t xml:space="preserve">Jurnal Sosial dan Humaniora, Surabaya </w:t>
      </w:r>
    </w:p>
    <w:p w14:paraId="4C6C861C" w14:textId="77777777" w:rsidR="00600574" w:rsidRPr="00600574" w:rsidRDefault="00600574" w:rsidP="00600574">
      <w:pPr>
        <w:widowControl w:val="0"/>
        <w:autoSpaceDE w:val="0"/>
        <w:autoSpaceDN w:val="0"/>
        <w:adjustRightInd w:val="0"/>
        <w:spacing w:line="240" w:lineRule="auto"/>
        <w:ind w:left="480" w:hanging="480"/>
        <w:jc w:val="both"/>
        <w:rPr>
          <w:rFonts w:ascii="Garamond" w:hAnsi="Garamond" w:cs="Times New Roman"/>
          <w:noProof/>
          <w:sz w:val="24"/>
          <w:szCs w:val="24"/>
        </w:rPr>
      </w:pPr>
      <w:r w:rsidRPr="00600574">
        <w:rPr>
          <w:rFonts w:ascii="Garamond" w:hAnsi="Garamond" w:cs="Times New Roman"/>
          <w:noProof/>
          <w:sz w:val="24"/>
          <w:szCs w:val="24"/>
        </w:rPr>
        <w:t xml:space="preserve">Awaluddin Awaluddin, Andis Febrian. “Kedudukan Fatwa DSN-MUI Dalam Transaksi Keuangan Pada Lembaga Keuangan Syariah Di Indonesia.” </w:t>
      </w:r>
      <w:r w:rsidRPr="00600574">
        <w:rPr>
          <w:rFonts w:ascii="Garamond" w:hAnsi="Garamond" w:cs="Times New Roman"/>
          <w:i/>
          <w:iCs/>
          <w:noProof/>
          <w:sz w:val="24"/>
          <w:szCs w:val="24"/>
        </w:rPr>
        <w:t>Al Hurriyah: Jurnal Hukum Islam</w:t>
      </w:r>
      <w:r w:rsidRPr="00600574">
        <w:rPr>
          <w:rFonts w:ascii="Garamond" w:hAnsi="Garamond" w:cs="Times New Roman"/>
          <w:noProof/>
          <w:sz w:val="24"/>
          <w:szCs w:val="24"/>
        </w:rPr>
        <w:t xml:space="preserve"> 5, no. 2 (2020). https://doi.org/http://dx.doi.org/10.30983/alhurriyah.v5i2.3366.</w:t>
      </w:r>
    </w:p>
    <w:p w14:paraId="7A61D103" w14:textId="77777777" w:rsidR="00600574" w:rsidRPr="00600574" w:rsidRDefault="00600574" w:rsidP="00600574">
      <w:pPr>
        <w:widowControl w:val="0"/>
        <w:autoSpaceDE w:val="0"/>
        <w:autoSpaceDN w:val="0"/>
        <w:adjustRightInd w:val="0"/>
        <w:spacing w:line="240" w:lineRule="auto"/>
        <w:ind w:left="480" w:hanging="480"/>
        <w:jc w:val="both"/>
        <w:rPr>
          <w:rFonts w:ascii="Garamond" w:hAnsi="Garamond" w:cs="Times New Roman"/>
          <w:noProof/>
          <w:sz w:val="24"/>
          <w:szCs w:val="24"/>
        </w:rPr>
      </w:pPr>
      <w:r w:rsidRPr="00600574">
        <w:rPr>
          <w:rFonts w:ascii="Garamond" w:hAnsi="Garamond" w:cs="Times New Roman"/>
          <w:noProof/>
          <w:sz w:val="24"/>
          <w:szCs w:val="24"/>
        </w:rPr>
        <w:t>Baharun, Hasan, and Harisatun Niswa. “Syariah Branding</w:t>
      </w:r>
      <w:r w:rsidRPr="00600574">
        <w:rPr>
          <w:rFonts w:ascii="Times New Roman" w:hAnsi="Times New Roman" w:cs="Times New Roman"/>
          <w:noProof/>
          <w:sz w:val="24"/>
          <w:szCs w:val="24"/>
        </w:rPr>
        <w:t> </w:t>
      </w:r>
      <w:r w:rsidRPr="00600574">
        <w:rPr>
          <w:rFonts w:ascii="Garamond" w:hAnsi="Garamond" w:cs="Times New Roman"/>
          <w:noProof/>
          <w:sz w:val="24"/>
          <w:szCs w:val="24"/>
        </w:rPr>
        <w:t xml:space="preserve">; Komodifikasi Agama Dalam Bisnis Waralaba Di Era Revolusi Industri 4 . 0 Cyber Physical System ( CPS ) Dan Internet of Things and Services Sertamampu Menaikkan Efsiensi Manufaktur Dan Kualitas Produk . Dunia Perekonomian Di Indonesia . D.” </w:t>
      </w:r>
      <w:r w:rsidRPr="00600574">
        <w:rPr>
          <w:rFonts w:ascii="Garamond" w:hAnsi="Garamond" w:cs="Times New Roman"/>
          <w:i/>
          <w:iCs/>
          <w:noProof/>
          <w:sz w:val="24"/>
          <w:szCs w:val="24"/>
        </w:rPr>
        <w:t>INFERENSI: Jurnal Penelitian Sosial Keagamaan</w:t>
      </w:r>
      <w:r w:rsidRPr="00600574">
        <w:rPr>
          <w:rFonts w:ascii="Garamond" w:hAnsi="Garamond" w:cs="Times New Roman"/>
          <w:noProof/>
          <w:sz w:val="24"/>
          <w:szCs w:val="24"/>
        </w:rPr>
        <w:t xml:space="preserve"> 13, no. 1 (2019): 75–98.</w:t>
      </w:r>
    </w:p>
    <w:p w14:paraId="159C4F10" w14:textId="77777777" w:rsidR="00600574" w:rsidRPr="00600574" w:rsidRDefault="00600574" w:rsidP="00600574">
      <w:pPr>
        <w:widowControl w:val="0"/>
        <w:autoSpaceDE w:val="0"/>
        <w:autoSpaceDN w:val="0"/>
        <w:adjustRightInd w:val="0"/>
        <w:spacing w:line="240" w:lineRule="auto"/>
        <w:ind w:left="480" w:hanging="480"/>
        <w:jc w:val="both"/>
        <w:rPr>
          <w:rFonts w:ascii="Garamond" w:hAnsi="Garamond" w:cs="Times New Roman"/>
          <w:noProof/>
          <w:sz w:val="24"/>
          <w:szCs w:val="24"/>
        </w:rPr>
      </w:pPr>
      <w:r w:rsidRPr="00600574">
        <w:rPr>
          <w:rFonts w:ascii="Garamond" w:hAnsi="Garamond" w:cs="Times New Roman"/>
          <w:noProof/>
          <w:sz w:val="24"/>
          <w:szCs w:val="24"/>
        </w:rPr>
        <w:t xml:space="preserve">Baoqin Yu, Jun Wang, Xinman Lu, Hongtao Yang. “Collaboration in a Low-Carbon Supply Chain with Reference Emission and Cost Learning Effects: Cost Sharing versus Revenue Sharing Strategies.” </w:t>
      </w:r>
      <w:r w:rsidRPr="00600574">
        <w:rPr>
          <w:rFonts w:ascii="Garamond" w:hAnsi="Garamond" w:cs="Times New Roman"/>
          <w:i/>
          <w:iCs/>
          <w:noProof/>
          <w:sz w:val="24"/>
          <w:szCs w:val="24"/>
        </w:rPr>
        <w:t>Journal Cleaner Production</w:t>
      </w:r>
      <w:r w:rsidRPr="00600574">
        <w:rPr>
          <w:rFonts w:ascii="Garamond" w:hAnsi="Garamond" w:cs="Times New Roman"/>
          <w:noProof/>
          <w:sz w:val="24"/>
          <w:szCs w:val="24"/>
        </w:rPr>
        <w:t xml:space="preserve"> 250, no. 20 (2020).</w:t>
      </w:r>
    </w:p>
    <w:p w14:paraId="2891CCBD" w14:textId="6BA7CCE6" w:rsidR="00600574" w:rsidRDefault="00600574" w:rsidP="00600574">
      <w:pPr>
        <w:widowControl w:val="0"/>
        <w:autoSpaceDE w:val="0"/>
        <w:autoSpaceDN w:val="0"/>
        <w:adjustRightInd w:val="0"/>
        <w:spacing w:line="240" w:lineRule="auto"/>
        <w:ind w:left="480" w:hanging="480"/>
        <w:jc w:val="both"/>
        <w:rPr>
          <w:rFonts w:ascii="Garamond" w:hAnsi="Garamond" w:cs="Times New Roman"/>
          <w:noProof/>
          <w:sz w:val="24"/>
          <w:szCs w:val="24"/>
        </w:rPr>
      </w:pPr>
      <w:r w:rsidRPr="00600574">
        <w:rPr>
          <w:rFonts w:ascii="Garamond" w:hAnsi="Garamond" w:cs="Times New Roman"/>
          <w:noProof/>
          <w:sz w:val="24"/>
          <w:szCs w:val="24"/>
        </w:rPr>
        <w:t xml:space="preserve">Damayanti, Evi. “Tinjauan Hukum Islam Terhadap Eksistensi Minimarket Alfamart Dan Indomaret Di Indonesia.” </w:t>
      </w:r>
      <w:r w:rsidRPr="00600574">
        <w:rPr>
          <w:rFonts w:ascii="Garamond" w:hAnsi="Garamond" w:cs="Times New Roman"/>
          <w:i/>
          <w:iCs/>
          <w:noProof/>
          <w:sz w:val="24"/>
          <w:szCs w:val="24"/>
        </w:rPr>
        <w:t>Az Zarqa’: Jurnal Hukum Bisnis Islam</w:t>
      </w:r>
      <w:r w:rsidRPr="00600574">
        <w:rPr>
          <w:rFonts w:ascii="Garamond" w:hAnsi="Garamond" w:cs="Times New Roman"/>
          <w:noProof/>
          <w:sz w:val="24"/>
          <w:szCs w:val="24"/>
        </w:rPr>
        <w:t xml:space="preserve"> 11, no. 2 (2019).</w:t>
      </w:r>
    </w:p>
    <w:p w14:paraId="22145ABF" w14:textId="77777777" w:rsidR="00600574" w:rsidRPr="00FC49E0" w:rsidRDefault="00600574" w:rsidP="00600574">
      <w:pPr>
        <w:tabs>
          <w:tab w:val="right" w:pos="8271"/>
        </w:tabs>
        <w:spacing w:line="240" w:lineRule="auto"/>
        <w:ind w:left="851" w:hanging="851"/>
        <w:jc w:val="both"/>
        <w:rPr>
          <w:rFonts w:ascii="Garamond" w:hAnsi="Garamond"/>
          <w:color w:val="000000" w:themeColor="text1"/>
          <w:sz w:val="24"/>
          <w:szCs w:val="24"/>
          <w:lang w:val="id-ID"/>
        </w:rPr>
      </w:pPr>
      <w:r w:rsidRPr="00FC49E0">
        <w:rPr>
          <w:rFonts w:ascii="Garamond" w:hAnsi="Garamond"/>
          <w:color w:val="000000" w:themeColor="text1"/>
          <w:sz w:val="24"/>
          <w:szCs w:val="24"/>
          <w:lang w:val="id-ID"/>
        </w:rPr>
        <w:t xml:space="preserve">Dicky, J.A.B. &amp; Anisa, L. (2020). </w:t>
      </w:r>
      <w:r w:rsidRPr="00FC49E0">
        <w:rPr>
          <w:rFonts w:ascii="Garamond" w:hAnsi="Garamond"/>
          <w:i/>
          <w:iCs/>
          <w:color w:val="000000" w:themeColor="text1"/>
          <w:sz w:val="24"/>
          <w:szCs w:val="24"/>
          <w:lang w:val="id-ID"/>
        </w:rPr>
        <w:t>Pengaruh Lingkungan Bisnis Terhadap Strategi Pemasaran Industri Ritel Minimarket Di Kota Bandung</w:t>
      </w:r>
      <w:r w:rsidRPr="00FC49E0">
        <w:rPr>
          <w:rFonts w:ascii="Garamond" w:hAnsi="Garamond"/>
          <w:color w:val="000000" w:themeColor="text1"/>
          <w:sz w:val="24"/>
          <w:szCs w:val="24"/>
          <w:lang w:val="id-ID"/>
        </w:rPr>
        <w:t>. Jurnal Inovasi, Bandung</w:t>
      </w:r>
    </w:p>
    <w:p w14:paraId="01EA0730" w14:textId="77777777" w:rsidR="00600574" w:rsidRPr="00FC49E0" w:rsidRDefault="00600574" w:rsidP="00600574">
      <w:pPr>
        <w:tabs>
          <w:tab w:val="right" w:pos="8271"/>
        </w:tabs>
        <w:spacing w:line="240" w:lineRule="auto"/>
        <w:ind w:left="851" w:hanging="851"/>
        <w:jc w:val="both"/>
        <w:rPr>
          <w:rFonts w:ascii="Garamond" w:hAnsi="Garamond"/>
          <w:color w:val="000000" w:themeColor="text1"/>
          <w:sz w:val="24"/>
          <w:szCs w:val="24"/>
          <w:lang w:val="id-ID"/>
        </w:rPr>
      </w:pPr>
      <w:r w:rsidRPr="00FC49E0">
        <w:rPr>
          <w:rFonts w:ascii="Garamond" w:hAnsi="Garamond"/>
          <w:color w:val="000000" w:themeColor="text1"/>
          <w:sz w:val="24"/>
          <w:szCs w:val="24"/>
          <w:lang w:val="id-ID"/>
        </w:rPr>
        <w:t xml:space="preserve">Destia, E.P. (2019). </w:t>
      </w:r>
      <w:r w:rsidRPr="00FC49E0">
        <w:rPr>
          <w:rFonts w:ascii="Garamond" w:hAnsi="Garamond"/>
          <w:i/>
          <w:iCs/>
          <w:color w:val="000000" w:themeColor="text1"/>
          <w:sz w:val="24"/>
          <w:szCs w:val="24"/>
          <w:lang w:val="id-ID"/>
        </w:rPr>
        <w:t xml:space="preserve">Pengaruh Manajemen Modal Kerja, Kebijakan Deviden Dan Nilai Perusahaan Terhadap Keputusan Investasi Pada Industri Ritel Yang Terdaftar Di Bursa Efek Indonesia. </w:t>
      </w:r>
      <w:r w:rsidRPr="00FC49E0">
        <w:rPr>
          <w:rFonts w:ascii="Garamond" w:hAnsi="Garamond"/>
          <w:color w:val="000000" w:themeColor="text1"/>
          <w:sz w:val="24"/>
          <w:szCs w:val="24"/>
          <w:lang w:val="id-ID"/>
        </w:rPr>
        <w:t>Jurnal Skripsi, Palembang</w:t>
      </w:r>
    </w:p>
    <w:p w14:paraId="0A227FF4" w14:textId="77777777" w:rsidR="00600574" w:rsidRPr="00FC49E0" w:rsidRDefault="00600574" w:rsidP="00600574">
      <w:pPr>
        <w:tabs>
          <w:tab w:val="right" w:pos="8271"/>
        </w:tabs>
        <w:spacing w:line="240" w:lineRule="auto"/>
        <w:ind w:left="851" w:hanging="851"/>
        <w:jc w:val="both"/>
        <w:rPr>
          <w:rFonts w:ascii="Garamond" w:hAnsi="Garamond"/>
          <w:color w:val="000000" w:themeColor="text1"/>
          <w:sz w:val="24"/>
          <w:szCs w:val="24"/>
          <w:lang w:val="id-ID"/>
        </w:rPr>
      </w:pPr>
      <w:r w:rsidRPr="00FC49E0">
        <w:rPr>
          <w:rFonts w:ascii="Garamond" w:hAnsi="Garamond"/>
          <w:color w:val="000000" w:themeColor="text1"/>
          <w:sz w:val="24"/>
          <w:szCs w:val="24"/>
          <w:lang w:val="id-ID"/>
        </w:rPr>
        <w:lastRenderedPageBreak/>
        <w:t xml:space="preserve">Erwin K.K. (2018). </w:t>
      </w:r>
      <w:r w:rsidRPr="00FC49E0">
        <w:rPr>
          <w:rFonts w:ascii="Garamond" w:hAnsi="Garamond"/>
          <w:i/>
          <w:iCs/>
          <w:color w:val="000000" w:themeColor="text1"/>
          <w:sz w:val="24"/>
          <w:szCs w:val="24"/>
          <w:lang w:val="id-ID"/>
        </w:rPr>
        <w:t>Urgensi Tanda Tangan dan Materai dalam Memberikan Kepastian Hukum terhadap Kontrak Waralaba (Franchise).</w:t>
      </w:r>
      <w:r w:rsidRPr="00FC49E0">
        <w:rPr>
          <w:rFonts w:ascii="Garamond" w:hAnsi="Garamond"/>
          <w:color w:val="000000" w:themeColor="text1"/>
          <w:sz w:val="24"/>
          <w:szCs w:val="24"/>
          <w:lang w:val="id-ID"/>
        </w:rPr>
        <w:t xml:space="preserve"> Syariah Jurnal Hukum dan Pemikiran. Ponorogo</w:t>
      </w:r>
    </w:p>
    <w:p w14:paraId="68935A01" w14:textId="77777777" w:rsidR="00600574" w:rsidRPr="00FC49E0" w:rsidRDefault="00600574" w:rsidP="00600574">
      <w:pPr>
        <w:tabs>
          <w:tab w:val="right" w:pos="8271"/>
        </w:tabs>
        <w:spacing w:line="240" w:lineRule="auto"/>
        <w:ind w:left="851" w:hanging="851"/>
        <w:jc w:val="both"/>
        <w:rPr>
          <w:rFonts w:ascii="Garamond" w:hAnsi="Garamond"/>
          <w:color w:val="000000" w:themeColor="text1"/>
          <w:sz w:val="24"/>
          <w:szCs w:val="24"/>
          <w:lang w:val="id-ID"/>
        </w:rPr>
      </w:pPr>
      <w:r w:rsidRPr="00FC49E0">
        <w:rPr>
          <w:rFonts w:ascii="Garamond" w:hAnsi="Garamond"/>
          <w:color w:val="000000" w:themeColor="text1"/>
          <w:sz w:val="24"/>
          <w:szCs w:val="24"/>
          <w:lang w:val="id-ID"/>
        </w:rPr>
        <w:t xml:space="preserve">Fariana, A. (2021). </w:t>
      </w:r>
      <w:r w:rsidRPr="00FC49E0">
        <w:rPr>
          <w:rFonts w:ascii="Garamond" w:hAnsi="Garamond"/>
          <w:i/>
          <w:iCs/>
          <w:color w:val="000000" w:themeColor="text1"/>
          <w:sz w:val="24"/>
          <w:szCs w:val="24"/>
          <w:lang w:val="id-ID"/>
        </w:rPr>
        <w:t xml:space="preserve">Waralaba dalam Prespektif Perjanjian. </w:t>
      </w:r>
      <w:r w:rsidRPr="00FC49E0">
        <w:rPr>
          <w:rFonts w:ascii="Garamond" w:hAnsi="Garamond"/>
          <w:color w:val="000000" w:themeColor="text1"/>
          <w:sz w:val="24"/>
          <w:szCs w:val="24"/>
          <w:lang w:val="id-ID"/>
        </w:rPr>
        <w:t>Jurnal Karya Ilmiah Vol 1. No 2. Jakarta</w:t>
      </w:r>
    </w:p>
    <w:p w14:paraId="7C6843C6" w14:textId="77777777" w:rsidR="00600574" w:rsidRPr="00600574" w:rsidRDefault="00600574" w:rsidP="00600574">
      <w:pPr>
        <w:widowControl w:val="0"/>
        <w:autoSpaceDE w:val="0"/>
        <w:autoSpaceDN w:val="0"/>
        <w:adjustRightInd w:val="0"/>
        <w:spacing w:line="240" w:lineRule="auto"/>
        <w:ind w:left="480" w:hanging="480"/>
        <w:jc w:val="both"/>
        <w:rPr>
          <w:rFonts w:ascii="Garamond" w:hAnsi="Garamond" w:cs="Times New Roman"/>
          <w:noProof/>
          <w:sz w:val="24"/>
          <w:szCs w:val="24"/>
        </w:rPr>
      </w:pPr>
      <w:r w:rsidRPr="00600574">
        <w:rPr>
          <w:rFonts w:ascii="Garamond" w:hAnsi="Garamond" w:cs="Times New Roman"/>
          <w:noProof/>
          <w:sz w:val="24"/>
          <w:szCs w:val="24"/>
        </w:rPr>
        <w:t xml:space="preserve">Febriano Clinton Polla, Lisbeth . Mananeke, Rita N. Taroreh. “ANALISIS PENGARUH HARGA, PROMOSI, LOKASI DAN KUALITAS PELAYANAN TERHADAP KEPUTUSAN PEMBELIAN PADA PT. INDOMARET MANADO UNIT JALAN SEA.” </w:t>
      </w:r>
      <w:r w:rsidRPr="00600574">
        <w:rPr>
          <w:rFonts w:ascii="Garamond" w:hAnsi="Garamond" w:cs="Times New Roman"/>
          <w:i/>
          <w:iCs/>
          <w:noProof/>
          <w:sz w:val="24"/>
          <w:szCs w:val="24"/>
        </w:rPr>
        <w:t>Jurnal EMBA: Jurnal Riset Ekonomi, Manajemen, Bisnis Dan Akuntansi</w:t>
      </w:r>
      <w:r w:rsidRPr="00600574">
        <w:rPr>
          <w:rFonts w:ascii="Garamond" w:hAnsi="Garamond" w:cs="Times New Roman"/>
          <w:noProof/>
          <w:sz w:val="24"/>
          <w:szCs w:val="24"/>
        </w:rPr>
        <w:t xml:space="preserve"> 6, no. 4 (2018). https://doi.org/https://doi.org/10.35794/emba.v6i4.21224.</w:t>
      </w:r>
    </w:p>
    <w:p w14:paraId="46FD1052" w14:textId="77777777" w:rsidR="00600574" w:rsidRPr="00600574" w:rsidRDefault="00600574" w:rsidP="00600574">
      <w:pPr>
        <w:widowControl w:val="0"/>
        <w:autoSpaceDE w:val="0"/>
        <w:autoSpaceDN w:val="0"/>
        <w:adjustRightInd w:val="0"/>
        <w:spacing w:line="240" w:lineRule="auto"/>
        <w:ind w:left="480" w:hanging="480"/>
        <w:jc w:val="both"/>
        <w:rPr>
          <w:rFonts w:ascii="Garamond" w:hAnsi="Garamond" w:cs="Times New Roman"/>
          <w:noProof/>
          <w:sz w:val="24"/>
          <w:szCs w:val="24"/>
        </w:rPr>
      </w:pPr>
      <w:r w:rsidRPr="00600574">
        <w:rPr>
          <w:rFonts w:ascii="Garamond" w:hAnsi="Garamond" w:cs="Times New Roman"/>
          <w:noProof/>
          <w:sz w:val="24"/>
          <w:szCs w:val="24"/>
        </w:rPr>
        <w:t xml:space="preserve">Febrianti, V S, I Khuroydi, and Angga Setiawan. “Transformasi Pelayanan Publik Melalui Digital Governance (Studi Pendayagunaan Website Rampak Pintar Di Desa Kesambi Rampak Situbondo).” </w:t>
      </w:r>
      <w:r w:rsidRPr="00600574">
        <w:rPr>
          <w:rFonts w:ascii="Garamond" w:hAnsi="Garamond" w:cs="Times New Roman"/>
          <w:i/>
          <w:iCs/>
          <w:noProof/>
          <w:sz w:val="24"/>
          <w:szCs w:val="24"/>
        </w:rPr>
        <w:t>Prosiding Simposium Nasional</w:t>
      </w:r>
      <w:r w:rsidRPr="00600574">
        <w:rPr>
          <w:rFonts w:ascii="Garamond" w:hAnsi="Garamond" w:cs="Times New Roman"/>
          <w:noProof/>
          <w:sz w:val="24"/>
          <w:szCs w:val="24"/>
        </w:rPr>
        <w:t>, 2020, 464–92.</w:t>
      </w:r>
    </w:p>
    <w:p w14:paraId="7567EA56" w14:textId="77777777" w:rsidR="00600574" w:rsidRPr="00600574" w:rsidRDefault="00600574" w:rsidP="00600574">
      <w:pPr>
        <w:widowControl w:val="0"/>
        <w:autoSpaceDE w:val="0"/>
        <w:autoSpaceDN w:val="0"/>
        <w:adjustRightInd w:val="0"/>
        <w:spacing w:line="240" w:lineRule="auto"/>
        <w:ind w:left="480" w:hanging="480"/>
        <w:jc w:val="both"/>
        <w:rPr>
          <w:rFonts w:ascii="Garamond" w:hAnsi="Garamond" w:cs="Times New Roman"/>
          <w:noProof/>
          <w:sz w:val="24"/>
          <w:szCs w:val="24"/>
        </w:rPr>
      </w:pPr>
      <w:r w:rsidRPr="00600574">
        <w:rPr>
          <w:rFonts w:ascii="Garamond" w:hAnsi="Garamond" w:cs="Times New Roman"/>
          <w:noProof/>
          <w:sz w:val="24"/>
          <w:szCs w:val="24"/>
        </w:rPr>
        <w:t xml:space="preserve">Hamidi. “Analisis Pembiayaan Musyarakah Terhadap Laba Bersih Pada PT Bank Muamalat Indonesia.” </w:t>
      </w:r>
      <w:r w:rsidRPr="00600574">
        <w:rPr>
          <w:rFonts w:ascii="Garamond" w:hAnsi="Garamond" w:cs="Times New Roman"/>
          <w:i/>
          <w:iCs/>
          <w:noProof/>
          <w:sz w:val="24"/>
          <w:szCs w:val="24"/>
        </w:rPr>
        <w:t>Jurnal Measurement</w:t>
      </w:r>
      <w:r w:rsidRPr="00600574">
        <w:rPr>
          <w:rFonts w:ascii="Garamond" w:hAnsi="Garamond" w:cs="Times New Roman"/>
          <w:noProof/>
          <w:sz w:val="24"/>
          <w:szCs w:val="24"/>
        </w:rPr>
        <w:t xml:space="preserve"> 8, no. 3 (2014): 32–40.</w:t>
      </w:r>
    </w:p>
    <w:p w14:paraId="2E95C933" w14:textId="77777777" w:rsidR="00600574" w:rsidRPr="00600574" w:rsidRDefault="00600574" w:rsidP="00600574">
      <w:pPr>
        <w:widowControl w:val="0"/>
        <w:autoSpaceDE w:val="0"/>
        <w:autoSpaceDN w:val="0"/>
        <w:adjustRightInd w:val="0"/>
        <w:spacing w:line="240" w:lineRule="auto"/>
        <w:ind w:left="480" w:hanging="480"/>
        <w:jc w:val="both"/>
        <w:rPr>
          <w:rFonts w:ascii="Garamond" w:hAnsi="Garamond" w:cs="Times New Roman"/>
          <w:noProof/>
          <w:sz w:val="24"/>
          <w:szCs w:val="24"/>
        </w:rPr>
      </w:pPr>
      <w:r w:rsidRPr="00600574">
        <w:rPr>
          <w:rFonts w:ascii="Garamond" w:hAnsi="Garamond" w:cs="Times New Roman"/>
          <w:noProof/>
          <w:sz w:val="24"/>
          <w:szCs w:val="24"/>
        </w:rPr>
        <w:t xml:space="preserve">Hanim, Lathifah. “PERLINDUNGAN HUKUM HaKI DALAM PERJANJIAN WARALABA DI INDONESIA.” </w:t>
      </w:r>
      <w:r w:rsidRPr="00600574">
        <w:rPr>
          <w:rFonts w:ascii="Garamond" w:hAnsi="Garamond" w:cs="Times New Roman"/>
          <w:i/>
          <w:iCs/>
          <w:noProof/>
          <w:sz w:val="24"/>
          <w:szCs w:val="24"/>
        </w:rPr>
        <w:t>Jurnal Hukum</w:t>
      </w:r>
      <w:r w:rsidRPr="00600574">
        <w:rPr>
          <w:rFonts w:ascii="Garamond" w:hAnsi="Garamond" w:cs="Times New Roman"/>
          <w:noProof/>
          <w:sz w:val="24"/>
          <w:szCs w:val="24"/>
        </w:rPr>
        <w:t xml:space="preserve"> 26, no. 2 (2011). https://doi.org/http://dx.doi.org/10.26532/jh.v26i2.210.</w:t>
      </w:r>
    </w:p>
    <w:p w14:paraId="435468FE" w14:textId="77777777" w:rsidR="00600574" w:rsidRPr="00600574" w:rsidRDefault="00600574" w:rsidP="00600574">
      <w:pPr>
        <w:widowControl w:val="0"/>
        <w:autoSpaceDE w:val="0"/>
        <w:autoSpaceDN w:val="0"/>
        <w:adjustRightInd w:val="0"/>
        <w:spacing w:line="240" w:lineRule="auto"/>
        <w:ind w:left="480" w:hanging="480"/>
        <w:jc w:val="both"/>
        <w:rPr>
          <w:rFonts w:ascii="Garamond" w:hAnsi="Garamond" w:cs="Times New Roman"/>
          <w:noProof/>
          <w:sz w:val="24"/>
          <w:szCs w:val="24"/>
        </w:rPr>
      </w:pPr>
      <w:r w:rsidRPr="00600574">
        <w:rPr>
          <w:rFonts w:ascii="Garamond" w:hAnsi="Garamond" w:cs="Times New Roman"/>
          <w:noProof/>
          <w:sz w:val="24"/>
          <w:szCs w:val="24"/>
        </w:rPr>
        <w:t xml:space="preserve">Hari Sutra Disemadi, cindy Kang. “Tantangan Penegakan Hukum Hak Kekayaan Intelektual Dalam Pengembangan Ekonomi Kreatif Di Era Revolusi Industri 4.0.” </w:t>
      </w:r>
      <w:r w:rsidRPr="00600574">
        <w:rPr>
          <w:rFonts w:ascii="Garamond" w:hAnsi="Garamond" w:cs="Times New Roman"/>
          <w:i/>
          <w:iCs/>
          <w:noProof/>
          <w:sz w:val="24"/>
          <w:szCs w:val="24"/>
        </w:rPr>
        <w:t>Jurnal Komunikasi Hukum</w:t>
      </w:r>
      <w:r w:rsidRPr="00600574">
        <w:rPr>
          <w:rFonts w:ascii="Garamond" w:hAnsi="Garamond" w:cs="Times New Roman"/>
          <w:noProof/>
          <w:sz w:val="24"/>
          <w:szCs w:val="24"/>
        </w:rPr>
        <w:t xml:space="preserve"> 7, no. 1 (2021): 87. https://doi.org/https://doi.org/10.23887/jkh.v7i1.31457.</w:t>
      </w:r>
    </w:p>
    <w:p w14:paraId="184CAC59" w14:textId="77777777" w:rsidR="00600574" w:rsidRPr="00600574" w:rsidRDefault="00600574" w:rsidP="00600574">
      <w:pPr>
        <w:widowControl w:val="0"/>
        <w:autoSpaceDE w:val="0"/>
        <w:autoSpaceDN w:val="0"/>
        <w:adjustRightInd w:val="0"/>
        <w:spacing w:line="240" w:lineRule="auto"/>
        <w:ind w:left="480" w:hanging="480"/>
        <w:jc w:val="both"/>
        <w:rPr>
          <w:rFonts w:ascii="Garamond" w:hAnsi="Garamond" w:cs="Times New Roman"/>
          <w:noProof/>
          <w:sz w:val="24"/>
          <w:szCs w:val="24"/>
        </w:rPr>
      </w:pPr>
      <w:r w:rsidRPr="00600574">
        <w:rPr>
          <w:rFonts w:ascii="Garamond" w:hAnsi="Garamond" w:cs="Times New Roman"/>
          <w:noProof/>
          <w:sz w:val="24"/>
          <w:szCs w:val="24"/>
        </w:rPr>
        <w:t xml:space="preserve">Hayati, Isra, and Silvi Rahmayani Hasibuan. “THE EFFECT OF MUDHARABAH AND MUSYARAKAH FINANCING ON RETURN ON EQUITY IN SYARIAH BANKS IN.” </w:t>
      </w:r>
      <w:r w:rsidRPr="00600574">
        <w:rPr>
          <w:rFonts w:ascii="Garamond" w:hAnsi="Garamond" w:cs="Times New Roman"/>
          <w:i/>
          <w:iCs/>
          <w:noProof/>
          <w:sz w:val="24"/>
          <w:szCs w:val="24"/>
        </w:rPr>
        <w:t>Proceeding International Seminar on Islamic Studies</w:t>
      </w:r>
      <w:r w:rsidRPr="00600574">
        <w:rPr>
          <w:rFonts w:ascii="Garamond" w:hAnsi="Garamond" w:cs="Times New Roman"/>
          <w:noProof/>
          <w:sz w:val="24"/>
          <w:szCs w:val="24"/>
        </w:rPr>
        <w:t xml:space="preserve"> 2, no. 1 (2021): 374–82.</w:t>
      </w:r>
    </w:p>
    <w:p w14:paraId="507C7E2A" w14:textId="77777777" w:rsidR="00600574" w:rsidRPr="00600574" w:rsidRDefault="00600574" w:rsidP="00600574">
      <w:pPr>
        <w:widowControl w:val="0"/>
        <w:autoSpaceDE w:val="0"/>
        <w:autoSpaceDN w:val="0"/>
        <w:adjustRightInd w:val="0"/>
        <w:spacing w:line="240" w:lineRule="auto"/>
        <w:ind w:left="480" w:hanging="480"/>
        <w:jc w:val="both"/>
        <w:rPr>
          <w:rFonts w:ascii="Garamond" w:hAnsi="Garamond" w:cs="Times New Roman"/>
          <w:noProof/>
          <w:sz w:val="24"/>
          <w:szCs w:val="24"/>
        </w:rPr>
      </w:pPr>
      <w:r w:rsidRPr="00600574">
        <w:rPr>
          <w:rFonts w:ascii="Garamond" w:hAnsi="Garamond" w:cs="Times New Roman"/>
          <w:noProof/>
          <w:sz w:val="24"/>
          <w:szCs w:val="24"/>
        </w:rPr>
        <w:t xml:space="preserve">Hermansyah, Hermansyah. “IMPLEMENTASI METODE BAGI HASIL DENGAN PRINSIP MUDHARABAH PADA BANK SYARIAH DI INDONESIA DIHUBUNGKAN DENGAN FATWA DSN NO. 15/DSN-MUI/IX/2000.” </w:t>
      </w:r>
      <w:r w:rsidRPr="00600574">
        <w:rPr>
          <w:rFonts w:ascii="Garamond" w:hAnsi="Garamond" w:cs="Times New Roman"/>
          <w:i/>
          <w:iCs/>
          <w:noProof/>
          <w:sz w:val="24"/>
          <w:szCs w:val="24"/>
        </w:rPr>
        <w:t>Jurnal Hukum Mimbar Justitia</w:t>
      </w:r>
      <w:r w:rsidRPr="00600574">
        <w:rPr>
          <w:rFonts w:ascii="Garamond" w:hAnsi="Garamond" w:cs="Times New Roman"/>
          <w:noProof/>
          <w:sz w:val="24"/>
          <w:szCs w:val="24"/>
        </w:rPr>
        <w:t xml:space="preserve"> 4, no. 1 (2018). https://doi.org/https://doi.org/10.35194/jhmj.v4i1.350.</w:t>
      </w:r>
    </w:p>
    <w:p w14:paraId="5300F510" w14:textId="77777777" w:rsidR="00600574" w:rsidRPr="00600574" w:rsidRDefault="00600574" w:rsidP="00600574">
      <w:pPr>
        <w:widowControl w:val="0"/>
        <w:autoSpaceDE w:val="0"/>
        <w:autoSpaceDN w:val="0"/>
        <w:adjustRightInd w:val="0"/>
        <w:spacing w:line="240" w:lineRule="auto"/>
        <w:ind w:left="480" w:hanging="480"/>
        <w:jc w:val="both"/>
        <w:rPr>
          <w:rFonts w:ascii="Garamond" w:hAnsi="Garamond" w:cs="Times New Roman"/>
          <w:noProof/>
          <w:sz w:val="24"/>
          <w:szCs w:val="24"/>
        </w:rPr>
      </w:pPr>
      <w:r w:rsidRPr="00600574">
        <w:rPr>
          <w:rFonts w:ascii="Garamond" w:hAnsi="Garamond" w:cs="Times New Roman"/>
          <w:noProof/>
          <w:sz w:val="24"/>
          <w:szCs w:val="24"/>
        </w:rPr>
        <w:t xml:space="preserve">Ifada Qurrata A’yun Amalia, Endang Prasetyawati. “KARAKTERISTIK ASAS PROPORSIONALITAS DALAM PEMBENTUKAN KLAUSUL PERJANJIAN WARALABA.” </w:t>
      </w:r>
      <w:r w:rsidRPr="00600574">
        <w:rPr>
          <w:rFonts w:ascii="Garamond" w:hAnsi="Garamond" w:cs="Times New Roman"/>
          <w:i/>
          <w:iCs/>
          <w:noProof/>
          <w:sz w:val="24"/>
          <w:szCs w:val="24"/>
        </w:rPr>
        <w:t>Jurnal Hukum Bisnis Bonum Commune</w:t>
      </w:r>
      <w:r w:rsidRPr="00600574">
        <w:rPr>
          <w:rFonts w:ascii="Garamond" w:hAnsi="Garamond" w:cs="Times New Roman"/>
          <w:noProof/>
          <w:sz w:val="24"/>
          <w:szCs w:val="24"/>
        </w:rPr>
        <w:t xml:space="preserve"> 2, no. 2 (2019): 176.</w:t>
      </w:r>
    </w:p>
    <w:p w14:paraId="66C63E8D" w14:textId="77777777" w:rsidR="00600574" w:rsidRPr="00600574" w:rsidRDefault="00600574" w:rsidP="00600574">
      <w:pPr>
        <w:widowControl w:val="0"/>
        <w:autoSpaceDE w:val="0"/>
        <w:autoSpaceDN w:val="0"/>
        <w:adjustRightInd w:val="0"/>
        <w:spacing w:line="240" w:lineRule="auto"/>
        <w:ind w:left="480" w:hanging="480"/>
        <w:jc w:val="both"/>
        <w:rPr>
          <w:rFonts w:ascii="Garamond" w:hAnsi="Garamond" w:cs="Times New Roman"/>
          <w:noProof/>
          <w:sz w:val="24"/>
          <w:szCs w:val="24"/>
        </w:rPr>
      </w:pPr>
      <w:r w:rsidRPr="00600574">
        <w:rPr>
          <w:rFonts w:ascii="Garamond" w:hAnsi="Garamond" w:cs="Times New Roman"/>
          <w:noProof/>
          <w:sz w:val="24"/>
          <w:szCs w:val="24"/>
        </w:rPr>
        <w:t xml:space="preserve">Irvan Muhamad Rizky, Azib. “Pengaruh Pembiayaan Mudharabah, Murabahah Dan Musyarakah Terhadap Return On Assets.” </w:t>
      </w:r>
      <w:r w:rsidRPr="00600574">
        <w:rPr>
          <w:rFonts w:ascii="Garamond" w:hAnsi="Garamond" w:cs="Times New Roman"/>
          <w:i/>
          <w:iCs/>
          <w:noProof/>
          <w:sz w:val="24"/>
          <w:szCs w:val="24"/>
        </w:rPr>
        <w:t>Jurnal Riset Manajemen Dan Bisnis</w:t>
      </w:r>
      <w:r w:rsidRPr="00600574">
        <w:rPr>
          <w:rFonts w:ascii="Garamond" w:hAnsi="Garamond" w:cs="Times New Roman"/>
          <w:noProof/>
          <w:sz w:val="24"/>
          <w:szCs w:val="24"/>
        </w:rPr>
        <w:t xml:space="preserve"> 1, no. 1 (2021). https://doi.org/https://doi.org/10.29313/jrmb.v1i1.35.</w:t>
      </w:r>
    </w:p>
    <w:p w14:paraId="5E5A9BF6" w14:textId="77777777" w:rsidR="00600574" w:rsidRPr="00600574" w:rsidRDefault="00600574" w:rsidP="00600574">
      <w:pPr>
        <w:widowControl w:val="0"/>
        <w:autoSpaceDE w:val="0"/>
        <w:autoSpaceDN w:val="0"/>
        <w:adjustRightInd w:val="0"/>
        <w:spacing w:line="240" w:lineRule="auto"/>
        <w:ind w:left="480" w:hanging="480"/>
        <w:jc w:val="both"/>
        <w:rPr>
          <w:rFonts w:ascii="Garamond" w:hAnsi="Garamond" w:cs="Times New Roman"/>
          <w:noProof/>
          <w:sz w:val="24"/>
          <w:szCs w:val="24"/>
        </w:rPr>
      </w:pPr>
      <w:r w:rsidRPr="00600574">
        <w:rPr>
          <w:rFonts w:ascii="Garamond" w:hAnsi="Garamond" w:cs="Times New Roman"/>
          <w:noProof/>
          <w:sz w:val="24"/>
          <w:szCs w:val="24"/>
        </w:rPr>
        <w:t xml:space="preserve">Khairi, Awalul. “Analisis Industri Ritel Di Kota Padang Tanpa Keberadaan Dua Waralaba </w:t>
      </w:r>
      <w:r w:rsidRPr="00600574">
        <w:rPr>
          <w:rFonts w:ascii="Garamond" w:hAnsi="Garamond" w:cs="Times New Roman"/>
          <w:noProof/>
          <w:sz w:val="24"/>
          <w:szCs w:val="24"/>
        </w:rPr>
        <w:lastRenderedPageBreak/>
        <w:t xml:space="preserve">Ritel Indomaret Dan Alfamart.” </w:t>
      </w:r>
      <w:r w:rsidRPr="00600574">
        <w:rPr>
          <w:rFonts w:ascii="Garamond" w:hAnsi="Garamond" w:cs="Times New Roman"/>
          <w:i/>
          <w:iCs/>
          <w:noProof/>
          <w:sz w:val="24"/>
          <w:szCs w:val="24"/>
        </w:rPr>
        <w:t>Journal Of Science Education And Managements Business</w:t>
      </w:r>
      <w:r w:rsidRPr="00600574">
        <w:rPr>
          <w:rFonts w:ascii="Garamond" w:hAnsi="Garamond" w:cs="Times New Roman"/>
          <w:noProof/>
          <w:sz w:val="24"/>
          <w:szCs w:val="24"/>
        </w:rPr>
        <w:t xml:space="preserve"> 1, no. 1 (2021).</w:t>
      </w:r>
    </w:p>
    <w:p w14:paraId="551E060E" w14:textId="77777777" w:rsidR="00600574" w:rsidRPr="00600574" w:rsidRDefault="00600574" w:rsidP="00600574">
      <w:pPr>
        <w:widowControl w:val="0"/>
        <w:autoSpaceDE w:val="0"/>
        <w:autoSpaceDN w:val="0"/>
        <w:adjustRightInd w:val="0"/>
        <w:spacing w:line="240" w:lineRule="auto"/>
        <w:ind w:left="480" w:hanging="480"/>
        <w:jc w:val="both"/>
        <w:rPr>
          <w:rFonts w:ascii="Garamond" w:hAnsi="Garamond" w:cs="Times New Roman"/>
          <w:noProof/>
          <w:sz w:val="24"/>
          <w:szCs w:val="24"/>
        </w:rPr>
      </w:pPr>
      <w:r w:rsidRPr="00600574">
        <w:rPr>
          <w:rFonts w:ascii="Garamond" w:hAnsi="Garamond" w:cs="Times New Roman"/>
          <w:noProof/>
          <w:sz w:val="24"/>
          <w:szCs w:val="24"/>
        </w:rPr>
        <w:t xml:space="preserve">Kohari Amaludin, and Dewi Fatmasari, and Abdul Fatakh. “Kontrak Kerjasama Dan Bagi Hasil Bisnis Franchise Agen Tiki Sumber Kabupaten Cirebon Dalam Perspektif Hukum Ekonomi Islam.” </w:t>
      </w:r>
      <w:r w:rsidRPr="00600574">
        <w:rPr>
          <w:rFonts w:ascii="Garamond" w:hAnsi="Garamond" w:cs="Times New Roman"/>
          <w:i/>
          <w:iCs/>
          <w:noProof/>
          <w:sz w:val="24"/>
          <w:szCs w:val="24"/>
        </w:rPr>
        <w:t>Al-Mustashfa: Jurnal Penelitian Hukum Ekonomi Syariah</w:t>
      </w:r>
      <w:r w:rsidRPr="00600574">
        <w:rPr>
          <w:rFonts w:ascii="Garamond" w:hAnsi="Garamond" w:cs="Times New Roman"/>
          <w:noProof/>
          <w:sz w:val="24"/>
          <w:szCs w:val="24"/>
        </w:rPr>
        <w:t xml:space="preserve"> 4, no. 1 (2019): 75–83.</w:t>
      </w:r>
    </w:p>
    <w:p w14:paraId="7BDB312E" w14:textId="77777777" w:rsidR="00600574" w:rsidRPr="00600574" w:rsidRDefault="00600574" w:rsidP="00600574">
      <w:pPr>
        <w:widowControl w:val="0"/>
        <w:autoSpaceDE w:val="0"/>
        <w:autoSpaceDN w:val="0"/>
        <w:adjustRightInd w:val="0"/>
        <w:spacing w:line="240" w:lineRule="auto"/>
        <w:ind w:left="480" w:hanging="480"/>
        <w:jc w:val="both"/>
        <w:rPr>
          <w:rFonts w:ascii="Garamond" w:hAnsi="Garamond" w:cs="Times New Roman"/>
          <w:noProof/>
          <w:sz w:val="24"/>
          <w:szCs w:val="24"/>
        </w:rPr>
      </w:pPr>
      <w:r w:rsidRPr="00600574">
        <w:rPr>
          <w:rFonts w:ascii="Garamond" w:hAnsi="Garamond" w:cs="Times New Roman"/>
          <w:noProof/>
          <w:sz w:val="24"/>
          <w:szCs w:val="24"/>
        </w:rPr>
        <w:t xml:space="preserve">Latif, Chefi Abdul. “PEMBIAYAAN MUDHARABAH DAN PEMBIAYAAN MUSYARAKAH DI PERBANKAN SYARIAH.” </w:t>
      </w:r>
      <w:r w:rsidRPr="00600574">
        <w:rPr>
          <w:rFonts w:ascii="Garamond" w:hAnsi="Garamond" w:cs="Times New Roman"/>
          <w:i/>
          <w:iCs/>
          <w:noProof/>
          <w:sz w:val="24"/>
          <w:szCs w:val="24"/>
        </w:rPr>
        <w:t>Aksy: Jurnal Ilmu Akuntansi Dan Bisnis Syariah</w:t>
      </w:r>
      <w:r w:rsidRPr="00600574">
        <w:rPr>
          <w:rFonts w:ascii="Garamond" w:hAnsi="Garamond" w:cs="Times New Roman"/>
          <w:noProof/>
          <w:sz w:val="24"/>
          <w:szCs w:val="24"/>
        </w:rPr>
        <w:t xml:space="preserve"> 2, no. 1 (2020). https://doi.org/https://doi.org/10.15575/aksy.v2i1.7857.</w:t>
      </w:r>
    </w:p>
    <w:p w14:paraId="22FAB9B5" w14:textId="77777777" w:rsidR="00600574" w:rsidRPr="00600574" w:rsidRDefault="00600574" w:rsidP="00600574">
      <w:pPr>
        <w:widowControl w:val="0"/>
        <w:autoSpaceDE w:val="0"/>
        <w:autoSpaceDN w:val="0"/>
        <w:adjustRightInd w:val="0"/>
        <w:spacing w:line="240" w:lineRule="auto"/>
        <w:ind w:left="480" w:hanging="480"/>
        <w:jc w:val="both"/>
        <w:rPr>
          <w:rFonts w:ascii="Garamond" w:hAnsi="Garamond" w:cs="Times New Roman"/>
          <w:noProof/>
          <w:sz w:val="24"/>
          <w:szCs w:val="24"/>
        </w:rPr>
      </w:pPr>
      <w:r w:rsidRPr="00600574">
        <w:rPr>
          <w:rFonts w:ascii="Garamond" w:hAnsi="Garamond" w:cs="Times New Roman"/>
          <w:noProof/>
          <w:sz w:val="24"/>
          <w:szCs w:val="24"/>
        </w:rPr>
        <w:t xml:space="preserve">Lestario, Febrilian. “DAMPAK PERTUMBUHAN BISNIS FRANCHISE WARALABA MINIMARKET TERHADAP PERKEMBANGAN KEDAI TRADISIONAL DI KOTA BINJAI.” </w:t>
      </w:r>
      <w:r w:rsidRPr="00600574">
        <w:rPr>
          <w:rFonts w:ascii="Garamond" w:hAnsi="Garamond" w:cs="Times New Roman"/>
          <w:i/>
          <w:iCs/>
          <w:noProof/>
          <w:sz w:val="24"/>
          <w:szCs w:val="24"/>
        </w:rPr>
        <w:t>Jurnal Manajemen Tools</w:t>
      </w:r>
      <w:r w:rsidRPr="00600574">
        <w:rPr>
          <w:rFonts w:ascii="Garamond" w:hAnsi="Garamond" w:cs="Times New Roman"/>
          <w:noProof/>
          <w:sz w:val="24"/>
          <w:szCs w:val="24"/>
        </w:rPr>
        <w:t xml:space="preserve"> 7, no. 1 (2017).</w:t>
      </w:r>
    </w:p>
    <w:p w14:paraId="07B3224F" w14:textId="77777777" w:rsidR="00600574" w:rsidRPr="00600574" w:rsidRDefault="00600574" w:rsidP="00600574">
      <w:pPr>
        <w:widowControl w:val="0"/>
        <w:autoSpaceDE w:val="0"/>
        <w:autoSpaceDN w:val="0"/>
        <w:adjustRightInd w:val="0"/>
        <w:spacing w:line="240" w:lineRule="auto"/>
        <w:ind w:left="480" w:hanging="480"/>
        <w:jc w:val="both"/>
        <w:rPr>
          <w:rFonts w:ascii="Garamond" w:hAnsi="Garamond" w:cs="Times New Roman"/>
          <w:noProof/>
          <w:sz w:val="24"/>
          <w:szCs w:val="24"/>
        </w:rPr>
      </w:pPr>
      <w:r w:rsidRPr="00600574">
        <w:rPr>
          <w:rFonts w:ascii="Garamond" w:hAnsi="Garamond" w:cs="Times New Roman"/>
          <w:noProof/>
          <w:sz w:val="24"/>
          <w:szCs w:val="24"/>
        </w:rPr>
        <w:t xml:space="preserve">M. Hawin, Budi Agus Riswandi. </w:t>
      </w:r>
      <w:r w:rsidRPr="00600574">
        <w:rPr>
          <w:rFonts w:ascii="Garamond" w:hAnsi="Garamond" w:cs="Times New Roman"/>
          <w:i/>
          <w:iCs/>
          <w:noProof/>
          <w:sz w:val="24"/>
          <w:szCs w:val="24"/>
        </w:rPr>
        <w:t>Isu-Isu Penting Hak Kekayaan Intelektual Di Indonesia</w:t>
      </w:r>
      <w:r w:rsidRPr="00600574">
        <w:rPr>
          <w:rFonts w:ascii="Garamond" w:hAnsi="Garamond" w:cs="Times New Roman"/>
          <w:noProof/>
          <w:sz w:val="24"/>
          <w:szCs w:val="24"/>
        </w:rPr>
        <w:t>. Yogyakarta: Gadjah Mada University Press, 2020.</w:t>
      </w:r>
    </w:p>
    <w:p w14:paraId="7E37E419" w14:textId="77777777" w:rsidR="00600574" w:rsidRPr="00600574" w:rsidRDefault="00600574" w:rsidP="00600574">
      <w:pPr>
        <w:widowControl w:val="0"/>
        <w:autoSpaceDE w:val="0"/>
        <w:autoSpaceDN w:val="0"/>
        <w:adjustRightInd w:val="0"/>
        <w:spacing w:line="240" w:lineRule="auto"/>
        <w:ind w:left="480" w:hanging="480"/>
        <w:jc w:val="both"/>
        <w:rPr>
          <w:rFonts w:ascii="Garamond" w:hAnsi="Garamond" w:cs="Times New Roman"/>
          <w:noProof/>
          <w:sz w:val="24"/>
          <w:szCs w:val="24"/>
        </w:rPr>
      </w:pPr>
      <w:r w:rsidRPr="00600574">
        <w:rPr>
          <w:rFonts w:ascii="Garamond" w:hAnsi="Garamond" w:cs="Times New Roman"/>
          <w:noProof/>
          <w:sz w:val="24"/>
          <w:szCs w:val="24"/>
        </w:rPr>
        <w:t xml:space="preserve">Moh Erfan Arif, Rila Anggraeni, Rila Aggraeni, Risca Fitri Ayuni. </w:t>
      </w:r>
      <w:r w:rsidRPr="00600574">
        <w:rPr>
          <w:rFonts w:ascii="Garamond" w:hAnsi="Garamond" w:cs="Times New Roman"/>
          <w:i/>
          <w:iCs/>
          <w:noProof/>
          <w:sz w:val="24"/>
          <w:szCs w:val="24"/>
        </w:rPr>
        <w:t>Bisnis Waralaba</w:t>
      </w:r>
      <w:r w:rsidRPr="00600574">
        <w:rPr>
          <w:rFonts w:ascii="Garamond" w:hAnsi="Garamond" w:cs="Times New Roman"/>
          <w:noProof/>
          <w:sz w:val="24"/>
          <w:szCs w:val="24"/>
        </w:rPr>
        <w:t>. malang: UB Press, 2021.</w:t>
      </w:r>
    </w:p>
    <w:p w14:paraId="41368426" w14:textId="6B6362D8" w:rsidR="00600574" w:rsidRDefault="00600574" w:rsidP="00600574">
      <w:pPr>
        <w:widowControl w:val="0"/>
        <w:autoSpaceDE w:val="0"/>
        <w:autoSpaceDN w:val="0"/>
        <w:adjustRightInd w:val="0"/>
        <w:spacing w:line="240" w:lineRule="auto"/>
        <w:ind w:left="480" w:hanging="480"/>
        <w:jc w:val="both"/>
        <w:rPr>
          <w:rFonts w:ascii="Garamond" w:hAnsi="Garamond" w:cs="Times New Roman"/>
          <w:noProof/>
          <w:sz w:val="24"/>
          <w:szCs w:val="24"/>
        </w:rPr>
      </w:pPr>
      <w:r w:rsidRPr="00600574">
        <w:rPr>
          <w:rFonts w:ascii="Garamond" w:hAnsi="Garamond" w:cs="Times New Roman"/>
          <w:noProof/>
          <w:sz w:val="24"/>
          <w:szCs w:val="24"/>
        </w:rPr>
        <w:t xml:space="preserve">Nasution, Rahmayati. “OPTIMALISASI SKEMA BAGI HASIL SEBAGAI SOLUSI PEMBIAYAAN BERDASARKAN PRINSIP BAGI HASIL BANK SYARIAH DI INDONESIA.” </w:t>
      </w:r>
      <w:r w:rsidRPr="00600574">
        <w:rPr>
          <w:rFonts w:ascii="Garamond" w:hAnsi="Garamond" w:cs="Times New Roman"/>
          <w:i/>
          <w:iCs/>
          <w:noProof/>
          <w:sz w:val="24"/>
          <w:szCs w:val="24"/>
        </w:rPr>
        <w:t>KUMPULAN JURNAL DOSEN UNIVERSITAS MUHAMMADIYAH SUMATERA UTARA</w:t>
      </w:r>
      <w:r w:rsidRPr="00600574">
        <w:rPr>
          <w:rFonts w:ascii="Garamond" w:hAnsi="Garamond" w:cs="Times New Roman"/>
          <w:noProof/>
          <w:sz w:val="24"/>
          <w:szCs w:val="24"/>
        </w:rPr>
        <w:t>, 2017, 19.</w:t>
      </w:r>
    </w:p>
    <w:p w14:paraId="04B87315" w14:textId="77777777" w:rsidR="00600574" w:rsidRPr="00FC49E0" w:rsidRDefault="00600574" w:rsidP="00600574">
      <w:pPr>
        <w:tabs>
          <w:tab w:val="right" w:pos="8271"/>
        </w:tabs>
        <w:spacing w:line="240" w:lineRule="auto"/>
        <w:ind w:left="851" w:hanging="851"/>
        <w:jc w:val="both"/>
        <w:rPr>
          <w:rFonts w:ascii="Garamond" w:hAnsi="Garamond"/>
          <w:color w:val="000000" w:themeColor="text1"/>
          <w:sz w:val="24"/>
          <w:szCs w:val="24"/>
          <w:lang w:val="id-ID"/>
        </w:rPr>
      </w:pPr>
      <w:r w:rsidRPr="00FC49E0">
        <w:rPr>
          <w:rFonts w:ascii="Garamond" w:hAnsi="Garamond"/>
          <w:color w:val="000000" w:themeColor="text1"/>
          <w:sz w:val="24"/>
          <w:szCs w:val="24"/>
          <w:lang w:val="id-ID"/>
        </w:rPr>
        <w:t xml:space="preserve">Nisa, Khoirun. (2020). </w:t>
      </w:r>
      <w:r w:rsidRPr="00FC49E0">
        <w:rPr>
          <w:rFonts w:ascii="Garamond" w:hAnsi="Garamond"/>
          <w:i/>
          <w:iCs/>
          <w:color w:val="000000" w:themeColor="text1"/>
          <w:sz w:val="24"/>
          <w:szCs w:val="24"/>
          <w:lang w:val="id-ID"/>
        </w:rPr>
        <w:t xml:space="preserve">Analisis Strategi Bisnis Ritel Islam Menghadapi Pesatnya Minimarket Waralaba. </w:t>
      </w:r>
      <w:r w:rsidRPr="00FC49E0">
        <w:rPr>
          <w:rFonts w:ascii="Garamond" w:hAnsi="Garamond"/>
          <w:color w:val="000000" w:themeColor="text1"/>
          <w:sz w:val="24"/>
          <w:szCs w:val="24"/>
          <w:lang w:val="id-ID"/>
        </w:rPr>
        <w:t>Skripsi Syariah dan Ekonomi Islam, Kudus</w:t>
      </w:r>
    </w:p>
    <w:p w14:paraId="63788363" w14:textId="77777777" w:rsidR="00600574" w:rsidRPr="00600574" w:rsidRDefault="00600574" w:rsidP="00600574">
      <w:pPr>
        <w:widowControl w:val="0"/>
        <w:autoSpaceDE w:val="0"/>
        <w:autoSpaceDN w:val="0"/>
        <w:adjustRightInd w:val="0"/>
        <w:spacing w:line="240" w:lineRule="auto"/>
        <w:ind w:left="480" w:hanging="480"/>
        <w:jc w:val="both"/>
        <w:rPr>
          <w:rFonts w:ascii="Garamond" w:hAnsi="Garamond" w:cs="Times New Roman"/>
          <w:noProof/>
          <w:sz w:val="24"/>
          <w:szCs w:val="24"/>
        </w:rPr>
      </w:pPr>
      <w:r w:rsidRPr="00600574">
        <w:rPr>
          <w:rFonts w:ascii="Garamond" w:hAnsi="Garamond" w:cs="Times New Roman"/>
          <w:noProof/>
          <w:sz w:val="24"/>
          <w:szCs w:val="24"/>
        </w:rPr>
        <w:t xml:space="preserve">Norvadewi, Akhmad Nur Zaroni. “Pengaruh Service Quality Terhadap Kepuasan Nasabah Bank Syariah.” </w:t>
      </w:r>
      <w:r w:rsidRPr="00600574">
        <w:rPr>
          <w:rFonts w:ascii="Garamond" w:hAnsi="Garamond" w:cs="Times New Roman"/>
          <w:i/>
          <w:iCs/>
          <w:noProof/>
          <w:sz w:val="24"/>
          <w:szCs w:val="24"/>
        </w:rPr>
        <w:t>AL TIJANI: Jurnal Ekonomi Dan Bisnis Islam</w:t>
      </w:r>
      <w:r w:rsidRPr="00600574">
        <w:rPr>
          <w:rFonts w:ascii="Garamond" w:hAnsi="Garamond" w:cs="Times New Roman"/>
          <w:noProof/>
          <w:sz w:val="24"/>
          <w:szCs w:val="24"/>
        </w:rPr>
        <w:t xml:space="preserve"> 4, no. 2 (2019).</w:t>
      </w:r>
    </w:p>
    <w:p w14:paraId="21556826" w14:textId="77777777" w:rsidR="00600574" w:rsidRPr="00600574" w:rsidRDefault="00600574" w:rsidP="00600574">
      <w:pPr>
        <w:widowControl w:val="0"/>
        <w:autoSpaceDE w:val="0"/>
        <w:autoSpaceDN w:val="0"/>
        <w:adjustRightInd w:val="0"/>
        <w:spacing w:line="240" w:lineRule="auto"/>
        <w:ind w:left="480" w:hanging="480"/>
        <w:jc w:val="both"/>
        <w:rPr>
          <w:rFonts w:ascii="Garamond" w:hAnsi="Garamond" w:cs="Times New Roman"/>
          <w:noProof/>
          <w:sz w:val="24"/>
          <w:szCs w:val="24"/>
        </w:rPr>
      </w:pPr>
      <w:r w:rsidRPr="00600574">
        <w:rPr>
          <w:rFonts w:ascii="Garamond" w:hAnsi="Garamond" w:cs="Times New Roman"/>
          <w:noProof/>
          <w:sz w:val="24"/>
          <w:szCs w:val="24"/>
        </w:rPr>
        <w:t xml:space="preserve">Priyono, Ery Agus. “ASPEK KEADILAN DALAM KONTRAK BISNIS DI INDONESIA (Kajian Pada Perjanjian Waralaba ).” </w:t>
      </w:r>
      <w:r w:rsidRPr="00600574">
        <w:rPr>
          <w:rFonts w:ascii="Garamond" w:hAnsi="Garamond" w:cs="Times New Roman"/>
          <w:i/>
          <w:iCs/>
          <w:noProof/>
          <w:sz w:val="24"/>
          <w:szCs w:val="24"/>
        </w:rPr>
        <w:t>Law Reform</w:t>
      </w:r>
      <w:r w:rsidRPr="00600574">
        <w:rPr>
          <w:rFonts w:ascii="Garamond" w:hAnsi="Garamond" w:cs="Times New Roman"/>
          <w:noProof/>
          <w:sz w:val="24"/>
          <w:szCs w:val="24"/>
        </w:rPr>
        <w:t xml:space="preserve"> 14, no. 1 (2018): 15–28.</w:t>
      </w:r>
    </w:p>
    <w:p w14:paraId="648944F5" w14:textId="77777777" w:rsidR="00600574" w:rsidRPr="00600574" w:rsidRDefault="00600574" w:rsidP="00600574">
      <w:pPr>
        <w:widowControl w:val="0"/>
        <w:autoSpaceDE w:val="0"/>
        <w:autoSpaceDN w:val="0"/>
        <w:adjustRightInd w:val="0"/>
        <w:spacing w:line="240" w:lineRule="auto"/>
        <w:ind w:left="480" w:hanging="480"/>
        <w:jc w:val="both"/>
        <w:rPr>
          <w:rFonts w:ascii="Garamond" w:hAnsi="Garamond" w:cs="Times New Roman"/>
          <w:noProof/>
          <w:sz w:val="24"/>
          <w:szCs w:val="24"/>
        </w:rPr>
      </w:pPr>
      <w:r w:rsidRPr="00600574">
        <w:rPr>
          <w:rFonts w:ascii="Garamond" w:hAnsi="Garamond" w:cs="Times New Roman"/>
          <w:noProof/>
          <w:sz w:val="24"/>
          <w:szCs w:val="24"/>
        </w:rPr>
        <w:t xml:space="preserve">Purnomo, Listiya Ike. “Pengaruh Intellectual Capital Terhadap Profitabilitas Pada Perusahaan Industri Jasa Sektor Properti Dan Real Estate Di Bursa Efek Indonesia Tahun 2011-2015.” </w:t>
      </w:r>
      <w:r w:rsidRPr="00600574">
        <w:rPr>
          <w:rFonts w:ascii="Garamond" w:hAnsi="Garamond" w:cs="Times New Roman"/>
          <w:i/>
          <w:iCs/>
          <w:noProof/>
          <w:sz w:val="24"/>
          <w:szCs w:val="24"/>
        </w:rPr>
        <w:t>Jurnal Akuntansi Berkelanjutan Indonesia</w:t>
      </w:r>
      <w:r w:rsidRPr="00600574">
        <w:rPr>
          <w:rFonts w:ascii="Garamond" w:hAnsi="Garamond" w:cs="Times New Roman"/>
          <w:noProof/>
          <w:sz w:val="24"/>
          <w:szCs w:val="24"/>
        </w:rPr>
        <w:t xml:space="preserve"> 1, no. 1 (2018): 83.</w:t>
      </w:r>
    </w:p>
    <w:p w14:paraId="01274BF7" w14:textId="77777777" w:rsidR="00600574" w:rsidRPr="00600574" w:rsidRDefault="00600574" w:rsidP="00600574">
      <w:pPr>
        <w:widowControl w:val="0"/>
        <w:autoSpaceDE w:val="0"/>
        <w:autoSpaceDN w:val="0"/>
        <w:adjustRightInd w:val="0"/>
        <w:spacing w:line="240" w:lineRule="auto"/>
        <w:ind w:left="480" w:hanging="480"/>
        <w:jc w:val="both"/>
        <w:rPr>
          <w:rFonts w:ascii="Garamond" w:hAnsi="Garamond" w:cs="Times New Roman"/>
          <w:noProof/>
          <w:sz w:val="24"/>
          <w:szCs w:val="24"/>
        </w:rPr>
      </w:pPr>
      <w:r w:rsidRPr="00600574">
        <w:rPr>
          <w:rFonts w:ascii="Garamond" w:hAnsi="Garamond" w:cs="Times New Roman"/>
          <w:noProof/>
          <w:sz w:val="24"/>
          <w:szCs w:val="24"/>
        </w:rPr>
        <w:t xml:space="preserve">Ranaswijaya, Ranaswijaya. “Implementasi Konsep Bagi Hasil Produk Pembiayaan Ditinjau Dari Fatwa DSN-MUI Nomor 14 DAN 15 Tahun 2000 (Study Kasus Bank Syariah Mandiri KCP Curup).” </w:t>
      </w:r>
      <w:r w:rsidRPr="00600574">
        <w:rPr>
          <w:rFonts w:ascii="Garamond" w:hAnsi="Garamond" w:cs="Times New Roman"/>
          <w:i/>
          <w:iCs/>
          <w:noProof/>
          <w:sz w:val="24"/>
          <w:szCs w:val="24"/>
        </w:rPr>
        <w:t>Disclosure: Journal of Accounting And Finance</w:t>
      </w:r>
      <w:r w:rsidRPr="00600574">
        <w:rPr>
          <w:rFonts w:ascii="Garamond" w:hAnsi="Garamond" w:cs="Times New Roman"/>
          <w:noProof/>
          <w:sz w:val="24"/>
          <w:szCs w:val="24"/>
        </w:rPr>
        <w:t xml:space="preserve"> 1, no. 1 (2021): 2021. https://doi.org/http://dx.doi.org/10.29240/disclosure.v1i1.2932.</w:t>
      </w:r>
    </w:p>
    <w:p w14:paraId="5B99F7DA" w14:textId="77777777" w:rsidR="00600574" w:rsidRPr="00600574" w:rsidRDefault="00600574" w:rsidP="00600574">
      <w:pPr>
        <w:widowControl w:val="0"/>
        <w:autoSpaceDE w:val="0"/>
        <w:autoSpaceDN w:val="0"/>
        <w:adjustRightInd w:val="0"/>
        <w:spacing w:line="240" w:lineRule="auto"/>
        <w:ind w:left="480" w:hanging="480"/>
        <w:jc w:val="both"/>
        <w:rPr>
          <w:rFonts w:ascii="Garamond" w:hAnsi="Garamond" w:cs="Times New Roman"/>
          <w:noProof/>
          <w:sz w:val="24"/>
          <w:szCs w:val="24"/>
        </w:rPr>
      </w:pPr>
      <w:r w:rsidRPr="00600574">
        <w:rPr>
          <w:rFonts w:ascii="Garamond" w:hAnsi="Garamond" w:cs="Times New Roman"/>
          <w:noProof/>
          <w:sz w:val="24"/>
          <w:szCs w:val="24"/>
        </w:rPr>
        <w:t xml:space="preserve">Riyan Pradesyah, Nur Aulia. “Pengaruh Pembiayaan Murabahah Dan Musyarakah </w:t>
      </w:r>
      <w:r w:rsidRPr="00600574">
        <w:rPr>
          <w:rFonts w:ascii="Garamond" w:hAnsi="Garamond" w:cs="Times New Roman"/>
          <w:noProof/>
          <w:sz w:val="24"/>
          <w:szCs w:val="24"/>
        </w:rPr>
        <w:lastRenderedPageBreak/>
        <w:t xml:space="preserve">Terhadap Profitabilitas Pada PT. Bank Syariah Mandiri.” </w:t>
      </w:r>
      <w:r w:rsidRPr="00600574">
        <w:rPr>
          <w:rFonts w:ascii="Garamond" w:hAnsi="Garamond" w:cs="Times New Roman"/>
          <w:i/>
          <w:iCs/>
          <w:noProof/>
          <w:sz w:val="24"/>
          <w:szCs w:val="24"/>
        </w:rPr>
        <w:t>Aghniya: Jurnal Ekonomi Islam</w:t>
      </w:r>
      <w:r w:rsidRPr="00600574">
        <w:rPr>
          <w:rFonts w:ascii="Garamond" w:hAnsi="Garamond" w:cs="Times New Roman"/>
          <w:noProof/>
          <w:sz w:val="24"/>
          <w:szCs w:val="24"/>
        </w:rPr>
        <w:t xml:space="preserve"> 3, no. 1 (2021). https://doi.org/http://dx.doi.org/10.30596%2Faghniya.v3i1.5852.</w:t>
      </w:r>
    </w:p>
    <w:p w14:paraId="3CC65E15" w14:textId="1E91904B" w:rsidR="00600574" w:rsidRDefault="00600574" w:rsidP="00600574">
      <w:pPr>
        <w:widowControl w:val="0"/>
        <w:autoSpaceDE w:val="0"/>
        <w:autoSpaceDN w:val="0"/>
        <w:adjustRightInd w:val="0"/>
        <w:spacing w:line="240" w:lineRule="auto"/>
        <w:ind w:left="480" w:hanging="480"/>
        <w:jc w:val="both"/>
        <w:rPr>
          <w:rFonts w:ascii="Garamond" w:hAnsi="Garamond" w:cs="Times New Roman"/>
          <w:noProof/>
          <w:sz w:val="24"/>
          <w:szCs w:val="24"/>
        </w:rPr>
      </w:pPr>
      <w:r w:rsidRPr="00600574">
        <w:rPr>
          <w:rFonts w:ascii="Garamond" w:hAnsi="Garamond" w:cs="Times New Roman"/>
          <w:noProof/>
          <w:sz w:val="24"/>
          <w:szCs w:val="24"/>
        </w:rPr>
        <w:t xml:space="preserve">Santosa, Eko Budi. “Perjanjian Waralaba Dalam Kegiatan Jenis Usaha Ritel.” </w:t>
      </w:r>
      <w:r w:rsidRPr="00600574">
        <w:rPr>
          <w:rFonts w:ascii="Garamond" w:hAnsi="Garamond" w:cs="Times New Roman"/>
          <w:i/>
          <w:iCs/>
          <w:noProof/>
          <w:sz w:val="24"/>
          <w:szCs w:val="24"/>
        </w:rPr>
        <w:t>Sapientia et Virtus</w:t>
      </w:r>
      <w:r w:rsidRPr="00600574">
        <w:rPr>
          <w:rFonts w:ascii="Garamond" w:hAnsi="Garamond" w:cs="Times New Roman"/>
          <w:noProof/>
          <w:sz w:val="24"/>
          <w:szCs w:val="24"/>
        </w:rPr>
        <w:t xml:space="preserve"> 3, no. 2 (3AD). https://doi.org/https://doi.org/10.37477/sev.v3i2.181.</w:t>
      </w:r>
    </w:p>
    <w:p w14:paraId="6CA3D65F" w14:textId="77777777" w:rsidR="00600574" w:rsidRPr="00FC49E0" w:rsidRDefault="00600574" w:rsidP="00600574">
      <w:pPr>
        <w:tabs>
          <w:tab w:val="right" w:pos="8271"/>
        </w:tabs>
        <w:spacing w:line="240" w:lineRule="auto"/>
        <w:ind w:left="851" w:hanging="851"/>
        <w:jc w:val="both"/>
        <w:rPr>
          <w:rFonts w:ascii="Garamond" w:hAnsi="Garamond"/>
          <w:color w:val="000000" w:themeColor="text1"/>
          <w:sz w:val="24"/>
          <w:szCs w:val="24"/>
          <w:lang w:val="id-ID"/>
        </w:rPr>
      </w:pPr>
      <w:r w:rsidRPr="00FC49E0">
        <w:rPr>
          <w:rFonts w:ascii="Garamond" w:hAnsi="Garamond"/>
          <w:color w:val="000000" w:themeColor="text1"/>
          <w:sz w:val="24"/>
          <w:szCs w:val="24"/>
          <w:lang w:val="id-ID"/>
        </w:rPr>
        <w:t xml:space="preserve">Sheih, A.S. &amp; Anita, S. (2018). </w:t>
      </w:r>
      <w:r w:rsidRPr="00FC49E0">
        <w:rPr>
          <w:rFonts w:ascii="Garamond" w:hAnsi="Garamond"/>
          <w:i/>
          <w:iCs/>
          <w:color w:val="000000" w:themeColor="text1"/>
          <w:sz w:val="24"/>
          <w:szCs w:val="24"/>
          <w:lang w:val="id-ID"/>
        </w:rPr>
        <w:t>Data Mining Penjualan Produk dengan Metode Apriori pada Indomaret Galang Kota</w:t>
      </w:r>
      <w:r w:rsidRPr="00FC49E0">
        <w:rPr>
          <w:rFonts w:ascii="Garamond" w:hAnsi="Garamond"/>
          <w:color w:val="000000" w:themeColor="text1"/>
          <w:sz w:val="24"/>
          <w:szCs w:val="24"/>
          <w:lang w:val="id-ID"/>
        </w:rPr>
        <w:t>. Pelita Nusantara Vol 1. No 2. Medan</w:t>
      </w:r>
    </w:p>
    <w:p w14:paraId="6463E2BC" w14:textId="77777777" w:rsidR="00600574" w:rsidRPr="00FC49E0" w:rsidRDefault="00600574" w:rsidP="00600574">
      <w:pPr>
        <w:tabs>
          <w:tab w:val="right" w:pos="8271"/>
        </w:tabs>
        <w:spacing w:line="240" w:lineRule="auto"/>
        <w:ind w:left="851" w:hanging="851"/>
        <w:jc w:val="both"/>
        <w:rPr>
          <w:rFonts w:ascii="Garamond" w:hAnsi="Garamond"/>
          <w:color w:val="000000" w:themeColor="text1"/>
          <w:sz w:val="24"/>
          <w:szCs w:val="24"/>
          <w:lang w:val="id-ID"/>
        </w:rPr>
      </w:pPr>
      <w:r w:rsidRPr="00FC49E0">
        <w:rPr>
          <w:rFonts w:ascii="Garamond" w:hAnsi="Garamond"/>
          <w:color w:val="000000" w:themeColor="text1"/>
          <w:sz w:val="24"/>
          <w:szCs w:val="24"/>
          <w:lang w:val="id-ID"/>
        </w:rPr>
        <w:t xml:space="preserve">Saputra, Rizki (2019). </w:t>
      </w:r>
      <w:r w:rsidRPr="00FC49E0">
        <w:rPr>
          <w:rFonts w:ascii="Garamond" w:hAnsi="Garamond"/>
          <w:i/>
          <w:iCs/>
          <w:color w:val="000000" w:themeColor="text1"/>
          <w:sz w:val="24"/>
          <w:szCs w:val="24"/>
          <w:lang w:val="id-ID"/>
        </w:rPr>
        <w:t xml:space="preserve">Persaingan Usaha antara Indomaret dengan Minimarket dalam Perspektif Hukum Ekonomi Syariah. </w:t>
      </w:r>
      <w:r w:rsidRPr="00FC49E0">
        <w:rPr>
          <w:rFonts w:ascii="Garamond" w:hAnsi="Garamond"/>
          <w:color w:val="000000" w:themeColor="text1"/>
          <w:sz w:val="24"/>
          <w:szCs w:val="24"/>
          <w:lang w:val="id-ID"/>
        </w:rPr>
        <w:t>Jurnal skripsi, Bengkulu</w:t>
      </w:r>
    </w:p>
    <w:p w14:paraId="66FE399C" w14:textId="77777777" w:rsidR="00600574" w:rsidRPr="00FC49E0" w:rsidRDefault="00600574" w:rsidP="00600574">
      <w:pPr>
        <w:tabs>
          <w:tab w:val="right" w:pos="8271"/>
        </w:tabs>
        <w:spacing w:line="240" w:lineRule="auto"/>
        <w:ind w:left="851" w:hanging="851"/>
        <w:jc w:val="both"/>
        <w:rPr>
          <w:rFonts w:ascii="Garamond" w:hAnsi="Garamond"/>
          <w:color w:val="000000" w:themeColor="text1"/>
          <w:sz w:val="24"/>
          <w:szCs w:val="24"/>
          <w:lang w:val="id-ID"/>
        </w:rPr>
      </w:pPr>
      <w:r w:rsidRPr="00FC49E0">
        <w:rPr>
          <w:rFonts w:ascii="Garamond" w:hAnsi="Garamond"/>
          <w:color w:val="000000" w:themeColor="text1"/>
          <w:sz w:val="24"/>
          <w:szCs w:val="24"/>
          <w:lang w:val="id-ID"/>
        </w:rPr>
        <w:t xml:space="preserve">Sintia, S. (2022). </w:t>
      </w:r>
      <w:r w:rsidRPr="00FC49E0">
        <w:rPr>
          <w:rFonts w:ascii="Garamond" w:hAnsi="Garamond"/>
          <w:i/>
          <w:iCs/>
          <w:color w:val="000000" w:themeColor="text1"/>
          <w:sz w:val="24"/>
          <w:szCs w:val="24"/>
          <w:lang w:val="id-ID"/>
        </w:rPr>
        <w:t>Analisis dampak ekonomi pedagang kecil dengan hadirnya industri ritel indomaret</w:t>
      </w:r>
      <w:r w:rsidRPr="00FC49E0">
        <w:rPr>
          <w:rFonts w:ascii="Garamond" w:hAnsi="Garamond"/>
          <w:color w:val="000000" w:themeColor="text1"/>
          <w:sz w:val="24"/>
          <w:szCs w:val="24"/>
          <w:lang w:val="id-ID"/>
        </w:rPr>
        <w:t>. Jurnal Skripsi, Jambi</w:t>
      </w:r>
    </w:p>
    <w:p w14:paraId="41F5046B" w14:textId="77777777" w:rsidR="00600574" w:rsidRPr="00FC49E0" w:rsidRDefault="00600574" w:rsidP="00600574">
      <w:pPr>
        <w:tabs>
          <w:tab w:val="right" w:pos="8271"/>
        </w:tabs>
        <w:spacing w:line="240" w:lineRule="auto"/>
        <w:ind w:left="851" w:hanging="851"/>
        <w:jc w:val="both"/>
        <w:rPr>
          <w:rFonts w:ascii="Garamond" w:hAnsi="Garamond"/>
          <w:color w:val="000000" w:themeColor="text1"/>
          <w:sz w:val="24"/>
          <w:szCs w:val="24"/>
          <w:lang w:val="id-ID"/>
        </w:rPr>
      </w:pPr>
      <w:r w:rsidRPr="00FC49E0">
        <w:rPr>
          <w:rFonts w:ascii="Garamond" w:hAnsi="Garamond"/>
          <w:color w:val="000000" w:themeColor="text1"/>
          <w:sz w:val="24"/>
          <w:szCs w:val="24"/>
          <w:lang w:val="id-ID"/>
        </w:rPr>
        <w:t xml:space="preserve">Umamah, A. (2019). </w:t>
      </w:r>
      <w:r w:rsidRPr="00FC49E0">
        <w:rPr>
          <w:rFonts w:ascii="Garamond" w:hAnsi="Garamond"/>
          <w:i/>
          <w:iCs/>
          <w:color w:val="000000" w:themeColor="text1"/>
          <w:sz w:val="24"/>
          <w:szCs w:val="24"/>
          <w:lang w:val="id-ID"/>
        </w:rPr>
        <w:t xml:space="preserve">Strategi Persaingan Bisnis Waralaba Berbasis Agama. </w:t>
      </w:r>
      <w:r w:rsidRPr="00FC49E0">
        <w:rPr>
          <w:rFonts w:ascii="Garamond" w:hAnsi="Garamond"/>
          <w:color w:val="000000" w:themeColor="text1"/>
          <w:sz w:val="24"/>
          <w:szCs w:val="24"/>
          <w:lang w:val="id-ID"/>
        </w:rPr>
        <w:t xml:space="preserve">Jurnal Human Falah, Probolinggo </w:t>
      </w:r>
    </w:p>
    <w:p w14:paraId="2114228C" w14:textId="77777777" w:rsidR="00600574" w:rsidRPr="00600574" w:rsidRDefault="00600574" w:rsidP="00600574">
      <w:pPr>
        <w:widowControl w:val="0"/>
        <w:autoSpaceDE w:val="0"/>
        <w:autoSpaceDN w:val="0"/>
        <w:adjustRightInd w:val="0"/>
        <w:spacing w:line="240" w:lineRule="auto"/>
        <w:ind w:left="480" w:hanging="480"/>
        <w:jc w:val="both"/>
        <w:rPr>
          <w:rFonts w:ascii="Garamond" w:hAnsi="Garamond" w:cs="Times New Roman"/>
          <w:noProof/>
          <w:sz w:val="24"/>
          <w:szCs w:val="24"/>
        </w:rPr>
      </w:pPr>
      <w:r w:rsidRPr="00600574">
        <w:rPr>
          <w:rFonts w:ascii="Garamond" w:hAnsi="Garamond" w:cs="Times New Roman"/>
          <w:noProof/>
          <w:sz w:val="24"/>
          <w:szCs w:val="24"/>
        </w:rPr>
        <w:t xml:space="preserve">Slamet Hartanto, Devid Frastiawan Amir Sup. “Konsep Hybrid Contract Di Indonesia Dalam Perspektif Fatwa DSN-MUI.” </w:t>
      </w:r>
      <w:r w:rsidRPr="00600574">
        <w:rPr>
          <w:rFonts w:ascii="Garamond" w:hAnsi="Garamond" w:cs="Times New Roman"/>
          <w:i/>
          <w:iCs/>
          <w:noProof/>
          <w:sz w:val="24"/>
          <w:szCs w:val="24"/>
        </w:rPr>
        <w:t>Journal of Islamic Economics and Finance Studies</w:t>
      </w:r>
      <w:r w:rsidRPr="00600574">
        <w:rPr>
          <w:rFonts w:ascii="Garamond" w:hAnsi="Garamond" w:cs="Times New Roman"/>
          <w:noProof/>
          <w:sz w:val="24"/>
          <w:szCs w:val="24"/>
        </w:rPr>
        <w:t xml:space="preserve"> 3, no. 1 (2022): 43.</w:t>
      </w:r>
    </w:p>
    <w:p w14:paraId="1C7E2350" w14:textId="77777777" w:rsidR="00600574" w:rsidRPr="00600574" w:rsidRDefault="00600574" w:rsidP="00600574">
      <w:pPr>
        <w:widowControl w:val="0"/>
        <w:autoSpaceDE w:val="0"/>
        <w:autoSpaceDN w:val="0"/>
        <w:adjustRightInd w:val="0"/>
        <w:spacing w:line="240" w:lineRule="auto"/>
        <w:ind w:left="480" w:hanging="480"/>
        <w:jc w:val="both"/>
        <w:rPr>
          <w:rFonts w:ascii="Garamond" w:hAnsi="Garamond" w:cs="Times New Roman"/>
          <w:noProof/>
          <w:sz w:val="24"/>
          <w:szCs w:val="24"/>
        </w:rPr>
      </w:pPr>
      <w:r w:rsidRPr="00600574">
        <w:rPr>
          <w:rFonts w:ascii="Garamond" w:hAnsi="Garamond" w:cs="Times New Roman"/>
          <w:noProof/>
          <w:sz w:val="24"/>
          <w:szCs w:val="24"/>
        </w:rPr>
        <w:t xml:space="preserve">Sultoni, Hasan. “TINJAUAN KRITIS HADITS TENTANG PRINSIP DISTRIBUSI (REVENUE SHARING DAN PROFIT SHARING) DALAM FATWA DSN-MUI NO 15/DSN-MUI/IX/2000.” </w:t>
      </w:r>
      <w:r w:rsidRPr="00600574">
        <w:rPr>
          <w:rFonts w:ascii="Garamond" w:hAnsi="Garamond" w:cs="Times New Roman"/>
          <w:i/>
          <w:iCs/>
          <w:noProof/>
          <w:sz w:val="24"/>
          <w:szCs w:val="24"/>
        </w:rPr>
        <w:t>Jurnal Eksyar</w:t>
      </w:r>
      <w:r w:rsidRPr="00600574">
        <w:rPr>
          <w:rFonts w:ascii="Garamond" w:hAnsi="Garamond" w:cs="Times New Roman"/>
          <w:noProof/>
          <w:sz w:val="24"/>
          <w:szCs w:val="24"/>
        </w:rPr>
        <w:t xml:space="preserve"> 5, no. 1 (2018): 1–19.</w:t>
      </w:r>
    </w:p>
    <w:p w14:paraId="2E1D6E5C" w14:textId="77777777" w:rsidR="00600574" w:rsidRPr="00600574" w:rsidRDefault="00600574" w:rsidP="00600574">
      <w:pPr>
        <w:widowControl w:val="0"/>
        <w:autoSpaceDE w:val="0"/>
        <w:autoSpaceDN w:val="0"/>
        <w:adjustRightInd w:val="0"/>
        <w:spacing w:line="240" w:lineRule="auto"/>
        <w:ind w:left="480" w:hanging="480"/>
        <w:jc w:val="both"/>
        <w:rPr>
          <w:rFonts w:ascii="Garamond" w:hAnsi="Garamond" w:cs="Times New Roman"/>
          <w:noProof/>
          <w:sz w:val="24"/>
          <w:szCs w:val="24"/>
        </w:rPr>
      </w:pPr>
      <w:r w:rsidRPr="00600574">
        <w:rPr>
          <w:rFonts w:ascii="Garamond" w:hAnsi="Garamond" w:cs="Times New Roman"/>
          <w:noProof/>
          <w:sz w:val="24"/>
          <w:szCs w:val="24"/>
        </w:rPr>
        <w:t>Tanjung, Annisyah Amelia Hafni. “Perlindungan Hukum Terhadap Pelaku Usaha Pasar Tradisional Terkait Keberadaan Pasar Ritel Modern Dengan Pola Waralaba (Studi Di Barus, Tapanuli Tengah).” Universitas Umatera Utara, 2020.</w:t>
      </w:r>
    </w:p>
    <w:p w14:paraId="573F59CD" w14:textId="20102275" w:rsidR="00600574" w:rsidRPr="00FC49E0" w:rsidRDefault="00600574" w:rsidP="00600574">
      <w:pPr>
        <w:widowControl w:val="0"/>
        <w:autoSpaceDE w:val="0"/>
        <w:autoSpaceDN w:val="0"/>
        <w:adjustRightInd w:val="0"/>
        <w:spacing w:line="240" w:lineRule="auto"/>
        <w:ind w:left="480" w:hanging="480"/>
        <w:jc w:val="both"/>
        <w:rPr>
          <w:rFonts w:ascii="Garamond" w:hAnsi="Garamond"/>
          <w:b/>
          <w:bCs/>
          <w:color w:val="000000" w:themeColor="text1"/>
          <w:sz w:val="24"/>
          <w:szCs w:val="24"/>
          <w:lang w:val="id-ID"/>
        </w:rPr>
      </w:pPr>
      <w:r w:rsidRPr="00600574">
        <w:rPr>
          <w:rFonts w:ascii="Garamond" w:hAnsi="Garamond" w:cs="Times New Roman"/>
          <w:noProof/>
          <w:sz w:val="24"/>
          <w:szCs w:val="24"/>
        </w:rPr>
        <w:t xml:space="preserve">Tao li, Rong Zhang, Senlin Zhao, Bin Liu. “Low Carbon Strategy Analysis under Revenue-Sharing and Cost-Sharing Contracts.” </w:t>
      </w:r>
      <w:r w:rsidRPr="00600574">
        <w:rPr>
          <w:rFonts w:ascii="Garamond" w:hAnsi="Garamond" w:cs="Times New Roman"/>
          <w:i/>
          <w:iCs/>
          <w:noProof/>
          <w:sz w:val="24"/>
          <w:szCs w:val="24"/>
        </w:rPr>
        <w:t>Journal of Cleaner Production</w:t>
      </w:r>
      <w:r w:rsidRPr="00600574">
        <w:rPr>
          <w:rFonts w:ascii="Garamond" w:hAnsi="Garamond" w:cs="Times New Roman"/>
          <w:noProof/>
          <w:sz w:val="24"/>
          <w:szCs w:val="24"/>
        </w:rPr>
        <w:t xml:space="preserve"> 212, no. 1 (2019): 1462–77.</w:t>
      </w:r>
    </w:p>
    <w:p w14:paraId="3464F4CD" w14:textId="77777777" w:rsidR="00600574" w:rsidRPr="00FC49E0" w:rsidRDefault="00600574" w:rsidP="00600574">
      <w:pPr>
        <w:tabs>
          <w:tab w:val="right" w:pos="8271"/>
        </w:tabs>
        <w:spacing w:line="240" w:lineRule="auto"/>
        <w:ind w:left="851" w:hanging="851"/>
        <w:jc w:val="both"/>
        <w:rPr>
          <w:rFonts w:ascii="Garamond" w:hAnsi="Garamond"/>
          <w:color w:val="000000" w:themeColor="text1"/>
          <w:sz w:val="24"/>
          <w:szCs w:val="24"/>
          <w:lang w:val="id-ID"/>
        </w:rPr>
      </w:pPr>
      <w:r w:rsidRPr="00FC49E0">
        <w:rPr>
          <w:rFonts w:ascii="Garamond" w:hAnsi="Garamond"/>
          <w:color w:val="000000" w:themeColor="text1"/>
          <w:sz w:val="24"/>
          <w:szCs w:val="24"/>
          <w:lang w:val="id-ID"/>
        </w:rPr>
        <w:t xml:space="preserve">Taufik, Abdullah  (2019). </w:t>
      </w:r>
      <w:r w:rsidRPr="00FC49E0">
        <w:rPr>
          <w:rFonts w:ascii="Garamond" w:hAnsi="Garamond"/>
          <w:i/>
          <w:iCs/>
          <w:color w:val="000000" w:themeColor="text1"/>
          <w:sz w:val="24"/>
          <w:szCs w:val="24"/>
          <w:lang w:val="id-ID"/>
        </w:rPr>
        <w:t xml:space="preserve">Perjanjian Waralaba Dalam Perspektif Bisnis Syari`Ah. </w:t>
      </w:r>
      <w:r w:rsidRPr="00FC49E0">
        <w:rPr>
          <w:rFonts w:ascii="Garamond" w:hAnsi="Garamond"/>
          <w:color w:val="000000" w:themeColor="text1"/>
          <w:sz w:val="24"/>
          <w:szCs w:val="24"/>
          <w:lang w:val="id-ID"/>
        </w:rPr>
        <w:t>Journal of Economic Syaria Law, Kediri</w:t>
      </w:r>
    </w:p>
    <w:p w14:paraId="65595E46" w14:textId="77777777" w:rsidR="00600574" w:rsidRPr="00600574" w:rsidRDefault="00600574" w:rsidP="00600574">
      <w:pPr>
        <w:widowControl w:val="0"/>
        <w:autoSpaceDE w:val="0"/>
        <w:autoSpaceDN w:val="0"/>
        <w:adjustRightInd w:val="0"/>
        <w:spacing w:line="240" w:lineRule="auto"/>
        <w:ind w:left="480" w:hanging="480"/>
        <w:jc w:val="both"/>
        <w:rPr>
          <w:rFonts w:ascii="Garamond" w:hAnsi="Garamond"/>
          <w:noProof/>
          <w:sz w:val="24"/>
        </w:rPr>
      </w:pPr>
      <w:r w:rsidRPr="00600574">
        <w:rPr>
          <w:rFonts w:ascii="Garamond" w:hAnsi="Garamond" w:cs="Times New Roman"/>
          <w:noProof/>
          <w:sz w:val="24"/>
          <w:szCs w:val="24"/>
        </w:rPr>
        <w:t xml:space="preserve">Vista Qonitah Qotrun Nuha, Ade Sofyan Mulazid*. “PENGARUH NPF, BOPO DAN PEMBIAYAAN BAGI HASIL TERHADAP PROFITABILITAS BANK UMUM SYARIAH DI INDONESIA.” </w:t>
      </w:r>
      <w:r w:rsidRPr="00600574">
        <w:rPr>
          <w:rFonts w:ascii="Garamond" w:hAnsi="Garamond" w:cs="Times New Roman"/>
          <w:i/>
          <w:iCs/>
          <w:noProof/>
          <w:sz w:val="24"/>
          <w:szCs w:val="24"/>
        </w:rPr>
        <w:t>Al-Uqud: Journal of Islamic Economics</w:t>
      </w:r>
      <w:r w:rsidRPr="00600574">
        <w:rPr>
          <w:rFonts w:ascii="Garamond" w:hAnsi="Garamond" w:cs="Times New Roman"/>
          <w:noProof/>
          <w:sz w:val="24"/>
          <w:szCs w:val="24"/>
        </w:rPr>
        <w:t xml:space="preserve"> 2, no. 95 (2018): 168–82.</w:t>
      </w:r>
    </w:p>
    <w:p w14:paraId="15D157FD" w14:textId="6974A4A9" w:rsidR="00A40CCB" w:rsidRPr="00FC49E0" w:rsidRDefault="00600574" w:rsidP="00600574">
      <w:pPr>
        <w:tabs>
          <w:tab w:val="right" w:pos="8271"/>
        </w:tabs>
        <w:spacing w:line="240" w:lineRule="auto"/>
        <w:jc w:val="both"/>
        <w:rPr>
          <w:rFonts w:ascii="Garamond" w:hAnsi="Garamond"/>
          <w:i/>
          <w:iCs/>
          <w:color w:val="000000" w:themeColor="text1"/>
          <w:sz w:val="24"/>
          <w:szCs w:val="24"/>
          <w:lang w:val="id-ID"/>
        </w:rPr>
      </w:pPr>
      <w:r>
        <w:rPr>
          <w:rFonts w:ascii="Garamond" w:hAnsi="Garamond"/>
          <w:b/>
          <w:bCs/>
          <w:color w:val="000000" w:themeColor="text1"/>
          <w:sz w:val="24"/>
          <w:szCs w:val="24"/>
          <w:lang w:val="id-ID"/>
        </w:rPr>
        <w:fldChar w:fldCharType="end"/>
      </w:r>
      <w:r w:rsidR="00646756" w:rsidRPr="00FC49E0">
        <w:rPr>
          <w:rFonts w:ascii="Garamond" w:hAnsi="Garamond"/>
          <w:color w:val="000000" w:themeColor="text1"/>
          <w:sz w:val="24"/>
          <w:szCs w:val="24"/>
          <w:lang w:val="id-ID"/>
        </w:rPr>
        <w:t xml:space="preserve">Wulandari, A. (2019). </w:t>
      </w:r>
      <w:r w:rsidR="00646756" w:rsidRPr="00FC49E0">
        <w:rPr>
          <w:rFonts w:ascii="Garamond" w:hAnsi="Garamond"/>
          <w:i/>
          <w:iCs/>
          <w:color w:val="000000" w:themeColor="text1"/>
          <w:sz w:val="24"/>
          <w:szCs w:val="24"/>
          <w:lang w:val="id-ID"/>
        </w:rPr>
        <w:t xml:space="preserve">Tinjauan Konsep Bisnis Waralaba (Franchise) Berdasarkan Ketentuan Hukum Islam. </w:t>
      </w:r>
      <w:r w:rsidR="00646756" w:rsidRPr="00FC49E0">
        <w:rPr>
          <w:rFonts w:ascii="Garamond" w:hAnsi="Garamond"/>
          <w:color w:val="000000" w:themeColor="text1"/>
          <w:sz w:val="24"/>
          <w:szCs w:val="24"/>
          <w:lang w:val="id-ID"/>
        </w:rPr>
        <w:t>Jurnal Penelitian Skripsi, Surakarta</w:t>
      </w:r>
    </w:p>
    <w:sectPr w:rsidR="00A40CCB" w:rsidRPr="00FC49E0" w:rsidSect="00FD279D">
      <w:pgSz w:w="12240" w:h="15840"/>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0E35F" w14:textId="77777777" w:rsidR="007357D8" w:rsidRDefault="007357D8" w:rsidP="00774FAE">
      <w:pPr>
        <w:spacing w:after="0" w:line="240" w:lineRule="auto"/>
      </w:pPr>
      <w:r>
        <w:separator/>
      </w:r>
    </w:p>
  </w:endnote>
  <w:endnote w:type="continuationSeparator" w:id="0">
    <w:p w14:paraId="44A804C8" w14:textId="77777777" w:rsidR="007357D8" w:rsidRDefault="007357D8" w:rsidP="00774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A0000AEF" w:usb1="4000207B" w:usb2="00000000" w:usb3="00000000" w:csb0="000001BF" w:csb1="00000000"/>
  </w:font>
  <w:font w:name="Arial">
    <w:altName w:val="Arial"/>
    <w:panose1 w:val="020B0604020202020204"/>
    <w:charset w:val="00"/>
    <w:family w:val="swiss"/>
    <w:pitch w:val="variable"/>
    <w:sig w:usb0="20002A87" w:usb1="80000000" w:usb2="00000008" w:usb3="00000000" w:csb0="000001FF" w:csb1="00000000"/>
  </w:font>
  <w:font w:name="Courier New">
    <w:altName w:val="Andale Mono"/>
    <w:panose1 w:val="02070309020205020404"/>
    <w:charset w:val="00"/>
    <w:family w:val="modern"/>
    <w:pitch w:val="fixed"/>
    <w:sig w:usb0="20002A87" w:usb1="80000000" w:usb2="00000008" w:usb3="00000000" w:csb0="000001FF" w:csb1="00000000"/>
  </w:font>
  <w:font w:name="Symbol">
    <w:altName w:val="Wingdings 3"/>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A00002EF" w:usb1="4000204B"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DB19D" w14:textId="77777777" w:rsidR="007357D8" w:rsidRDefault="007357D8" w:rsidP="00774FAE">
      <w:pPr>
        <w:spacing w:after="0" w:line="240" w:lineRule="auto"/>
      </w:pPr>
      <w:r>
        <w:separator/>
      </w:r>
    </w:p>
  </w:footnote>
  <w:footnote w:type="continuationSeparator" w:id="0">
    <w:p w14:paraId="1ECE8EEE" w14:textId="77777777" w:rsidR="007357D8" w:rsidRDefault="007357D8" w:rsidP="00774FAE">
      <w:pPr>
        <w:spacing w:after="0" w:line="240" w:lineRule="auto"/>
      </w:pPr>
      <w:r>
        <w:continuationSeparator/>
      </w:r>
    </w:p>
  </w:footnote>
  <w:footnote w:id="1">
    <w:p w14:paraId="4AED5314" w14:textId="60847375" w:rsidR="002D0664" w:rsidRPr="002D0664" w:rsidRDefault="002D0664">
      <w:pPr>
        <w:pStyle w:val="FootnoteText"/>
        <w:rPr>
          <w:lang w:val="en-ID"/>
        </w:rPr>
      </w:pPr>
      <w:r w:rsidRPr="009C4103">
        <w:rPr>
          <w:rStyle w:val="FootnoteReference"/>
        </w:rPr>
        <w:footnoteRef/>
      </w:r>
      <w:r>
        <w:t xml:space="preserve"> </w:t>
      </w:r>
      <w:r>
        <w:fldChar w:fldCharType="begin" w:fldLock="1"/>
      </w:r>
      <w:r w:rsidR="00463DB7">
        <w:instrText>ADDIN CSL_CITATION {"citationItems":[{"id":"ITEM-1","itemData":{"author":[{"dropping-particle":"","family":"M. Hawin","given":"Budi Agus Riswandi","non-dropping-particle":"","parse-names":false,"suffix":""}],"id":"ITEM-1","issued":{"date-parts":[["2020"]]},"number-of-pages":"45","publisher":"Gadjah Mada University Press","publisher-place":"Yogyakarta","title":"Isu-Isu Penting Hak Kekayaan Intelektual di Indonesia","type":"book"},"uris":["http://www.mendeley.com/documents/?uuid=f5842081-4322-44a8-9c86-10f76a310934"]}],"mendeley":{"formattedCitation":"Budi Agus Riswandi M. Hawin, &lt;i&gt;Isu-Isu Penting Hak Kekayaan Intelektual Di Indonesia&lt;/i&gt; (Yogyakarta: Gadjah Mada University Press, 2020).","plainTextFormattedCitation":"Budi Agus Riswandi M. Hawin, Isu-Isu Penting Hak Kekayaan Intelektual Di Indonesia (Yogyakarta: Gadjah Mada University Press, 2020).","previouslyFormattedCitation":"Budi Agus Riswandi M. Hawin, &lt;i&gt;Isu-Isu Penting Hak Kekayaan Intelektual Di Indonesia&lt;/i&gt; (Yogyakarta: Gadjah Mada University Press, 2020)."},"properties":{"noteIndex":1},"schema":"https://github.com/citation-style-language/schema/raw/master/csl-citation.json"}</w:instrText>
      </w:r>
      <w:r>
        <w:fldChar w:fldCharType="separate"/>
      </w:r>
      <w:r w:rsidRPr="002D0664">
        <w:rPr>
          <w:noProof/>
        </w:rPr>
        <w:t xml:space="preserve">Budi Agus Riswandi M. Hawin, </w:t>
      </w:r>
      <w:r w:rsidRPr="002D0664">
        <w:rPr>
          <w:i/>
          <w:noProof/>
        </w:rPr>
        <w:t>Isu-Isu Penting Hak Kekayaan Intelektual Di Indonesia</w:t>
      </w:r>
      <w:r w:rsidRPr="002D0664">
        <w:rPr>
          <w:noProof/>
        </w:rPr>
        <w:t xml:space="preserve"> (Yogyakarta: Gadjah Mada University Press, 2020).</w:t>
      </w:r>
      <w:r>
        <w:fldChar w:fldCharType="end"/>
      </w:r>
    </w:p>
  </w:footnote>
  <w:footnote w:id="2">
    <w:p w14:paraId="32C4D442" w14:textId="7E23457A" w:rsidR="00463DB7" w:rsidRPr="00463DB7" w:rsidRDefault="00463DB7">
      <w:pPr>
        <w:pStyle w:val="FootnoteText"/>
        <w:rPr>
          <w:lang w:val="en-ID"/>
        </w:rPr>
      </w:pPr>
      <w:r w:rsidRPr="009C4103">
        <w:rPr>
          <w:rStyle w:val="FootnoteReference"/>
        </w:rPr>
        <w:footnoteRef/>
      </w:r>
      <w:r>
        <w:t xml:space="preserve"> </w:t>
      </w:r>
      <w:r>
        <w:fldChar w:fldCharType="begin" w:fldLock="1"/>
      </w:r>
      <w:r w:rsidR="00452019">
        <w:instrText>ADDIN CSL_CITATION {"citationItems":[{"id":"ITEM-1","itemData":{"author":[{"dropping-particle":"","family":"Priyono","given":"Ery Agus","non-dropping-particle":"","parse-names":false,"suffix":""}],"container-title":"Law Reform","id":"ITEM-1","issue":"1","issued":{"date-parts":[["2018"]]},"page":"15-28","title":"ASPEK KEADILAN DALAM KONTRAK BISNIS DI INDONESIA (Kajian pada Perjanjian Waralaba )","type":"article-journal","volume":"14"},"uris":["http://www.mendeley.com/documents/?uuid=7c3eb981-aaa2-4d82-ab13-33371cfc412a"]}],"mendeley":{"formattedCitation":"Ery Agus Priyono, “ASPEK KEADILAN DALAM KONTRAK BISNIS DI INDONESIA (Kajian Pada Perjanjian Waralaba ),” &lt;i&gt;Law Reform&lt;/i&gt; 14, no. 1 (2018): 15–28.","plainTextFormattedCitation":"Ery Agus Priyono, “ASPEK KEADILAN DALAM KONTRAK BISNIS DI INDONESIA (Kajian Pada Perjanjian Waralaba ),” Law Reform 14, no. 1 (2018): 15–28.","previouslyFormattedCitation":"Ery Agus Priyono, “ASPEK KEADILAN DALAM KONTRAK BISNIS DI INDONESIA (Kajian Pada Perjanjian Waralaba ),” &lt;i&gt;Law Reform&lt;/i&gt; 14, no. 1 (2018): 15–28."},"properties":{"noteIndex":2},"schema":"https://github.com/citation-style-language/schema/raw/master/csl-citation.json"}</w:instrText>
      </w:r>
      <w:r>
        <w:fldChar w:fldCharType="separate"/>
      </w:r>
      <w:r w:rsidRPr="00463DB7">
        <w:rPr>
          <w:noProof/>
        </w:rPr>
        <w:t xml:space="preserve">Ery Agus Priyono, “ASPEK KEADILAN DALAM KONTRAK BISNIS DI INDONESIA (Kajian Pada Perjanjian Waralaba ),” </w:t>
      </w:r>
      <w:r w:rsidRPr="00463DB7">
        <w:rPr>
          <w:i/>
          <w:noProof/>
        </w:rPr>
        <w:t>Law Reform</w:t>
      </w:r>
      <w:r w:rsidRPr="00463DB7">
        <w:rPr>
          <w:noProof/>
        </w:rPr>
        <w:t xml:space="preserve"> 14, no. 1 (2018): 15–28.</w:t>
      </w:r>
      <w:r>
        <w:fldChar w:fldCharType="end"/>
      </w:r>
    </w:p>
  </w:footnote>
  <w:footnote w:id="3">
    <w:p w14:paraId="4B60E97E" w14:textId="6D29A429" w:rsidR="00452019" w:rsidRPr="00452019" w:rsidRDefault="00452019">
      <w:pPr>
        <w:pStyle w:val="FootnoteText"/>
        <w:rPr>
          <w:lang w:val="en-ID"/>
        </w:rPr>
      </w:pPr>
      <w:r w:rsidRPr="009C4103">
        <w:rPr>
          <w:rStyle w:val="FootnoteReference"/>
        </w:rPr>
        <w:footnoteRef/>
      </w:r>
      <w:r>
        <w:t xml:space="preserve"> </w:t>
      </w:r>
      <w:r>
        <w:fldChar w:fldCharType="begin" w:fldLock="1"/>
      </w:r>
      <w:r>
        <w:instrText>ADDIN CSL_CITATION {"citationItems":[{"id":"ITEM-1","itemData":{"author":[{"dropping-particle":"","family":"Moh Erfan Arif, Rila Anggraeni, Rila Aggraeni","given":"Risca Fitri Ayuni","non-dropping-particle":"","parse-names":false,"suffix":""}],"id":"ITEM-1","issued":{"date-parts":[["2021"]]},"number-of-pages":"571","publisher":"UB Press","publisher-place":"malang","title":"Bisnis Waralaba","type":"book"},"uris":["http://www.mendeley.com/documents/?uuid=de33b3f3-3268-4698-a544-c0f8e74f4260"]}],"mendeley":{"formattedCitation":"Risca Fitri Ayuni Moh Erfan Arif, Rila Anggraeni, Rila Aggraeni, &lt;i&gt;Bisnis Waralaba&lt;/i&gt; (malang: UB Press, 2021).","plainTextFormattedCitation":"Risca Fitri Ayuni Moh Erfan Arif, Rila Anggraeni, Rila Aggraeni, Bisnis Waralaba (malang: UB Press, 2021).","previouslyFormattedCitation":"Risca Fitri Ayuni Moh Erfan Arif, Rila Anggraeni, Rila Aggraeni, &lt;i&gt;Bisnis Waralaba&lt;/i&gt; (malang: UB Press, 2021)."},"properties":{"noteIndex":3},"schema":"https://github.com/citation-style-language/schema/raw/master/csl-citation.json"}</w:instrText>
      </w:r>
      <w:r>
        <w:fldChar w:fldCharType="separate"/>
      </w:r>
      <w:r w:rsidRPr="00452019">
        <w:rPr>
          <w:noProof/>
        </w:rPr>
        <w:t xml:space="preserve">Risca Fitri Ayuni Moh Erfan Arif, Rila Anggraeni, Rila Aggraeni, </w:t>
      </w:r>
      <w:r w:rsidRPr="00452019">
        <w:rPr>
          <w:i/>
          <w:noProof/>
        </w:rPr>
        <w:t>Bisnis Waralaba</w:t>
      </w:r>
      <w:r w:rsidRPr="00452019">
        <w:rPr>
          <w:noProof/>
        </w:rPr>
        <w:t xml:space="preserve"> (malang: UB Press, 2021).</w:t>
      </w:r>
      <w:r>
        <w:fldChar w:fldCharType="end"/>
      </w:r>
    </w:p>
  </w:footnote>
  <w:footnote w:id="4">
    <w:p w14:paraId="39ADF6F2" w14:textId="71BF6C9A" w:rsidR="00452019" w:rsidRPr="00452019" w:rsidRDefault="00452019">
      <w:pPr>
        <w:pStyle w:val="FootnoteText"/>
        <w:rPr>
          <w:lang w:val="en-ID"/>
        </w:rPr>
      </w:pPr>
      <w:r w:rsidRPr="009C4103">
        <w:rPr>
          <w:rStyle w:val="FootnoteReference"/>
        </w:rPr>
        <w:footnoteRef/>
      </w:r>
      <w:r>
        <w:t xml:space="preserve"> </w:t>
      </w:r>
      <w:r>
        <w:fldChar w:fldCharType="begin" w:fldLock="1"/>
      </w:r>
      <w:r w:rsidR="00196F79">
        <w:instrText>ADDIN CSL_CITATION {"citationItems":[{"id":"ITEM-1","itemData":{"author":[{"dropping-particle":"","family":"Ifada Qurrata A’yun Amalia","given":"Endang Prasetyawati","non-dropping-particle":"","parse-names":false,"suffix":""}],"container-title":"Jurnal Hukum Bisnis Bonum Commune","id":"ITEM-1","issue":"2","issued":{"date-parts":[["2019"]]},"page":"176","title":"KARAKTERISTIK ASAS PROPORSIONALITAS DALAM PEMBENTUKAN KLAUSUL PERJANJIAN WARALABA","type":"article-journal","volume":"2"},"uris":["http://www.mendeley.com/documents/?uuid=54f7ed26-9855-47cb-9e04-660ada0bc1c7"]}],"mendeley":{"formattedCitation":"Endang Prasetyawati Ifada Qurrata A’yun Amalia, “KARAKTERISTIK ASAS PROPORSIONALITAS DALAM PEMBENTUKAN KLAUSUL PERJANJIAN WARALABA,” &lt;i&gt;Jurnal Hukum Bisnis Bonum Commune&lt;/i&gt; 2, no. 2 (2019): 176.","plainTextFormattedCitation":"Endang Prasetyawati Ifada Qurrata A’yun Amalia, “KARAKTERISTIK ASAS PROPORSIONALITAS DALAM PEMBENTUKAN KLAUSUL PERJANJIAN WARALABA,” Jurnal Hukum Bisnis Bonum Commune 2, no. 2 (2019): 176.","previouslyFormattedCitation":"Endang Prasetyawati Ifada Qurrata A’yun Amalia, “KARAKTERISTIK ASAS PROPORSIONALITAS DALAM PEMBENTUKAN KLAUSUL PERJANJIAN WARALABA,” &lt;i&gt;Jurnal Hukum Bisnis Bonum Commune&lt;/i&gt; 2, no. 2 (2019): 176."},"properties":{"noteIndex":4},"schema":"https://github.com/citation-style-language/schema/raw/master/csl-citation.json"}</w:instrText>
      </w:r>
      <w:r>
        <w:fldChar w:fldCharType="separate"/>
      </w:r>
      <w:r w:rsidRPr="00452019">
        <w:rPr>
          <w:noProof/>
        </w:rPr>
        <w:t xml:space="preserve">Endang Prasetyawati Ifada Qurrata A’yun Amalia, “KARAKTERISTIK ASAS PROPORSIONALITAS DALAM PEMBENTUKAN KLAUSUL PERJANJIAN WARALABA,” </w:t>
      </w:r>
      <w:r w:rsidRPr="00452019">
        <w:rPr>
          <w:i/>
          <w:noProof/>
        </w:rPr>
        <w:t>Jurnal Hukum Bisnis Bonum Commune</w:t>
      </w:r>
      <w:r w:rsidRPr="00452019">
        <w:rPr>
          <w:noProof/>
        </w:rPr>
        <w:t xml:space="preserve"> 2, no. 2 (2019): 176.</w:t>
      </w:r>
      <w:r>
        <w:fldChar w:fldCharType="end"/>
      </w:r>
    </w:p>
  </w:footnote>
  <w:footnote w:id="5">
    <w:p w14:paraId="20B1AE53" w14:textId="2676735A" w:rsidR="00196F79" w:rsidRPr="00196F79" w:rsidRDefault="00196F79">
      <w:pPr>
        <w:pStyle w:val="FootnoteText"/>
        <w:rPr>
          <w:lang w:val="en-ID"/>
        </w:rPr>
      </w:pPr>
      <w:r w:rsidRPr="009C4103">
        <w:rPr>
          <w:rStyle w:val="FootnoteReference"/>
        </w:rPr>
        <w:footnoteRef/>
      </w:r>
      <w:r>
        <w:t xml:space="preserve"> </w:t>
      </w:r>
      <w:r>
        <w:fldChar w:fldCharType="begin" w:fldLock="1"/>
      </w:r>
      <w:r>
        <w:instrText>ADDIN CSL_CITATION {"citationItems":[{"id":"ITEM-1","itemData":{"author":[{"dropping-particle":"","family":"Baharun","given":"Hasan","non-dropping-particle":"","parse-names":false,"suffix":""},{"dropping-particle":"","family":"Niswa","given":"Harisatun","non-dropping-particle":"","parse-names":false,"suffix":""}],"container-title":"INFERENSI: Jurnal Penelitian Sosial Keagamaan","id":"ITEM-1","issue":"1","issued":{"date-parts":[["2019"]]},"page":"75-98","title":"Syariah Branding ; Komodifikasi Agama Dalam Bisnis Waralaba di Era Revolusi Industri 4 . 0 Cyber Physical System ( CPS ) dan Internet of Things and Services sertamampu menaikkan efsiensi manufaktur dan kualitas produk . dunia perekonomian di Indonesia . D","type":"article-journal","volume":"13"},"uris":["http://www.mendeley.com/documents/?uuid=d817d215-3f6d-4b8d-9abc-0fbef74618ba"]}],"mendeley":{"formattedCitation":"Hasan Baharun and Harisatun Niswa, “Syariah Branding ; Komodifikasi Agama Dalam Bisnis Waralaba Di Era Revolusi Industri 4 . 0 Cyber Physical System ( CPS ) Dan Internet of Things and Services Sertamampu Menaikkan Efsiensi Manufaktur Dan Kualitas Produk . Dunia Perekonomian Di Indonesia . D,” &lt;i&gt;INFERENSI: Jurnal Penelitian Sosial Keagamaan&lt;/i&gt; 13, no. 1 (2019): 75–98.","plainTextFormattedCitation":"Hasan Baharun and Harisatun Niswa, “Syariah Branding ; Komodifikasi Agama Dalam Bisnis Waralaba Di Era Revolusi Industri 4 . 0 Cyber Physical System ( CPS ) Dan Internet of Things and Services Sertamampu Menaikkan Efsiensi Manufaktur Dan Kualitas Produk . Dunia Perekonomian Di Indonesia . D,” INFERENSI: Jurnal Penelitian Sosial Keagamaan 13, no. 1 (2019): 75–98.","previouslyFormattedCitation":"Hasan Baharun and Harisatun Niswa, “Syariah Branding ; Komodifikasi Agama Dalam Bisnis Waralaba Di Era Revolusi Industri 4 . 0 Cyber Physical System ( CPS ) Dan Internet of Things and Services Sertamampu Menaikkan Efsiensi Manufaktur Dan Kualitas Produk . Dunia Perekonomian Di Indonesia . D,” &lt;i&gt;INFERENSI: Jurnal Penelitian Sosial Keagamaan&lt;/i&gt; 13, no. 1 (2019): 75–98."},"properties":{"noteIndex":5},"schema":"https://github.com/citation-style-language/schema/raw/master/csl-citation.json"}</w:instrText>
      </w:r>
      <w:r>
        <w:fldChar w:fldCharType="separate"/>
      </w:r>
      <w:r w:rsidRPr="00196F79">
        <w:rPr>
          <w:noProof/>
        </w:rPr>
        <w:t xml:space="preserve">Hasan Baharun and Harisatun Niswa, “Syariah Branding ; Komodifikasi Agama Dalam Bisnis Waralaba Di Era Revolusi Industri 4 . 0 Cyber Physical System ( CPS ) Dan Internet of Things and Services Sertamampu Menaikkan Efsiensi Manufaktur Dan Kualitas Produk . Dunia Perekonomian Di Indonesia . D,” </w:t>
      </w:r>
      <w:r w:rsidRPr="00196F79">
        <w:rPr>
          <w:i/>
          <w:noProof/>
        </w:rPr>
        <w:t>INFERENSI: Jurnal Penelitian Sosial Keagamaan</w:t>
      </w:r>
      <w:r w:rsidRPr="00196F79">
        <w:rPr>
          <w:noProof/>
        </w:rPr>
        <w:t xml:space="preserve"> 13, no. 1 (2019): 75–98.</w:t>
      </w:r>
      <w:r>
        <w:fldChar w:fldCharType="end"/>
      </w:r>
    </w:p>
  </w:footnote>
  <w:footnote w:id="6">
    <w:p w14:paraId="2141E91F" w14:textId="2649F9A6" w:rsidR="00196F79" w:rsidRPr="00196F79" w:rsidRDefault="00196F79">
      <w:pPr>
        <w:pStyle w:val="FootnoteText"/>
        <w:rPr>
          <w:lang w:val="en-ID"/>
        </w:rPr>
      </w:pPr>
      <w:r w:rsidRPr="009C4103">
        <w:rPr>
          <w:rStyle w:val="FootnoteReference"/>
        </w:rPr>
        <w:footnoteRef/>
      </w:r>
      <w:r>
        <w:t xml:space="preserve"> </w:t>
      </w:r>
      <w:r>
        <w:fldChar w:fldCharType="begin" w:fldLock="1"/>
      </w:r>
      <w:r w:rsidR="00C6080D">
        <w:instrText>ADDIN CSL_CITATION {"citationItems":[{"id":"ITEM-1","itemData":{"author":[{"dropping-particle":"","family":"Kohari Amaludin, and Dewi Fatmasari","given":"and Abdul Fatakh","non-dropping-particle":"","parse-names":false,"suffix":""}],"container-title":"Al-Mustashfa: Jurnal Penelitian Hukum Ekonomi Syariah","id":"ITEM-1","issue":"1","issued":{"date-parts":[["2019"]]},"page":"75-83","title":"Kontrak Kerjasama dan Bagi Hasil Bisnis Franchise Agen Tiki Sumber Kabupaten Cirebon dalam Perspektif Hukum Ekonomi Islam","type":"article-journal","volume":"4"},"uris":["http://www.mendeley.com/documents/?uuid=f90ab50a-7166-4ea6-a53e-23b756ddd49a"]}],"mendeley":{"formattedCitation":"and Abdul Fatakh Kohari Amaludin, and Dewi Fatmasari, “Kontrak Kerjasama Dan Bagi Hasil Bisnis Franchise Agen Tiki Sumber Kabupaten Cirebon Dalam Perspektif Hukum Ekonomi Islam,” &lt;i&gt;Al-Mustashfa: Jurnal Penelitian Hukum Ekonomi Syariah&lt;/i&gt; 4, no. 1 (2019): 75–83.","manualFormatting":"Abdul Fatakh Kohari Amaludin, and Dewi Fatmasari, “Kontrak Kerjasama Dan Bagi Hasil Bisnis Franchise Agen Tiki Sumber Kabupaten Cirebon Dalam Perspektif Hukum Ekonomi Islam,” Al-Mustashfa: Jurnal Penelitian Hukum Ekonomi Syariah 4, no. 1 (2019): 75–83.","plainTextFormattedCitation":"and Abdul Fatakh Kohari Amaludin, and Dewi Fatmasari, “Kontrak Kerjasama Dan Bagi Hasil Bisnis Franchise Agen Tiki Sumber Kabupaten Cirebon Dalam Perspektif Hukum Ekonomi Islam,” Al-Mustashfa: Jurnal Penelitian Hukum Ekonomi Syariah 4, no. 1 (2019): 75–83.","previouslyFormattedCitation":"and Abdul Fatakh Kohari Amaludin, and Dewi Fatmasari, “Kontrak Kerjasama Dan Bagi Hasil Bisnis Franchise Agen Tiki Sumber Kabupaten Cirebon Dalam Perspektif Hukum Ekonomi Islam,” &lt;i&gt;Al-Mustashfa: Jurnal Penelitian Hukum Ekonomi Syariah&lt;/i&gt; 4, no. 1 (2019): 75–83."},"properties":{"noteIndex":6},"schema":"https://github.com/citation-style-language/schema/raw/master/csl-citation.json"}</w:instrText>
      </w:r>
      <w:r>
        <w:fldChar w:fldCharType="separate"/>
      </w:r>
      <w:r w:rsidRPr="00196F79">
        <w:rPr>
          <w:noProof/>
        </w:rPr>
        <w:t xml:space="preserve">Abdul Fatakh Kohari Amaludin, and Dewi Fatmasari, “Kontrak Kerjasama Dan Bagi Hasil Bisnis Franchise Agen Tiki Sumber Kabupaten Cirebon Dalam Perspektif Hukum Ekonomi Islam,” </w:t>
      </w:r>
      <w:r w:rsidRPr="00196F79">
        <w:rPr>
          <w:i/>
          <w:noProof/>
        </w:rPr>
        <w:t>Al-Mustashfa: Jurnal Penelitian Hukum Ekonomi Syariah</w:t>
      </w:r>
      <w:r w:rsidRPr="00196F79">
        <w:rPr>
          <w:noProof/>
        </w:rPr>
        <w:t xml:space="preserve"> 4, no. 1 (2019): 75–83.</w:t>
      </w:r>
      <w:r>
        <w:fldChar w:fldCharType="end"/>
      </w:r>
    </w:p>
  </w:footnote>
  <w:footnote w:id="7">
    <w:p w14:paraId="54F4BBA5" w14:textId="704AF4FD" w:rsidR="00A455F1" w:rsidRPr="00A455F1" w:rsidRDefault="00A455F1">
      <w:pPr>
        <w:pStyle w:val="FootnoteText"/>
        <w:rPr>
          <w:lang w:val="en-ID"/>
        </w:rPr>
      </w:pPr>
      <w:r w:rsidRPr="009C4103">
        <w:rPr>
          <w:rStyle w:val="FootnoteReference"/>
        </w:rPr>
        <w:footnoteRef/>
      </w:r>
      <w:r>
        <w:t xml:space="preserve"> </w:t>
      </w:r>
      <w:r>
        <w:fldChar w:fldCharType="begin" w:fldLock="1"/>
      </w:r>
      <w:r>
        <w:instrText>ADDIN CSL_CITATION {"citationItems":[{"id":"ITEM-1","itemData":{"author":[{"dropping-particle":"","family":"Slamet Hartanto","given":"Devid Frastiawan Amir Sup","non-dropping-particle":"","parse-names":false,"suffix":""}],"container-title":"Journal of Islamic Economics and Finance Studies","id":"ITEM-1","issue":"1","issued":{"date-parts":[["2022"]]},"page":"43","title":"Konsep Hybrid Contract di Indonesia dalam Perspektif Fatwa DSN-MUI","type":"article-journal","volume":"3"},"uris":["http://www.mendeley.com/documents/?uuid=3bcb26a3-314c-4561-940f-91a496b0c68c"]}],"mendeley":{"formattedCitation":"Devid Frastiawan Amir Sup Slamet Hartanto, “Konsep Hybrid Contract Di Indonesia Dalam Perspektif Fatwa DSN-MUI,” &lt;i&gt;Journal of Islamic Economics and Finance Studies&lt;/i&gt; 3, no. 1 (2022): 43.","plainTextFormattedCitation":"Devid Frastiawan Amir Sup Slamet Hartanto, “Konsep Hybrid Contract Di Indonesia Dalam Perspektif Fatwa DSN-MUI,” Journal of Islamic Economics and Finance Studies 3, no. 1 (2022): 43.","previouslyFormattedCitation":"Devid Frastiawan Amir Sup Slamet Hartanto, “Konsep Hybrid Contract Di Indonesia Dalam Perspektif Fatwa DSN-MUI,” &lt;i&gt;Journal of Islamic Economics and Finance Studies&lt;/i&gt; 3, no. 1 (2022): 43."},"properties":{"noteIndex":7},"schema":"https://github.com/citation-style-language/schema/raw/master/csl-citation.json"}</w:instrText>
      </w:r>
      <w:r>
        <w:fldChar w:fldCharType="separate"/>
      </w:r>
      <w:r w:rsidRPr="00A455F1">
        <w:rPr>
          <w:noProof/>
        </w:rPr>
        <w:t xml:space="preserve">Devid Frastiawan Amir Sup Slamet Hartanto, “Konsep Hybrid Contract Di Indonesia Dalam Perspektif Fatwa DSN-MUI,” </w:t>
      </w:r>
      <w:r w:rsidRPr="00A455F1">
        <w:rPr>
          <w:i/>
          <w:noProof/>
        </w:rPr>
        <w:t>Journal of Islamic Economics and Finance Studies</w:t>
      </w:r>
      <w:r w:rsidRPr="00A455F1">
        <w:rPr>
          <w:noProof/>
        </w:rPr>
        <w:t xml:space="preserve"> 3, no. 1 (2022): 43.</w:t>
      </w:r>
      <w:r>
        <w:fldChar w:fldCharType="end"/>
      </w:r>
    </w:p>
  </w:footnote>
  <w:footnote w:id="8">
    <w:p w14:paraId="5DDDACD9" w14:textId="77777777" w:rsidR="00FC49E0" w:rsidRPr="00A455F1" w:rsidRDefault="00FC49E0" w:rsidP="00FC49E0">
      <w:pPr>
        <w:pStyle w:val="FootnoteText"/>
        <w:rPr>
          <w:lang w:val="en-ID"/>
        </w:rPr>
      </w:pPr>
      <w:r w:rsidRPr="009C4103">
        <w:rPr>
          <w:rStyle w:val="FootnoteReference"/>
        </w:rPr>
        <w:footnoteRef/>
      </w:r>
      <w:r>
        <w:t xml:space="preserve"> </w:t>
      </w:r>
      <w:r>
        <w:fldChar w:fldCharType="begin" w:fldLock="1"/>
      </w:r>
      <w:r>
        <w:instrText>ADDIN CSL_CITATION {"citationItems":[{"id":"ITEM-1","itemData":{"author":[{"dropping-particle":"","family":"Hamidi","given":"","non-dropping-particle":"","parse-names":false,"suffix":""}],"container-title":"Jurnal Measurement","id":"ITEM-1","issue":"3","issued":{"date-parts":[["2014"]]},"page":"32-40","title":"Analisis Pembiayaan Musyarakah Terhadap Laba Bersih Pada PT Bank Muamalat Indonesia","type":"article-journal","volume":"8"},"uris":["http://www.mendeley.com/documents/?uuid=8c7b7138-3c19-4313-931f-1342df6dd6c7"]}],"mendeley":{"formattedCitation":"Hamidi, “Analisis Pembiayaan Musyarakah Terhadap Laba Bersih Pada PT Bank Muamalat Indonesia,” &lt;i&gt;Jurnal Measurement&lt;/i&gt; 8, no. 3 (2014): 32–40.","plainTextFormattedCitation":"Hamidi, “Analisis Pembiayaan Musyarakah Terhadap Laba Bersih Pada PT Bank Muamalat Indonesia,” Jurnal Measurement 8, no. 3 (2014): 32–40.","previouslyFormattedCitation":"Hamidi, “Analisis Pembiayaan Musyarakah Terhadap Laba Bersih Pada PT Bank Muamalat Indonesia,” &lt;i&gt;Jurnal Measurement&lt;/i&gt; 8, no. 3 (2014): 32–40."},"properties":{"noteIndex":8},"schema":"https://github.com/citation-style-language/schema/raw/master/csl-citation.json"}</w:instrText>
      </w:r>
      <w:r>
        <w:fldChar w:fldCharType="separate"/>
      </w:r>
      <w:r w:rsidRPr="00A455F1">
        <w:rPr>
          <w:noProof/>
        </w:rPr>
        <w:t xml:space="preserve">Hamidi, “Analisis Pembiayaan Musyarakah Terhadap Laba Bersih Pada PT Bank Muamalat Indonesia,” </w:t>
      </w:r>
      <w:r w:rsidRPr="00A455F1">
        <w:rPr>
          <w:i/>
          <w:noProof/>
        </w:rPr>
        <w:t>Jurnal Measurement</w:t>
      </w:r>
      <w:r w:rsidRPr="00A455F1">
        <w:rPr>
          <w:noProof/>
        </w:rPr>
        <w:t xml:space="preserve"> 8, no. 3 (2014): 32–40.</w:t>
      </w:r>
      <w:r>
        <w:fldChar w:fldCharType="end"/>
      </w:r>
    </w:p>
  </w:footnote>
  <w:footnote w:id="9">
    <w:p w14:paraId="1C3CDD4C" w14:textId="77777777" w:rsidR="00FC49E0" w:rsidRPr="00DC6E14" w:rsidRDefault="00FC49E0" w:rsidP="00FC49E0">
      <w:pPr>
        <w:pStyle w:val="FootnoteText"/>
        <w:rPr>
          <w:lang w:val="en-ID"/>
        </w:rPr>
      </w:pPr>
      <w:r w:rsidRPr="009C4103">
        <w:rPr>
          <w:rStyle w:val="FootnoteReference"/>
        </w:rPr>
        <w:footnoteRef/>
      </w:r>
      <w:r>
        <w:t xml:space="preserve"> </w:t>
      </w:r>
      <w:r>
        <w:fldChar w:fldCharType="begin" w:fldLock="1"/>
      </w:r>
      <w:r>
        <w:instrText>ADDIN CSL_CITATION {"citationItems":[{"id":"ITEM-1","itemData":{"author":[{"dropping-particle":"","family":"Nasution","given":"Rahmayati","non-dropping-particle":"","parse-names":false,"suffix":""}],"container-title":"KUMPULAN JURNAL DOSEN UNIVERSITAS MUHAMMADIYAH SUMATERA UTARA","id":"ITEM-1","issued":{"date-parts":[["2017"]]},"page":"19","title":"OPTIMALISASI SKEMA BAGI HASIL SEBAGAI SOLUSI PEMBIAYAAN BERDASARKAN PRINSIP BAGI HASIL BANK SYARIAH DI INDONESIA","type":"article-journal"},"uris":["http://www.mendeley.com/documents/?uuid=f30a1661-bc91-4cbd-a79b-2ca30bdf6059"]}],"mendeley":{"formattedCitation":"Rahmayati Nasution, “OPTIMALISASI SKEMA BAGI HASIL SEBAGAI SOLUSI PEMBIAYAAN BERDASARKAN PRINSIP BAGI HASIL BANK SYARIAH DI INDONESIA,” &lt;i&gt;KUMPULAN JURNAL DOSEN UNIVERSITAS MUHAMMADIYAH SUMATERA UTARA&lt;/i&gt;, 2017, 19.","plainTextFormattedCitation":"Rahmayati Nasution, “OPTIMALISASI SKEMA BAGI HASIL SEBAGAI SOLUSI PEMBIAYAAN BERDASARKAN PRINSIP BAGI HASIL BANK SYARIAH DI INDONESIA,” KUMPULAN JURNAL DOSEN UNIVERSITAS MUHAMMADIYAH SUMATERA UTARA, 2017, 19.","previouslyFormattedCitation":"Rahmayati Nasution, “OPTIMALISASI SKEMA BAGI HASIL SEBAGAI SOLUSI PEMBIAYAAN BERDASARKAN PRINSIP BAGI HASIL BANK SYARIAH DI INDONESIA,” &lt;i&gt;KUMPULAN JURNAL DOSEN UNIVERSITAS MUHAMMADIYAH SUMATERA UTARA&lt;/i&gt;, 2017, 19."},"properties":{"noteIndex":9},"schema":"https://github.com/citation-style-language/schema/raw/master/csl-citation.json"}</w:instrText>
      </w:r>
      <w:r>
        <w:fldChar w:fldCharType="separate"/>
      </w:r>
      <w:r w:rsidRPr="00DC6E14">
        <w:rPr>
          <w:noProof/>
        </w:rPr>
        <w:t xml:space="preserve">Rahmayati Nasution, “OPTIMALISASI SKEMA BAGI HASIL SEBAGAI SOLUSI PEMBIAYAAN BERDASARKAN PRINSIP BAGI HASIL BANK SYARIAH DI INDONESIA,” </w:t>
      </w:r>
      <w:r w:rsidRPr="00DC6E14">
        <w:rPr>
          <w:i/>
          <w:noProof/>
        </w:rPr>
        <w:t>KUMPULAN JURNAL DOSEN UNIVERSITAS MUHAMMADIYAH SUMATERA UTARA</w:t>
      </w:r>
      <w:r w:rsidRPr="00DC6E14">
        <w:rPr>
          <w:noProof/>
        </w:rPr>
        <w:t>, 2017, 19.</w:t>
      </w:r>
      <w:r>
        <w:fldChar w:fldCharType="end"/>
      </w:r>
    </w:p>
  </w:footnote>
  <w:footnote w:id="10">
    <w:p w14:paraId="660265A1" w14:textId="77777777" w:rsidR="00FC49E0" w:rsidRPr="00895B68" w:rsidRDefault="00FC49E0" w:rsidP="00FC49E0">
      <w:pPr>
        <w:pStyle w:val="FootnoteText"/>
        <w:rPr>
          <w:lang w:val="en-ID"/>
        </w:rPr>
      </w:pPr>
      <w:r w:rsidRPr="009C4103">
        <w:rPr>
          <w:rStyle w:val="FootnoteReference"/>
        </w:rPr>
        <w:footnoteRef/>
      </w:r>
      <w:r>
        <w:t xml:space="preserve"> </w:t>
      </w:r>
      <w:r>
        <w:fldChar w:fldCharType="begin" w:fldLock="1"/>
      </w:r>
      <w:r>
        <w:instrText>ADDIN CSL_CITATION {"citationItems":[{"id":"ITEM-1","itemData":{"author":[{"dropping-particle":"","family":"Hayati","given":"Isra","non-dropping-particle":"","parse-names":false,"suffix":""},{"dropping-particle":"","family":"Hasibuan","given":"Silvi Rahmayani","non-dropping-particle":"","parse-names":false,"suffix":""}],"container-title":"Proceeding International Seminar on Islamic Studies","id":"ITEM-1","issue":"1","issued":{"date-parts":[["2021"]]},"page":"374-382","title":"THE EFFECT OF MUDHARABAH AND MUSYARAKAH FINANCING ON RETURN ON EQUITY IN SYARIAH BANKS IN","type":"article-journal","volume":"2"},"uris":["http://www.mendeley.com/documents/?uuid=4009bcfd-2086-47fb-9efa-1395da9d7f11"]}],"mendeley":{"formattedCitation":"Isra Hayati and Silvi Rahmayani Hasibuan, “THE EFFECT OF MUDHARABAH AND MUSYARAKAH FINANCING ON RETURN ON EQUITY IN SYARIAH BANKS IN,” &lt;i&gt;Proceeding International Seminar on Islamic Studies&lt;/i&gt; 2, no. 1 (2021): 374–82.","plainTextFormattedCitation":"Isra Hayati and Silvi Rahmayani Hasibuan, “THE EFFECT OF MUDHARABAH AND MUSYARAKAH FINANCING ON RETURN ON EQUITY IN SYARIAH BANKS IN,” Proceeding International Seminar on Islamic Studies 2, no. 1 (2021): 374–82.","previouslyFormattedCitation":"Isra Hayati and Silvi Rahmayani Hasibuan, “THE EFFECT OF MUDHARABAH AND MUSYARAKAH FINANCING ON RETURN ON EQUITY IN SYARIAH BANKS IN,” &lt;i&gt;Proceeding International Seminar on Islamic Studies&lt;/i&gt; 2, no. 1 (2021): 374–82."},"properties":{"noteIndex":10},"schema":"https://github.com/citation-style-language/schema/raw/master/csl-citation.json"}</w:instrText>
      </w:r>
      <w:r>
        <w:fldChar w:fldCharType="separate"/>
      </w:r>
      <w:r w:rsidRPr="00895B68">
        <w:rPr>
          <w:noProof/>
        </w:rPr>
        <w:t xml:space="preserve">Isra Hayati and Silvi Rahmayani Hasibuan, “THE EFFECT OF MUDHARABAH AND MUSYARAKAH FINANCING ON RETURN ON EQUITY IN SYARIAH BANKS IN,” </w:t>
      </w:r>
      <w:r w:rsidRPr="00895B68">
        <w:rPr>
          <w:i/>
          <w:noProof/>
        </w:rPr>
        <w:t>Proceeding International Seminar on Islamic Studies</w:t>
      </w:r>
      <w:r w:rsidRPr="00895B68">
        <w:rPr>
          <w:noProof/>
        </w:rPr>
        <w:t xml:space="preserve"> 2, no. 1 (2021): 374–82.</w:t>
      </w:r>
      <w:r>
        <w:fldChar w:fldCharType="end"/>
      </w:r>
    </w:p>
  </w:footnote>
  <w:footnote w:id="11">
    <w:p w14:paraId="0501B419" w14:textId="77777777" w:rsidR="00FC49E0" w:rsidRPr="005C787D" w:rsidRDefault="00FC49E0" w:rsidP="00FC49E0">
      <w:pPr>
        <w:pStyle w:val="FootnoteText"/>
        <w:rPr>
          <w:lang w:val="en-ID"/>
        </w:rPr>
      </w:pPr>
      <w:r w:rsidRPr="009C4103">
        <w:rPr>
          <w:rStyle w:val="FootnoteReference"/>
        </w:rPr>
        <w:footnoteRef/>
      </w:r>
      <w:r>
        <w:t xml:space="preserve"> </w:t>
      </w:r>
      <w:r>
        <w:fldChar w:fldCharType="begin" w:fldLock="1"/>
      </w:r>
      <w:r>
        <w:instrText>ADDIN CSL_CITATION {"citationItems":[{"id":"ITEM-1","itemData":{"author":[{"dropping-particle":"","family":"Vista Qonitah Qotrun Nuha","given":"Ade Sofyan Mulazid*","non-dropping-particle":"","parse-names":false,"suffix":""}],"container-title":"al-Uqud: Journal of Islamic Economics","id":"ITEM-1","issue":"95","issued":{"date-parts":[["2018"]]},"page":"168-182","title":"PENGARUH NPF, BOPO DAN PEMBIAYAAN BAGI HASIL TERHADAP PROFITABILITAS BANK UMUM SYARIAH DI INDONESIA","type":"article-journal","volume":"2"},"uris":["http://www.mendeley.com/documents/?uuid=8e4a5835-e596-44fe-bd50-2c8acb90c778"]}],"mendeley":{"formattedCitation":"Ade Sofyan Mulazid* Vista Qonitah Qotrun Nuha, “PENGARUH NPF, BOPO DAN PEMBIAYAAN BAGI HASIL TERHADAP PROFITABILITAS BANK UMUM SYARIAH DI INDONESIA,” &lt;i&gt;Al-Uqud: Journal of Islamic Economics&lt;/i&gt; 2, no. 95 (2018): 168–82.","plainTextFormattedCitation":"Ade Sofyan Mulazid* Vista Qonitah Qotrun Nuha, “PENGARUH NPF, BOPO DAN PEMBIAYAAN BAGI HASIL TERHADAP PROFITABILITAS BANK UMUM SYARIAH DI INDONESIA,” Al-Uqud: Journal of Islamic Economics 2, no. 95 (2018): 168–82.","previouslyFormattedCitation":"Ade Sofyan Mulazid* Vista Qonitah Qotrun Nuha, “PENGARUH NPF, BOPO DAN PEMBIAYAAN BAGI HASIL TERHADAP PROFITABILITAS BANK UMUM SYARIAH DI INDONESIA,” &lt;i&gt;Al-Uqud: Journal of Islamic Economics&lt;/i&gt; 2, no. 95 (2018): 168–82."},"properties":{"noteIndex":11},"schema":"https://github.com/citation-style-language/schema/raw/master/csl-citation.json"}</w:instrText>
      </w:r>
      <w:r>
        <w:fldChar w:fldCharType="separate"/>
      </w:r>
      <w:r w:rsidRPr="005C787D">
        <w:rPr>
          <w:noProof/>
        </w:rPr>
        <w:t xml:space="preserve">Ade Sofyan Mulazid* Vista Qonitah Qotrun Nuha, “PENGARUH NPF, BOPO DAN PEMBIAYAAN BAGI HASIL TERHADAP PROFITABILITAS BANK UMUM SYARIAH DI INDONESIA,” </w:t>
      </w:r>
      <w:r w:rsidRPr="005C787D">
        <w:rPr>
          <w:i/>
          <w:noProof/>
        </w:rPr>
        <w:t>Al-Uqud: Journal of Islamic Economics</w:t>
      </w:r>
      <w:r w:rsidRPr="005C787D">
        <w:rPr>
          <w:noProof/>
        </w:rPr>
        <w:t xml:space="preserve"> 2, no. 95 (2018): 168–82.</w:t>
      </w:r>
      <w:r>
        <w:fldChar w:fldCharType="end"/>
      </w:r>
    </w:p>
  </w:footnote>
  <w:footnote w:id="12">
    <w:p w14:paraId="2D66D80F" w14:textId="77777777" w:rsidR="00FC49E0" w:rsidRPr="005C787D" w:rsidRDefault="00FC49E0" w:rsidP="00FC49E0">
      <w:pPr>
        <w:pStyle w:val="FootnoteText"/>
        <w:rPr>
          <w:lang w:val="en-ID"/>
        </w:rPr>
      </w:pPr>
      <w:r w:rsidRPr="009C4103">
        <w:rPr>
          <w:rStyle w:val="FootnoteReference"/>
        </w:rPr>
        <w:footnoteRef/>
      </w:r>
      <w:r>
        <w:t xml:space="preserve"> </w:t>
      </w:r>
      <w:r>
        <w:fldChar w:fldCharType="begin" w:fldLock="1"/>
      </w:r>
      <w:r>
        <w:instrText>ADDIN CSL_CITATION {"citationItems":[{"id":"ITEM-1","itemData":{"author":[{"dropping-particle":"","family":"Abdul Haris Romdhoni","given":"Ferlangga El Yozika","non-dropping-particle":"","parse-names":false,"suffix":""}],"container-title":"Jurnal Ilmiah Ekonomi Islam","id":"ITEM-1","issue":"3","issued":{"date-parts":[["2018"]]},"title":"Pengaruh Pembiayaan Mudharabah, Musyarakah Dan Ijarah Terhadap Profitabilitas Bank Muamalat Indonesia","type":"article-journal","volume":"4"},"uris":["http://www.mendeley.com/documents/?uuid=be981216-6d8d-43ba-9ad4-d27f56e262a1"]}],"mendeley":{"formattedCitation":"Ferlangga El Yozika Abdul Haris Romdhoni, “Pengaruh Pembiayaan Mudharabah, Musyarakah Dan Ijarah Terhadap Profitabilitas Bank Muamalat Indonesia,” &lt;i&gt;Jurnal Ilmiah Ekonomi Islam&lt;/i&gt; 4, no. 3 (2018).","plainTextFormattedCitation":"Ferlangga El Yozika Abdul Haris Romdhoni, “Pengaruh Pembiayaan Mudharabah, Musyarakah Dan Ijarah Terhadap Profitabilitas Bank Muamalat Indonesia,” Jurnal Ilmiah Ekonomi Islam 4, no. 3 (2018).","previouslyFormattedCitation":"Ferlangga El Yozika Abdul Haris Romdhoni, “Pengaruh Pembiayaan Mudharabah, Musyarakah Dan Ijarah Terhadap Profitabilitas Bank Muamalat Indonesia,” &lt;i&gt;Jurnal Ilmiah Ekonomi Islam&lt;/i&gt; 4, no. 3 (2018)."},"properties":{"noteIndex":12},"schema":"https://github.com/citation-style-language/schema/raw/master/csl-citation.json"}</w:instrText>
      </w:r>
      <w:r>
        <w:fldChar w:fldCharType="separate"/>
      </w:r>
      <w:r w:rsidRPr="005C787D">
        <w:rPr>
          <w:noProof/>
        </w:rPr>
        <w:t xml:space="preserve">Ferlangga El Yozika Abdul Haris Romdhoni, “Pengaruh Pembiayaan Mudharabah, Musyarakah Dan Ijarah Terhadap Profitabilitas Bank Muamalat Indonesia,” </w:t>
      </w:r>
      <w:r w:rsidRPr="005C787D">
        <w:rPr>
          <w:i/>
          <w:noProof/>
        </w:rPr>
        <w:t>Jurnal Ilmiah Ekonomi Islam</w:t>
      </w:r>
      <w:r w:rsidRPr="005C787D">
        <w:rPr>
          <w:noProof/>
        </w:rPr>
        <w:t xml:space="preserve"> 4, no. 3 (2018).</w:t>
      </w:r>
      <w:r>
        <w:fldChar w:fldCharType="end"/>
      </w:r>
    </w:p>
  </w:footnote>
  <w:footnote w:id="13">
    <w:p w14:paraId="5D7B7B08" w14:textId="77777777" w:rsidR="00FC49E0" w:rsidRPr="001D702E" w:rsidRDefault="00FC49E0" w:rsidP="00FC49E0">
      <w:pPr>
        <w:pStyle w:val="FootnoteText"/>
        <w:rPr>
          <w:lang w:val="en-ID"/>
        </w:rPr>
      </w:pPr>
      <w:r w:rsidRPr="009C4103">
        <w:rPr>
          <w:rStyle w:val="FootnoteReference"/>
        </w:rPr>
        <w:footnoteRef/>
      </w:r>
      <w:r>
        <w:t xml:space="preserve"> </w:t>
      </w:r>
      <w:r>
        <w:fldChar w:fldCharType="begin" w:fldLock="1"/>
      </w:r>
      <w:r>
        <w:instrText>ADDIN CSL_CITATION {"citationItems":[{"id":"ITEM-1","itemData":{"DOI":"https://doi.org/10.15575/aksy.v2i1.7857","author":[{"dropping-particle":"","family":"Latif","given":"Chefi Abdul","non-dropping-particle":"","parse-names":false,"suffix":""}],"container-title":"Aksy: Jurnal Ilmu Akuntansi dan Bisnis Syariah","id":"ITEM-1","issue":"1","issued":{"date-parts":[["2020"]]},"title":"PEMBIAYAAN MUDHARABAH DAN PEMBIAYAAN MUSYARAKAH DI PERBANKAN SYARIAH","type":"article-journal","volume":"2"},"uris":["http://www.mendeley.com/documents/?uuid=4943948a-5d58-46ba-9b38-0e5a46ba0c02"]}],"mendeley":{"formattedCitation":"Chefi Abdul Latif, “PEMBIAYAAN MUDHARABAH DAN PEMBIAYAAN MUSYARAKAH DI PERBANKAN SYARIAH,” &lt;i&gt;Aksy: Jurnal Ilmu Akuntansi Dan Bisnis Syariah&lt;/i&gt; 2, no. 1 (2020), https://doi.org/https://doi.org/10.15575/aksy.v2i1.7857.","plainTextFormattedCitation":"Chefi Abdul Latif, “PEMBIAYAAN MUDHARABAH DAN PEMBIAYAAN MUSYARAKAH DI PERBANKAN SYARIAH,” Aksy: Jurnal Ilmu Akuntansi Dan Bisnis Syariah 2, no. 1 (2020), https://doi.org/https://doi.org/10.15575/aksy.v2i1.7857.","previouslyFormattedCitation":"Chefi Abdul Latif, “PEMBIAYAAN MUDHARABAH DAN PEMBIAYAAN MUSYARAKAH DI PERBANKAN SYARIAH,” &lt;i&gt;Aksy: Jurnal Ilmu Akuntansi Dan Bisnis Syariah&lt;/i&gt; 2, no. 1 (2020), https://doi.org/https://doi.org/10.15575/aksy.v2i1.7857."},"properties":{"noteIndex":13},"schema":"https://github.com/citation-style-language/schema/raw/master/csl-citation.json"}</w:instrText>
      </w:r>
      <w:r>
        <w:fldChar w:fldCharType="separate"/>
      </w:r>
      <w:r w:rsidRPr="001D702E">
        <w:rPr>
          <w:noProof/>
        </w:rPr>
        <w:t xml:space="preserve">Chefi Abdul Latif, “PEMBIAYAAN MUDHARABAH DAN PEMBIAYAAN MUSYARAKAH DI PERBANKAN SYARIAH,” </w:t>
      </w:r>
      <w:r w:rsidRPr="001D702E">
        <w:rPr>
          <w:i/>
          <w:noProof/>
        </w:rPr>
        <w:t>Aksy: Jurnal Ilmu Akuntansi Dan Bisnis Syariah</w:t>
      </w:r>
      <w:r w:rsidRPr="001D702E">
        <w:rPr>
          <w:noProof/>
        </w:rPr>
        <w:t xml:space="preserve"> 2, no. 1 (2020), https://doi.org/https://doi.org/10.15575/aksy.v2i1.7857.</w:t>
      </w:r>
      <w:r>
        <w:fldChar w:fldCharType="end"/>
      </w:r>
    </w:p>
  </w:footnote>
  <w:footnote w:id="14">
    <w:p w14:paraId="652BDBF6" w14:textId="77777777" w:rsidR="00FC49E0" w:rsidRPr="001D702E" w:rsidRDefault="00FC49E0" w:rsidP="00FC49E0">
      <w:pPr>
        <w:pStyle w:val="FootnoteText"/>
        <w:rPr>
          <w:lang w:val="en-ID"/>
        </w:rPr>
      </w:pPr>
      <w:r w:rsidRPr="009C4103">
        <w:rPr>
          <w:rStyle w:val="FootnoteReference"/>
        </w:rPr>
        <w:footnoteRef/>
      </w:r>
      <w:r>
        <w:t xml:space="preserve"> </w:t>
      </w:r>
      <w:r>
        <w:fldChar w:fldCharType="begin" w:fldLock="1"/>
      </w:r>
      <w:r>
        <w:instrText>ADDIN CSL_CITATION {"citationItems":[{"id":"ITEM-1","itemData":{"DOI":"http://dx.doi.org/10.30596%2Faghniya.v3i1.5852","author":[{"dropping-particle":"","family":"Riyan Pradesyah","given":"Nur Aulia","non-dropping-particle":"","parse-names":false,"suffix":""}],"container-title":"Aghniya: Jurnal Ekonomi Islam","id":"ITEM-1","issue":"1","issued":{"date-parts":[["2021"]]},"title":"Pengaruh Pembiayaan Murabahah Dan Musyarakah Terhadap Profitabilitas Pada PT. Bank Syariah Mandiri","type":"article-journal","volume":"3"},"uris":["http://www.mendeley.com/documents/?uuid=d0890608-0f86-4716-be99-9d8600d476f5"]}],"mendeley":{"formattedCitation":"Nur Aulia Riyan Pradesyah, “Pengaruh Pembiayaan Murabahah Dan Musyarakah Terhadap Profitabilitas Pada PT. Bank Syariah Mandiri,” &lt;i&gt;Aghniya: Jurnal Ekonomi Islam&lt;/i&gt; 3, no. 1 (2021), https://doi.org/http://dx.doi.org/10.30596%2Faghniya.v3i1.5852.","plainTextFormattedCitation":"Nur Aulia Riyan Pradesyah, “Pengaruh Pembiayaan Murabahah Dan Musyarakah Terhadap Profitabilitas Pada PT. Bank Syariah Mandiri,” Aghniya: Jurnal Ekonomi Islam 3, no. 1 (2021), https://doi.org/http://dx.doi.org/10.30596%2Faghniya.v3i1.5852.","previouslyFormattedCitation":"Nur Aulia Riyan Pradesyah, “Pengaruh Pembiayaan Murabahah Dan Musyarakah Terhadap Profitabilitas Pada PT. Bank Syariah Mandiri,” &lt;i&gt;Aghniya: Jurnal Ekonomi Islam&lt;/i&gt; 3, no. 1 (2021), https://doi.org/http://dx.doi.org/10.30596%2Faghniya.v3i1.5852."},"properties":{"noteIndex":14},"schema":"https://github.com/citation-style-language/schema/raw/master/csl-citation.json"}</w:instrText>
      </w:r>
      <w:r>
        <w:fldChar w:fldCharType="separate"/>
      </w:r>
      <w:r w:rsidRPr="001D702E">
        <w:rPr>
          <w:noProof/>
        </w:rPr>
        <w:t xml:space="preserve">Nur Aulia Riyan Pradesyah, “Pengaruh Pembiayaan Murabahah Dan Musyarakah Terhadap Profitabilitas Pada PT. Bank Syariah Mandiri,” </w:t>
      </w:r>
      <w:r w:rsidRPr="001D702E">
        <w:rPr>
          <w:i/>
          <w:noProof/>
        </w:rPr>
        <w:t>Aghniya: Jurnal Ekonomi Islam</w:t>
      </w:r>
      <w:r w:rsidRPr="001D702E">
        <w:rPr>
          <w:noProof/>
        </w:rPr>
        <w:t xml:space="preserve"> 3, no. 1 (2021), https://doi.org/http://dx.doi.org/10.30596%2Faghniya.v3i1.5852.</w:t>
      </w:r>
      <w:r>
        <w:fldChar w:fldCharType="end"/>
      </w:r>
    </w:p>
  </w:footnote>
  <w:footnote w:id="15">
    <w:p w14:paraId="5EA26872" w14:textId="77777777" w:rsidR="00FC49E0" w:rsidRPr="001D702E" w:rsidRDefault="00FC49E0" w:rsidP="00FC49E0">
      <w:pPr>
        <w:pStyle w:val="FootnoteText"/>
        <w:rPr>
          <w:lang w:val="en-ID"/>
        </w:rPr>
      </w:pPr>
      <w:r w:rsidRPr="009C4103">
        <w:rPr>
          <w:rStyle w:val="FootnoteReference"/>
        </w:rPr>
        <w:footnoteRef/>
      </w:r>
      <w:r>
        <w:t xml:space="preserve"> </w:t>
      </w:r>
      <w:r>
        <w:fldChar w:fldCharType="begin" w:fldLock="1"/>
      </w:r>
      <w:r>
        <w:instrText>ADDIN CSL_CITATION {"citationItems":[{"id":"ITEM-1","itemData":{"DOI":"https://doi.org/10.29313/jrmb.v1i1.35","author":[{"dropping-particle":"","family":"Irvan Muhamad Rizky","given":"Azib","non-dropping-particle":"","parse-names":false,"suffix":""}],"container-title":"Jurnal Riset Manajemen dan Bisnis","id":"ITEM-1","issue":"1","issued":{"date-parts":[["2021"]]},"title":"Pengaruh Pembiayaan Mudharabah, Murabahah dan Musyarakah terhadap Return On Assets","type":"article-journal","volume":"1"},"uris":["http://www.mendeley.com/documents/?uuid=1d146700-693a-4f08-88b7-05a695402379"]}],"mendeley":{"formattedCitation":"Azib Irvan Muhamad Rizky, “Pengaruh Pembiayaan Mudharabah, Murabahah Dan Musyarakah Terhadap Return On Assets,” &lt;i&gt;Jurnal Riset Manajemen Dan Bisnis&lt;/i&gt; 1, no. 1 (2021), https://doi.org/https://doi.org/10.29313/jrmb.v1i1.35.","plainTextFormattedCitation":"Azib Irvan Muhamad Rizky, “Pengaruh Pembiayaan Mudharabah, Murabahah Dan Musyarakah Terhadap Return On Assets,” Jurnal Riset Manajemen Dan Bisnis 1, no. 1 (2021), https://doi.org/https://doi.org/10.29313/jrmb.v1i1.35.","previouslyFormattedCitation":"Azib Irvan Muhamad Rizky, “Pengaruh Pembiayaan Mudharabah, Murabahah Dan Musyarakah Terhadap Return On Assets,” &lt;i&gt;Jurnal Riset Manajemen Dan Bisnis&lt;/i&gt; 1, no. 1 (2021), https://doi.org/https://doi.org/10.29313/jrmb.v1i1.35."},"properties":{"noteIndex":15},"schema":"https://github.com/citation-style-language/schema/raw/master/csl-citation.json"}</w:instrText>
      </w:r>
      <w:r>
        <w:fldChar w:fldCharType="separate"/>
      </w:r>
      <w:r w:rsidRPr="001D702E">
        <w:rPr>
          <w:noProof/>
        </w:rPr>
        <w:t xml:space="preserve">Azib Irvan Muhamad Rizky, “Pengaruh Pembiayaan Mudharabah, Murabahah Dan Musyarakah Terhadap Return On Assets,” </w:t>
      </w:r>
      <w:r w:rsidRPr="001D702E">
        <w:rPr>
          <w:i/>
          <w:noProof/>
        </w:rPr>
        <w:t>Jurnal Riset Manajemen Dan Bisnis</w:t>
      </w:r>
      <w:r w:rsidRPr="001D702E">
        <w:rPr>
          <w:noProof/>
        </w:rPr>
        <w:t xml:space="preserve"> 1, no. 1 (2021), https://doi.org/https://doi.org/10.29313/jrmb.v1i1.35.</w:t>
      </w:r>
      <w:r>
        <w:fldChar w:fldCharType="end"/>
      </w:r>
    </w:p>
  </w:footnote>
  <w:footnote w:id="16">
    <w:p w14:paraId="178DD5D4" w14:textId="77777777" w:rsidR="00FC49E0" w:rsidRPr="00302070" w:rsidRDefault="00FC49E0" w:rsidP="00FC49E0">
      <w:pPr>
        <w:pStyle w:val="FootnoteText"/>
        <w:rPr>
          <w:lang w:val="en-ID"/>
        </w:rPr>
      </w:pPr>
      <w:r w:rsidRPr="009C4103">
        <w:rPr>
          <w:rStyle w:val="FootnoteReference"/>
        </w:rPr>
        <w:footnoteRef/>
      </w:r>
      <w:r>
        <w:t xml:space="preserve"> </w:t>
      </w:r>
      <w:r>
        <w:fldChar w:fldCharType="begin" w:fldLock="1"/>
      </w:r>
      <w:r>
        <w:instrText>ADDIN CSL_CITATION {"citationItems":[{"id":"ITEM-1","itemData":{"author":[{"dropping-particle":"","family":"Tao li, Rong Zhang, Senlin Zhao","given":"Bin Liu","non-dropping-particle":"","parse-names":false,"suffix":""}],"container-title":"Journal of Cleaner Production","id":"ITEM-1","issue":"1","issued":{"date-parts":[["2019"]]},"page":"1462-1477","title":"Low carbon strategy analysis under revenue-sharing and cost-sharing contracts","type":"article-journal","volume":"212"},"uris":["http://www.mendeley.com/documents/?uuid=a6df35c9-32fe-4162-b26c-636f4545a87e"]}],"mendeley":{"formattedCitation":"Bin Liu Tao li, Rong Zhang, Senlin Zhao, “Low Carbon Strategy Analysis under Revenue-Sharing and Cost-Sharing Contracts,” &lt;i&gt;Journal of Cleaner Production&lt;/i&gt; 212, no. 1 (2019): 1462–77.","plainTextFormattedCitation":"Bin Liu Tao li, Rong Zhang, Senlin Zhao, “Low Carbon Strategy Analysis under Revenue-Sharing and Cost-Sharing Contracts,” Journal of Cleaner Production 212, no. 1 (2019): 1462–77.","previouslyFormattedCitation":"Bin Liu Tao li, Rong Zhang, Senlin Zhao, “Low Carbon Strategy Analysis under Revenue-Sharing and Cost-Sharing Contracts,” &lt;i&gt;Journal of Cleaner Production&lt;/i&gt; 212, no. 1 (2019): 1462–77."},"properties":{"noteIndex":16},"schema":"https://github.com/citation-style-language/schema/raw/master/csl-citation.json"}</w:instrText>
      </w:r>
      <w:r>
        <w:fldChar w:fldCharType="separate"/>
      </w:r>
      <w:r w:rsidRPr="00302070">
        <w:rPr>
          <w:noProof/>
        </w:rPr>
        <w:t xml:space="preserve">Bin Liu Tao li, Rong Zhang, Senlin Zhao, “Low Carbon Strategy Analysis under Revenue-Sharing and Cost-Sharing Contracts,” </w:t>
      </w:r>
      <w:r w:rsidRPr="00302070">
        <w:rPr>
          <w:i/>
          <w:noProof/>
        </w:rPr>
        <w:t>Journal of Cleaner Production</w:t>
      </w:r>
      <w:r w:rsidRPr="00302070">
        <w:rPr>
          <w:noProof/>
        </w:rPr>
        <w:t xml:space="preserve"> 212, no. 1 (2019): 1462–77.</w:t>
      </w:r>
      <w:r>
        <w:fldChar w:fldCharType="end"/>
      </w:r>
    </w:p>
  </w:footnote>
  <w:footnote w:id="17">
    <w:p w14:paraId="3750D585" w14:textId="77777777" w:rsidR="00FC49E0" w:rsidRPr="00302070" w:rsidRDefault="00FC49E0" w:rsidP="00FC49E0">
      <w:pPr>
        <w:pStyle w:val="FootnoteText"/>
        <w:rPr>
          <w:lang w:val="en-ID"/>
        </w:rPr>
      </w:pPr>
      <w:r w:rsidRPr="009C4103">
        <w:rPr>
          <w:rStyle w:val="FootnoteReference"/>
        </w:rPr>
        <w:footnoteRef/>
      </w:r>
      <w:r>
        <w:t xml:space="preserve"> </w:t>
      </w:r>
      <w:r>
        <w:fldChar w:fldCharType="begin" w:fldLock="1"/>
      </w:r>
      <w:r>
        <w:instrText>ADDIN CSL_CITATION {"citationItems":[{"id":"ITEM-1","itemData":{"author":[{"dropping-particle":"","family":"Baoqin Yu, Jun Wang, Xinman Lu","given":"Hongtao Yang","non-dropping-particle":"","parse-names":false,"suffix":""}],"container-title":"journal Cleaner Production","id":"ITEM-1","issue":"20","issued":{"date-parts":[["2020"]]},"title":"Collaboration in a low-carbon supply chain with reference emission and cost learning effects: Cost sharing versus revenue sharing strategies","type":"article-journal","volume":"250"},"uris":["http://www.mendeley.com/documents/?uuid=925545e4-05ff-4e34-8035-99c3c814a809"]}],"mendeley":{"formattedCitation":"Hongtao Yang Baoqin Yu, Jun Wang, Xinman Lu, “Collaboration in a Low-Carbon Supply Chain with Reference Emission and Cost Learning Effects: Cost Sharing versus Revenue Sharing Strategies,” &lt;i&gt;Journal Cleaner Production&lt;/i&gt; 250, no. 20 (2020).","plainTextFormattedCitation":"Hongtao Yang Baoqin Yu, Jun Wang, Xinman Lu, “Collaboration in a Low-Carbon Supply Chain with Reference Emission and Cost Learning Effects: Cost Sharing versus Revenue Sharing Strategies,” Journal Cleaner Production 250, no. 20 (2020).","previouslyFormattedCitation":"Hongtao Yang Baoqin Yu, Jun Wang, Xinman Lu, “Collaboration in a Low-Carbon Supply Chain with Reference Emission and Cost Learning Effects: Cost Sharing versus Revenue Sharing Strategies,” &lt;i&gt;Journal Cleaner Production&lt;/i&gt; 250, no. 20 (2020)."},"properties":{"noteIndex":17},"schema":"https://github.com/citation-style-language/schema/raw/master/csl-citation.json"}</w:instrText>
      </w:r>
      <w:r>
        <w:fldChar w:fldCharType="separate"/>
      </w:r>
      <w:r w:rsidRPr="00302070">
        <w:rPr>
          <w:noProof/>
        </w:rPr>
        <w:t xml:space="preserve">Hongtao Yang Baoqin Yu, Jun Wang, Xinman Lu, “Collaboration in a Low-Carbon Supply Chain with Reference Emission and Cost Learning Effects: Cost Sharing versus Revenue Sharing Strategies,” </w:t>
      </w:r>
      <w:r w:rsidRPr="00302070">
        <w:rPr>
          <w:i/>
          <w:noProof/>
        </w:rPr>
        <w:t>Journal Cleaner Production</w:t>
      </w:r>
      <w:r w:rsidRPr="00302070">
        <w:rPr>
          <w:noProof/>
        </w:rPr>
        <w:t xml:space="preserve"> 250, no. 20 (2020).</w:t>
      </w:r>
      <w:r>
        <w:fldChar w:fldCharType="end"/>
      </w:r>
    </w:p>
  </w:footnote>
  <w:footnote w:id="18">
    <w:p w14:paraId="47807309" w14:textId="4A104373" w:rsidR="00D01A36" w:rsidRPr="00D01A36" w:rsidRDefault="00D01A36">
      <w:pPr>
        <w:pStyle w:val="FootnoteText"/>
        <w:rPr>
          <w:lang w:val="en-ID"/>
        </w:rPr>
      </w:pPr>
      <w:r w:rsidRPr="009C4103">
        <w:rPr>
          <w:rStyle w:val="FootnoteReference"/>
        </w:rPr>
        <w:footnoteRef/>
      </w:r>
      <w:r>
        <w:t xml:space="preserve"> </w:t>
      </w:r>
      <w:r>
        <w:fldChar w:fldCharType="begin" w:fldLock="1"/>
      </w:r>
      <w:r w:rsidR="00C6080D">
        <w:instrText>ADDIN CSL_CITATION {"citationItems":[{"id":"ITEM-1","itemData":{"author":[{"dropping-particle":"","family":"Abdullah, Marie and","given":"Septarina Budiwati","non-dropping-particle":"","parse-names":false,"suffix":""}],"id":"ITEM-1","issued":{"date-parts":[["2019"]]},"publisher":"Universitas Muhammadiyah Surakarta.","title":"Analisis Implementasi Supporting Management Pada Perjanjian Franchise Di Markobar","type":"thesis"},"uris":["http://www.mendeley.com/documents/?uuid=1241e61b-7729-41d6-8900-54ac0a0b88f7"]}],"mendeley":{"formattedCitation":"Septarina Budiwati Abdullah, Marie and, “Analisis Implementasi Supporting Management Pada Perjanjian Franchise Di Markobar” (Universitas Muhammadiyah Surakarta., 2019).","plainTextFormattedCitation":"Septarina Budiwati Abdullah, Marie and, “Analisis Implementasi Supporting Management Pada Perjanjian Franchise Di Markobar” (Universitas Muhammadiyah Surakarta., 2019).","previouslyFormattedCitation":"Septarina Budiwati Abdullah, Marie and, “Analisis Implementasi Supporting Management Pada Perjanjian Franchise Di Markobar” (Universitas Muhammadiyah Surakarta., 2019)."},"properties":{"noteIndex":18},"schema":"https://github.com/citation-style-language/schema/raw/master/csl-citation.json"}</w:instrText>
      </w:r>
      <w:r>
        <w:fldChar w:fldCharType="separate"/>
      </w:r>
      <w:r w:rsidRPr="00D01A36">
        <w:rPr>
          <w:noProof/>
        </w:rPr>
        <w:t>Septarina Budiwati Abdullah, Marie and, “Analisis Implementasi Supporting Management Pada Perjanjian Franchise Di Markobar” (Universitas Muhammadiyah Surakarta., 2019).</w:t>
      </w:r>
      <w:r>
        <w:fldChar w:fldCharType="end"/>
      </w:r>
    </w:p>
  </w:footnote>
  <w:footnote w:id="19">
    <w:p w14:paraId="2CF20506" w14:textId="731296AE" w:rsidR="00861A70" w:rsidRPr="00861A70" w:rsidRDefault="00861A70">
      <w:pPr>
        <w:pStyle w:val="FootnoteText"/>
        <w:rPr>
          <w:lang w:val="en-ID"/>
        </w:rPr>
      </w:pPr>
      <w:r w:rsidRPr="009C4103">
        <w:rPr>
          <w:rStyle w:val="FootnoteReference"/>
        </w:rPr>
        <w:footnoteRef/>
      </w:r>
      <w:r>
        <w:t xml:space="preserve"> </w:t>
      </w:r>
      <w:r>
        <w:fldChar w:fldCharType="begin" w:fldLock="1"/>
      </w:r>
      <w:r w:rsidR="00C6080D">
        <w:instrText>ADDIN CSL_CITATION {"citationItems":[{"id":"ITEM-1","itemData":{"DOI":"https://doi.org/10.35794/emba.v6i4.21224","author":[{"dropping-particle":"","family":"Febriano Clinton Polla, Lisbeth . Mananeke","given":"Rita N. Taroreh","non-dropping-particle":"","parse-names":false,"suffix":""}],"container-title":"Jurnal EMBA: Jurnal Riset Ekonomi, Manajemen, Bisnis dan Akuntansi","id":"ITEM-1","issue":"4","issued":{"date-parts":[["2018"]]},"title":"ANALISIS PENGARUH HARGA, PROMOSI, LOKASI DAN KUALITAS PELAYANAN TERHADAP KEPUTUSAN PEMBELIAN PADA PT. INDOMARET MANADO UNIT JALAN SEA","type":"article-journal","volume":"6"},"uris":["http://www.mendeley.com/documents/?uuid=9da2afd2-e761-49f1-b9ec-d5f1b4404ef3"]}],"mendeley":{"formattedCitation":"Rita N. Taroreh Febriano Clinton Polla, Lisbeth . Mananeke, “ANALISIS PENGARUH HARGA, PROMOSI, LOKASI DAN KUALITAS PELAYANAN TERHADAP KEPUTUSAN PEMBELIAN PADA PT. INDOMARET MANADO UNIT JALAN SEA,” &lt;i&gt;Jurnal EMBA: Jurnal Riset Ekonomi, Manajemen, Bisnis Dan Akuntansi&lt;/i&gt; 6, no. 4 (2018), https://doi.org/https://doi.org/10.35794/emba.v6i4.21224.","plainTextFormattedCitation":"Rita N. Taroreh Febriano Clinton Polla, Lisbeth . Mananeke, “ANALISIS PENGARUH HARGA, PROMOSI, LOKASI DAN KUALITAS PELAYANAN TERHADAP KEPUTUSAN PEMBELIAN PADA PT. INDOMARET MANADO UNIT JALAN SEA,” Jurnal EMBA: Jurnal Riset Ekonomi, Manajemen, Bisnis Dan Akuntansi 6, no. 4 (2018), https://doi.org/https://doi.org/10.35794/emba.v6i4.21224.","previouslyFormattedCitation":"Rita N. Taroreh Febriano Clinton Polla, Lisbeth . Mananeke, “ANALISIS PENGARUH HARGA, PROMOSI, LOKASI DAN KUALITAS PELAYANAN TERHADAP KEPUTUSAN PEMBELIAN PADA PT. INDOMARET MANADO UNIT JALAN SEA,” &lt;i&gt;Jurnal EMBA: Jurnal Riset Ekonomi, Manajemen, Bisnis Dan Akuntansi&lt;/i&gt; 6, no. 4 (2018), https://doi.org/https://doi.org/10.35794/emba.v6i4.21224."},"properties":{"noteIndex":19},"schema":"https://github.com/citation-style-language/schema/raw/master/csl-citation.json"}</w:instrText>
      </w:r>
      <w:r>
        <w:fldChar w:fldCharType="separate"/>
      </w:r>
      <w:r w:rsidRPr="00861A70">
        <w:rPr>
          <w:noProof/>
        </w:rPr>
        <w:t xml:space="preserve">Rita N. Taroreh Febriano Clinton Polla, Lisbeth . Mananeke, “ANALISIS PENGARUH HARGA, PROMOSI, LOKASI DAN KUALITAS PELAYANAN TERHADAP KEPUTUSAN PEMBELIAN PADA PT. INDOMARET MANADO UNIT JALAN SEA,” </w:t>
      </w:r>
      <w:r w:rsidRPr="00861A70">
        <w:rPr>
          <w:i/>
          <w:noProof/>
        </w:rPr>
        <w:t>Jurnal EMBA: Jurnal Riset Ekonomi, Manajemen, Bisnis Dan Akuntansi</w:t>
      </w:r>
      <w:r w:rsidRPr="00861A70">
        <w:rPr>
          <w:noProof/>
        </w:rPr>
        <w:t xml:space="preserve"> 6, no. 4 (2018), https://doi.org/https://doi.org/10.35794/emba.v6i4.21224.</w:t>
      </w:r>
      <w:r>
        <w:fldChar w:fldCharType="end"/>
      </w:r>
    </w:p>
  </w:footnote>
  <w:footnote w:id="20">
    <w:p w14:paraId="34F6A5A8" w14:textId="50A47325" w:rsidR="00FC49E0" w:rsidRPr="006D6273" w:rsidRDefault="00FC49E0" w:rsidP="00FC49E0">
      <w:pPr>
        <w:pStyle w:val="FootnoteText"/>
        <w:rPr>
          <w:lang w:val="en-ID"/>
        </w:rPr>
      </w:pPr>
      <w:r w:rsidRPr="009C4103">
        <w:rPr>
          <w:rStyle w:val="FootnoteReference"/>
        </w:rPr>
        <w:footnoteRef/>
      </w:r>
      <w:r>
        <w:t xml:space="preserve"> </w:t>
      </w:r>
      <w:r>
        <w:fldChar w:fldCharType="begin" w:fldLock="1"/>
      </w:r>
      <w:r w:rsidR="00C6080D">
        <w:instrText>ADDIN CSL_CITATION {"citationItems":[{"id":"ITEM-1","itemData":{"DOI":"https://doi.org/10.35194/jhmj.v4i1.350","author":[{"dropping-particle":"","family":"Hermansyah","given":"Hermansyah","non-dropping-particle":"","parse-names":false,"suffix":""}],"container-title":"Jurnal Hukum Mimbar Justitia","id":"ITEM-1","issue":"1","issued":{"date-parts":[["2018"]]},"title":"IMPLEMENTASI METODE BAGI HASIL DENGAN PRINSIP MUDHARABAH PADA BANK SYARIAH DI INDONESIA DIHUBUNGKAN DENGAN FATWA DSN NO. 15/DSN-MUI/IX/2000","type":"article-journal","volume":"4"},"uris":["http://www.mendeley.com/documents/?uuid=f1856bee-0233-4d6c-9b22-019494e45771"]}],"mendeley":{"formattedCitation":"Hermansyah Hermansyah, “IMPLEMENTASI METODE BAGI HASIL DENGAN PRINSIP MUDHARABAH PADA BANK SYARIAH DI INDONESIA DIHUBUNGKAN DENGAN FATWA DSN NO. 15/DSN-MUI/IX/2000,” &lt;i&gt;Jurnal Hukum Mimbar Justitia&lt;/i&gt; 4, no. 1 (2018), https://doi.org/https://doi.org/10.35194/jhmj.v4i1.350.","plainTextFormattedCitation":"Hermansyah Hermansyah, “IMPLEMENTASI METODE BAGI HASIL DENGAN PRINSIP MUDHARABAH PADA BANK SYARIAH DI INDONESIA DIHUBUNGKAN DENGAN FATWA DSN NO. 15/DSN-MUI/IX/2000,” Jurnal Hukum Mimbar Justitia 4, no. 1 (2018), https://doi.org/https://doi.org/10.35194/jhmj.v4i1.350.","previouslyFormattedCitation":"Hermansyah Hermansyah, “IMPLEMENTASI METODE BAGI HASIL DENGAN PRINSIP MUDHARABAH PADA BANK SYARIAH DI INDONESIA DIHUBUNGKAN DENGAN FATWA DSN NO. 15/DSN-MUI/IX/2000,” &lt;i&gt;Jurnal Hukum Mimbar Justitia&lt;/i&gt; 4, no. 1 (2018), https://doi.org/https://doi.org/10.35194/jhmj.v4i1.350."},"properties":{"noteIndex":20},"schema":"https://github.com/citation-style-language/schema/raw/master/csl-citation.json"}</w:instrText>
      </w:r>
      <w:r>
        <w:fldChar w:fldCharType="separate"/>
      </w:r>
      <w:r w:rsidRPr="006D6273">
        <w:rPr>
          <w:noProof/>
        </w:rPr>
        <w:t xml:space="preserve">Hermansyah Hermansyah, “IMPLEMENTASI METODE BAGI HASIL DENGAN PRINSIP MUDHARABAH PADA BANK SYARIAH DI INDONESIA DIHUBUNGKAN DENGAN FATWA DSN NO. 15/DSN-MUI/IX/2000,” </w:t>
      </w:r>
      <w:r w:rsidRPr="006D6273">
        <w:rPr>
          <w:i/>
          <w:noProof/>
        </w:rPr>
        <w:t>Jurnal Hukum Mimbar Justitia</w:t>
      </w:r>
      <w:r w:rsidRPr="006D6273">
        <w:rPr>
          <w:noProof/>
        </w:rPr>
        <w:t xml:space="preserve"> 4, no. 1 (2018), https://doi.org/https://doi.org/10.35194/jhmj.v4i1.350.</w:t>
      </w:r>
      <w:r>
        <w:fldChar w:fldCharType="end"/>
      </w:r>
    </w:p>
  </w:footnote>
  <w:footnote w:id="21">
    <w:p w14:paraId="753DFB77" w14:textId="0B3D9618" w:rsidR="00FC49E0" w:rsidRPr="00B6009C" w:rsidRDefault="00FC49E0" w:rsidP="00FC49E0">
      <w:pPr>
        <w:pStyle w:val="FootnoteText"/>
        <w:rPr>
          <w:lang w:val="en-ID"/>
        </w:rPr>
      </w:pPr>
      <w:r w:rsidRPr="009C4103">
        <w:rPr>
          <w:rStyle w:val="FootnoteReference"/>
        </w:rPr>
        <w:footnoteRef/>
      </w:r>
      <w:r>
        <w:t xml:space="preserve"> </w:t>
      </w:r>
      <w:r>
        <w:fldChar w:fldCharType="begin" w:fldLock="1"/>
      </w:r>
      <w:r w:rsidR="00C6080D">
        <w:instrText>ADDIN CSL_CITATION {"citationItems":[{"id":"ITEM-1","itemData":{"author":[{"dropping-particle":"","family":"Sultoni","given":"Hasan","non-dropping-particle":"","parse-names":false,"suffix":""}],"container-title":"Jurnal Eksyar","id":"ITEM-1","issue":"1","issued":{"date-parts":[["2018"]]},"page":"1-19","title":"TINJAUAN KRITIS HADITS TENTANG PRINSIP DISTRIBUSI (REVENUE SHARING DAN PROFIT SHARING) DALAM FATWA DSN-MUI NO 15/DSN-MUI/IX/2000","type":"article-journal","volume":"5"},"uris":["http://www.mendeley.com/documents/?uuid=d6615431-19fe-4218-9697-bb6cf2ff6e15"]}],"mendeley":{"formattedCitation":"Hasan Sultoni, “TINJAUAN KRITIS HADITS TENTANG PRINSIP DISTRIBUSI (REVENUE SHARING DAN PROFIT SHARING) DALAM FATWA DSN-MUI NO 15/DSN-MUI/IX/2000,” &lt;i&gt;Jurnal Eksyar&lt;/i&gt; 5, no. 1 (2018): 1–19.","manualFormatting":"Hasan Sultoni, “Tinjauan Kritis Hadits Tentang Prinsip Distribusi (Revenue Sharing Dan Profit Sharing) Dalam Fatwa DSN-MUI NO 15/DSN-MUI/IX/2000,” Jurnal Eksyar 5, no. 1 (2018): 1–19.","plainTextFormattedCitation":"Hasan Sultoni, “TINJAUAN KRITIS HADITS TENTANG PRINSIP DISTRIBUSI (REVENUE SHARING DAN PROFIT SHARING) DALAM FATWA DSN-MUI NO 15/DSN-MUI/IX/2000,” Jurnal Eksyar 5, no. 1 (2018): 1–19.","previouslyFormattedCitation":"Hasan Sultoni, “TINJAUAN KRITIS HADITS TENTANG PRINSIP DISTRIBUSI (REVENUE SHARING DAN PROFIT SHARING) DALAM FATWA DSN-MUI NO 15/DSN-MUI/IX/2000,” &lt;i&gt;Jurnal Eksyar&lt;/i&gt; 5, no. 1 (2018): 1–19."},"properties":{"noteIndex":21},"schema":"https://github.com/citation-style-language/schema/raw/master/csl-citation.json"}</w:instrText>
      </w:r>
      <w:r>
        <w:fldChar w:fldCharType="separate"/>
      </w:r>
      <w:r w:rsidRPr="00B6009C">
        <w:rPr>
          <w:noProof/>
        </w:rPr>
        <w:t>Hasan Sultoni, “</w:t>
      </w:r>
      <w:r w:rsidR="00995F29" w:rsidRPr="00B6009C">
        <w:rPr>
          <w:noProof/>
        </w:rPr>
        <w:t>Tinjauan Kritis Hadits Tentang Prinsip Distribusi (Revenue Sharing Dan Profit Sharing) Dalam Fatwa</w:t>
      </w:r>
      <w:r w:rsidRPr="00B6009C">
        <w:rPr>
          <w:noProof/>
        </w:rPr>
        <w:t xml:space="preserve"> DSN-MUI NO 15/DSN-MUI/IX/2000,” </w:t>
      </w:r>
      <w:r w:rsidRPr="00B6009C">
        <w:rPr>
          <w:i/>
          <w:noProof/>
        </w:rPr>
        <w:t>Jurnal Eksyar</w:t>
      </w:r>
      <w:r w:rsidRPr="00B6009C">
        <w:rPr>
          <w:noProof/>
        </w:rPr>
        <w:t xml:space="preserve"> 5, no. 1 (2018): 1–19.</w:t>
      </w:r>
      <w:r>
        <w:fldChar w:fldCharType="end"/>
      </w:r>
    </w:p>
  </w:footnote>
  <w:footnote w:id="22">
    <w:p w14:paraId="65E4F179" w14:textId="44EA5A81" w:rsidR="00FC49E0" w:rsidRPr="00C84B5B" w:rsidRDefault="00FC49E0" w:rsidP="00FC49E0">
      <w:pPr>
        <w:pStyle w:val="FootnoteText"/>
        <w:rPr>
          <w:lang w:val="en-ID"/>
        </w:rPr>
      </w:pPr>
      <w:r w:rsidRPr="009C4103">
        <w:rPr>
          <w:rStyle w:val="FootnoteReference"/>
        </w:rPr>
        <w:footnoteRef/>
      </w:r>
      <w:r>
        <w:t xml:space="preserve"> </w:t>
      </w:r>
      <w:r>
        <w:fldChar w:fldCharType="begin" w:fldLock="1"/>
      </w:r>
      <w:r w:rsidR="00C6080D">
        <w:instrText>ADDIN CSL_CITATION {"citationItems":[{"id":"ITEM-1","itemData":{"DOI":"http://dx.doi.org/10.29240/disclosure.v1i1.2932","author":[{"dropping-particle":"","family":"Ranaswijaya","given":"Ranaswijaya","non-dropping-particle":"","parse-names":false,"suffix":""}],"container-title":"Disclosure: Journal of Accounting And Finance","id":"ITEM-1","issue":"1","issued":{"date-parts":[["2021"]]},"page":"2021","title":"Implementasi Konsep Bagi Hasil Produk Pembiayaan Ditinjau Dari Fatwa DSN-MUI Nomor 14 DAN 15 Tahun 2000 (Study Kasus Bank Syariah Mandiri KCP Curup)","type":"article-journal","volume":"1"},"uris":["http://www.mendeley.com/documents/?uuid=6bd480e3-7eeb-4dfb-9252-43bef46ecee4"]}],"mendeley":{"formattedCitation":"Ranaswijaya Ranaswijaya, “Implementasi Konsep Bagi Hasil Produk Pembiayaan Ditinjau Dari Fatwa DSN-MUI Nomor 14 DAN 15 Tahun 2000 (Study Kasus Bank Syariah Mandiri KCP Curup),” &lt;i&gt;Disclosure: Journal of Accounting And Finance&lt;/i&gt; 1, no. 1 (2021): 2021, https://doi.org/http://dx.doi.org/10.29240/disclosure.v1i1.2932.","plainTextFormattedCitation":"Ranaswijaya Ranaswijaya, “Implementasi Konsep Bagi Hasil Produk Pembiayaan Ditinjau Dari Fatwa DSN-MUI Nomor 14 DAN 15 Tahun 2000 (Study Kasus Bank Syariah Mandiri KCP Curup),” Disclosure: Journal of Accounting And Finance 1, no. 1 (2021): 2021, https://doi.org/http://dx.doi.org/10.29240/disclosure.v1i1.2932.","previouslyFormattedCitation":"Ranaswijaya Ranaswijaya, “Implementasi Konsep Bagi Hasil Produk Pembiayaan Ditinjau Dari Fatwa DSN-MUI Nomor 14 DAN 15 Tahun 2000 (Study Kasus Bank Syariah Mandiri KCP Curup),” &lt;i&gt;Disclosure: Journal of Accounting And Finance&lt;/i&gt; 1, no. 1 (2021): 2021, https://doi.org/http://dx.doi.org/10.29240/disclosure.v1i1.2932."},"properties":{"noteIndex":22},"schema":"https://github.com/citation-style-language/schema/raw/master/csl-citation.json"}</w:instrText>
      </w:r>
      <w:r>
        <w:fldChar w:fldCharType="separate"/>
      </w:r>
      <w:r w:rsidRPr="00C84B5B">
        <w:rPr>
          <w:noProof/>
        </w:rPr>
        <w:t xml:space="preserve">Ranaswijaya Ranaswijaya, “Implementasi Konsep Bagi Hasil Produk Pembiayaan Ditinjau Dari Fatwa DSN-MUI Nomor 14 DAN 15 Tahun 2000 (Study Kasus Bank Syariah Mandiri KCP Curup),” </w:t>
      </w:r>
      <w:r w:rsidRPr="00C84B5B">
        <w:rPr>
          <w:i/>
          <w:noProof/>
        </w:rPr>
        <w:t>Disclosure: Journal of Accounting And Finance</w:t>
      </w:r>
      <w:r w:rsidRPr="00C84B5B">
        <w:rPr>
          <w:noProof/>
        </w:rPr>
        <w:t xml:space="preserve"> 1, no. 1 (2021): 2021, https://doi.org/http://dx.doi.org/10.29240/disclosure.v1i1.2932.</w:t>
      </w:r>
      <w:r>
        <w:fldChar w:fldCharType="end"/>
      </w:r>
    </w:p>
  </w:footnote>
  <w:footnote w:id="23">
    <w:p w14:paraId="1B10A8DE" w14:textId="355E4B93" w:rsidR="00FC49E0" w:rsidRPr="005412C9" w:rsidRDefault="00FC49E0" w:rsidP="00FC49E0">
      <w:pPr>
        <w:pStyle w:val="FootnoteText"/>
        <w:rPr>
          <w:lang w:val="en-ID"/>
        </w:rPr>
      </w:pPr>
      <w:r w:rsidRPr="009C4103">
        <w:rPr>
          <w:rStyle w:val="FootnoteReference"/>
        </w:rPr>
        <w:footnoteRef/>
      </w:r>
      <w:r>
        <w:t xml:space="preserve"> </w:t>
      </w:r>
      <w:r>
        <w:fldChar w:fldCharType="begin" w:fldLock="1"/>
      </w:r>
      <w:r w:rsidR="00C6080D">
        <w:instrText>ADDIN CSL_CITATION {"citationItems":[{"id":"ITEM-1","itemData":{"DOI":"http://dx.doi.org/10.30983/alhurriyah.v5i2.3366","author":[{"dropping-particle":"","family":"Awaluddin Awaluddin","given":"Andis Febrian","non-dropping-particle":"","parse-names":false,"suffix":""}],"container-title":"Al Hurriyah: Jurnal Hukum Islam","id":"ITEM-1","issue":"2","issued":{"date-parts":[["2020"]]},"title":"Kedudukan Fatwa DSN-MUI dalam Transaksi Keuangan pada Lembaga Keuangan Syariah di Indonesia","type":"article-journal","volume":"5"},"uris":["http://www.mendeley.com/documents/?uuid=2ab4afef-925a-4bd2-8991-dfabfe8d0ead"]}],"mendeley":{"formattedCitation":"Andis Febrian Awaluddin Awaluddin, “Kedudukan Fatwa DSN-MUI Dalam Transaksi Keuangan Pada Lembaga Keuangan Syariah Di Indonesia,” &lt;i&gt;Al Hurriyah: Jurnal Hukum Islam&lt;/i&gt; 5, no. 2 (2020), https://doi.org/http://dx.doi.org/10.30983/alhurriyah.v5i2.3366.","plainTextFormattedCitation":"Andis Febrian Awaluddin Awaluddin, “Kedudukan Fatwa DSN-MUI Dalam Transaksi Keuangan Pada Lembaga Keuangan Syariah Di Indonesia,” Al Hurriyah: Jurnal Hukum Islam 5, no. 2 (2020), https://doi.org/http://dx.doi.org/10.30983/alhurriyah.v5i2.3366.","previouslyFormattedCitation":"Andis Febrian Awaluddin Awaluddin, “Kedudukan Fatwa DSN-MUI Dalam Transaksi Keuangan Pada Lembaga Keuangan Syariah Di Indonesia,” &lt;i&gt;Al Hurriyah: Jurnal Hukum Islam&lt;/i&gt; 5, no. 2 (2020), https://doi.org/http://dx.doi.org/10.30983/alhurriyah.v5i2.3366."},"properties":{"noteIndex":23},"schema":"https://github.com/citation-style-language/schema/raw/master/csl-citation.json"}</w:instrText>
      </w:r>
      <w:r>
        <w:fldChar w:fldCharType="separate"/>
      </w:r>
      <w:r w:rsidRPr="005412C9">
        <w:rPr>
          <w:noProof/>
        </w:rPr>
        <w:t xml:space="preserve">Andis Febrian Awaluddin Awaluddin, “Kedudukan Fatwa DSN-MUI Dalam Transaksi Keuangan Pada Lembaga Keuangan Syariah Di Indonesia,” </w:t>
      </w:r>
      <w:r w:rsidRPr="005412C9">
        <w:rPr>
          <w:i/>
          <w:noProof/>
        </w:rPr>
        <w:t>Al Hurriyah: Jurnal Hukum Islam</w:t>
      </w:r>
      <w:r w:rsidRPr="005412C9">
        <w:rPr>
          <w:noProof/>
        </w:rPr>
        <w:t xml:space="preserve"> 5, no. 2 (2020), https://doi.org/http://dx.doi.org/10.30983/alhurriyah.v5i2.3366.</w:t>
      </w:r>
      <w:r>
        <w:fldChar w:fldCharType="end"/>
      </w:r>
    </w:p>
  </w:footnote>
  <w:footnote w:id="24">
    <w:p w14:paraId="364C70E8" w14:textId="508A6FCA" w:rsidR="00DF0DA3" w:rsidRPr="00DF0DA3" w:rsidRDefault="00DF0DA3">
      <w:pPr>
        <w:pStyle w:val="FootnoteText"/>
        <w:rPr>
          <w:lang w:val="en-ID"/>
        </w:rPr>
      </w:pPr>
      <w:r w:rsidRPr="009C4103">
        <w:rPr>
          <w:rStyle w:val="FootnoteReference"/>
        </w:rPr>
        <w:footnoteRef/>
      </w:r>
      <w:r>
        <w:t xml:space="preserve"> </w:t>
      </w:r>
      <w:r>
        <w:fldChar w:fldCharType="begin" w:fldLock="1"/>
      </w:r>
      <w:r w:rsidR="00C6080D">
        <w:instrText>ADDIN CSL_CITATION {"citationItems":[{"id":"ITEM-1","itemData":{"author":[{"dropping-particle":"","family":"Norvadewi","given":"Akhmad Nur Zaroni","non-dropping-particle":"","parse-names":false,"suffix":""}],"container-title":"AL TIJANI: Jurnal Ekonomi dan Bisnis Islam","id":"ITEM-1","issue":"2","issued":{"date-parts":[["2019"]]},"title":"Pengaruh Service quality Terhadap Kepuasan Nasabah Bank Syariah","type":"article-journal","volume":"4"},"uris":["http://www.mendeley.com/documents/?uuid=d16e462c-0a04-4482-8020-19e5b453df1b"]}],"mendeley":{"formattedCitation":"Akhmad Nur Zaroni Norvadewi, “Pengaruh Service Quality Terhadap Kepuasan Nasabah Bank Syariah,” &lt;i&gt;AL TIJANI: Jurnal Ekonomi Dan Bisnis Islam&lt;/i&gt; 4, no. 2 (2019).","plainTextFormattedCitation":"Akhmad Nur Zaroni Norvadewi, “Pengaruh Service Quality Terhadap Kepuasan Nasabah Bank Syariah,” AL TIJANI: Jurnal Ekonomi Dan Bisnis Islam 4, no. 2 (2019).","previouslyFormattedCitation":"Akhmad Nur Zaroni Norvadewi, “Pengaruh Service Quality Terhadap Kepuasan Nasabah Bank Syariah,” &lt;i&gt;AL TIJANI: Jurnal Ekonomi Dan Bisnis Islam&lt;/i&gt; 4, no. 2 (2019)."},"properties":{"noteIndex":24},"schema":"https://github.com/citation-style-language/schema/raw/master/csl-citation.json"}</w:instrText>
      </w:r>
      <w:r>
        <w:fldChar w:fldCharType="separate"/>
      </w:r>
      <w:r w:rsidRPr="00DF0DA3">
        <w:rPr>
          <w:noProof/>
        </w:rPr>
        <w:t xml:space="preserve">Akhmad Nur Zaroni Norvadewi, “Pengaruh Service Quality Terhadap Kepuasan Nasabah Bank Syariah,” </w:t>
      </w:r>
      <w:r w:rsidRPr="00DF0DA3">
        <w:rPr>
          <w:i/>
          <w:noProof/>
        </w:rPr>
        <w:t>AL TIJANI: Jurnal Ekonomi Dan Bisnis Islam</w:t>
      </w:r>
      <w:r w:rsidRPr="00DF0DA3">
        <w:rPr>
          <w:noProof/>
        </w:rPr>
        <w:t xml:space="preserve"> 4, no. 2 (2019).</w:t>
      </w:r>
      <w:r>
        <w:fldChar w:fldCharType="end"/>
      </w:r>
    </w:p>
  </w:footnote>
  <w:footnote w:id="25">
    <w:p w14:paraId="73F8905C" w14:textId="7389B317" w:rsidR="00995F29" w:rsidRPr="00011244" w:rsidRDefault="00995F29" w:rsidP="00995F29">
      <w:pPr>
        <w:pStyle w:val="FootnoteText"/>
        <w:rPr>
          <w:lang w:val="en-ID"/>
        </w:rPr>
      </w:pPr>
      <w:r w:rsidRPr="009C4103">
        <w:rPr>
          <w:rStyle w:val="FootnoteReference"/>
        </w:rPr>
        <w:footnoteRef/>
      </w:r>
      <w:r>
        <w:t xml:space="preserve"> </w:t>
      </w:r>
      <w:r>
        <w:fldChar w:fldCharType="begin" w:fldLock="1"/>
      </w:r>
      <w:r w:rsidR="00C6080D">
        <w:instrText>ADDIN CSL_CITATION {"citationItems":[{"id":"ITEM-1","itemData":{"author":[{"dropping-particle":"","family":"Khairi","given":"Awalul","non-dropping-particle":"","parse-names":false,"suffix":""}],"container-title":"Journal Of Science Education And Managements Business","id":"ITEM-1","issue":"1","issued":{"date-parts":[["2021"]]},"title":"Analisis Industri Ritel Di Kota Padang Tanpa Keberadaan Dua Waralaba Ritel Indomaret Dan Alfamart","type":"article-journal","volume":"1"},"uris":["http://www.mendeley.com/documents/?uuid=f47c16a5-4585-4a55-a687-a3fbce56336b"]}],"mendeley":{"formattedCitation":"Awalul Khairi, “Analisis Industri Ritel Di Kota Padang Tanpa Keberadaan Dua Waralaba Ritel Indomaret Dan Alfamart,” &lt;i&gt;Journal Of Science Education And Managements Business&lt;/i&gt; 1, no. 1 (2021).","plainTextFormattedCitation":"Awalul Khairi, “Analisis Industri Ritel Di Kota Padang Tanpa Keberadaan Dua Waralaba Ritel Indomaret Dan Alfamart,” Journal Of Science Education And Managements Business 1, no. 1 (2021).","previouslyFormattedCitation":"Awalul Khairi, “Analisis Industri Ritel Di Kota Padang Tanpa Keberadaan Dua Waralaba Ritel Indomaret Dan Alfamart,” &lt;i&gt;Journal Of Science Education And Managements Business&lt;/i&gt; 1, no. 1 (2021)."},"properties":{"noteIndex":25},"schema":"https://github.com/citation-style-language/schema/raw/master/csl-citation.json"}</w:instrText>
      </w:r>
      <w:r>
        <w:fldChar w:fldCharType="separate"/>
      </w:r>
      <w:r w:rsidRPr="00011244">
        <w:rPr>
          <w:noProof/>
        </w:rPr>
        <w:t xml:space="preserve">Awalul Khairi, “Analisis Industri Ritel Di Kota Padang Tanpa Keberadaan Dua Waralaba Ritel Indomaret Dan Alfamart,” </w:t>
      </w:r>
      <w:r w:rsidRPr="00011244">
        <w:rPr>
          <w:i/>
          <w:noProof/>
        </w:rPr>
        <w:t>Journal Of Science Education And Managements Business</w:t>
      </w:r>
      <w:r w:rsidRPr="00011244">
        <w:rPr>
          <w:noProof/>
        </w:rPr>
        <w:t xml:space="preserve"> 1, no. 1 (2021).</w:t>
      </w:r>
      <w:r>
        <w:fldChar w:fldCharType="end"/>
      </w:r>
    </w:p>
  </w:footnote>
  <w:footnote w:id="26">
    <w:p w14:paraId="21C6FE0E" w14:textId="202528C8" w:rsidR="00995F29" w:rsidRPr="002027EE" w:rsidRDefault="00995F29" w:rsidP="00995F29">
      <w:pPr>
        <w:pStyle w:val="FootnoteText"/>
        <w:rPr>
          <w:lang w:val="en-ID"/>
        </w:rPr>
      </w:pPr>
      <w:r w:rsidRPr="009C4103">
        <w:rPr>
          <w:rStyle w:val="FootnoteReference"/>
        </w:rPr>
        <w:footnoteRef/>
      </w:r>
      <w:r>
        <w:t xml:space="preserve"> </w:t>
      </w:r>
      <w:r>
        <w:fldChar w:fldCharType="begin" w:fldLock="1"/>
      </w:r>
      <w:r w:rsidR="00C6080D">
        <w:instrText>ADDIN CSL_CITATION {"citationItems":[{"id":"ITEM-1","itemData":{"DOI":"https://doi.org/10.23887/jkh.v7i1.31457","author":[{"dropping-particle":"","family":"Hari Sutra Disemadi","given":"cindy Kang","non-dropping-particle":"","parse-names":false,"suffix":""}],"container-title":"Jurnal Komunikasi Hukum","id":"ITEM-1","issue":"1","issued":{"date-parts":[["2021"]]},"page":"87","title":"Tantangan Penegakan Hukum Hak Kekayaan Intelektual dalam Pengembangan Ekonomi Kreatif di Era Revolusi Industri 4.0","type":"article-journal","volume":"7"},"uris":["http://www.mendeley.com/documents/?uuid=e5a728ce-1ce4-415a-9d49-5972fd1b4cec"]}],"mendeley":{"formattedCitation":"cindy Kang Hari Sutra Disemadi, “Tantangan Penegakan Hukum Hak Kekayaan Intelektual Dalam Pengembangan Ekonomi Kreatif Di Era Revolusi Industri 4.0,” &lt;i&gt;Jurnal Komunikasi Hukum&lt;/i&gt; 7, no. 1 (2021): 87, https://doi.org/https://doi.org/10.23887/jkh.v7i1.31457.","plainTextFormattedCitation":"cindy Kang Hari Sutra Disemadi, “Tantangan Penegakan Hukum Hak Kekayaan Intelektual Dalam Pengembangan Ekonomi Kreatif Di Era Revolusi Industri 4.0,” Jurnal Komunikasi Hukum 7, no. 1 (2021): 87, https://doi.org/https://doi.org/10.23887/jkh.v7i1.31457.","previouslyFormattedCitation":"cindy Kang Hari Sutra Disemadi, “Tantangan Penegakan Hukum Hak Kekayaan Intelektual Dalam Pengembangan Ekonomi Kreatif Di Era Revolusi Industri 4.0,” &lt;i&gt;Jurnal Komunikasi Hukum&lt;/i&gt; 7, no. 1 (2021): 87, https://doi.org/https://doi.org/10.23887/jkh.v7i1.31457."},"properties":{"noteIndex":26},"schema":"https://github.com/citation-style-language/schema/raw/master/csl-citation.json"}</w:instrText>
      </w:r>
      <w:r>
        <w:fldChar w:fldCharType="separate"/>
      </w:r>
      <w:r w:rsidRPr="002027EE">
        <w:rPr>
          <w:noProof/>
        </w:rPr>
        <w:t xml:space="preserve">cindy Kang Hari Sutra Disemadi, “Tantangan Penegakan Hukum Hak Kekayaan Intelektual Dalam Pengembangan Ekonomi Kreatif Di Era Revolusi Industri 4.0,” </w:t>
      </w:r>
      <w:r w:rsidRPr="002027EE">
        <w:rPr>
          <w:i/>
          <w:noProof/>
        </w:rPr>
        <w:t>Jurnal Komunikasi Hukum</w:t>
      </w:r>
      <w:r w:rsidRPr="002027EE">
        <w:rPr>
          <w:noProof/>
        </w:rPr>
        <w:t xml:space="preserve"> 7, no. 1 (2021): 87, https://doi.org/https://doi.org/10.23887/jkh.v7i1.31457.</w:t>
      </w:r>
      <w:r>
        <w:fldChar w:fldCharType="end"/>
      </w:r>
    </w:p>
  </w:footnote>
  <w:footnote w:id="27">
    <w:p w14:paraId="6A0D1076" w14:textId="297EDB5F" w:rsidR="00995F29" w:rsidRPr="00790AF5" w:rsidRDefault="00995F29" w:rsidP="00995F29">
      <w:pPr>
        <w:pStyle w:val="FootnoteText"/>
        <w:rPr>
          <w:lang w:val="en-ID"/>
        </w:rPr>
      </w:pPr>
      <w:r w:rsidRPr="009C4103">
        <w:rPr>
          <w:rStyle w:val="FootnoteReference"/>
        </w:rPr>
        <w:footnoteRef/>
      </w:r>
      <w:r>
        <w:t xml:space="preserve"> </w:t>
      </w:r>
      <w:r>
        <w:fldChar w:fldCharType="begin" w:fldLock="1"/>
      </w:r>
      <w:r w:rsidR="00C6080D">
        <w:instrText>ADDIN CSL_CITATION {"citationItems":[{"id":"ITEM-1","itemData":{"author":[{"dropping-particle":"","family":"Tanjung","given":"Annisyah Amelia Hafni","non-dropping-particle":"","parse-names":false,"suffix":""}],"id":"ITEM-1","issued":{"date-parts":[["2020"]]},"publisher":"Universitas Umatera Utara","title":"Perlindungan Hukum terhadap Pelaku Usaha Pasar Tradisional Terkait Keberadaan Pasar Ritel Modern dengan Pola Waralaba (Studi di Barus, Tapanuli Tengah)","type":"thesis"},"uris":["http://www.mendeley.com/documents/?uuid=903d4adb-7df5-4c8a-b1a6-8186afef2709"]}],"mendeley":{"formattedCitation":"Annisyah Amelia Hafni Tanjung, “Perlindungan Hukum Terhadap Pelaku Usaha Pasar Tradisional Terkait Keberadaan Pasar Ritel Modern Dengan Pola Waralaba (Studi Di Barus, Tapanuli Tengah)” (Universitas Umatera Utara, 2020).","plainTextFormattedCitation":"Annisyah Amelia Hafni Tanjung, “Perlindungan Hukum Terhadap Pelaku Usaha Pasar Tradisional Terkait Keberadaan Pasar Ritel Modern Dengan Pola Waralaba (Studi Di Barus, Tapanuli Tengah)” (Universitas Umatera Utara, 2020).","previouslyFormattedCitation":"Annisyah Amelia Hafni Tanjung, “Perlindungan Hukum Terhadap Pelaku Usaha Pasar Tradisional Terkait Keberadaan Pasar Ritel Modern Dengan Pola Waralaba (Studi Di Barus, Tapanuli Tengah)” (Universitas Umatera Utara, 2020)."},"properties":{"noteIndex":27},"schema":"https://github.com/citation-style-language/schema/raw/master/csl-citation.json"}</w:instrText>
      </w:r>
      <w:r>
        <w:fldChar w:fldCharType="separate"/>
      </w:r>
      <w:r w:rsidRPr="00790AF5">
        <w:rPr>
          <w:noProof/>
        </w:rPr>
        <w:t>Annisyah Amelia Hafni Tanjung, “Perlindungan Hukum Terhadap Pelaku Usaha Pasar Tradisional Terkait Keberadaan Pasar Ritel Modern Dengan Pola Waralaba (Studi Di Barus, Tapanuli Tengah)” (Universitas Umatera Utara, 2020).</w:t>
      </w:r>
      <w:r>
        <w:fldChar w:fldCharType="end"/>
      </w:r>
    </w:p>
  </w:footnote>
  <w:footnote w:id="28">
    <w:p w14:paraId="123D739C" w14:textId="5F993BDF" w:rsidR="00995F29" w:rsidRPr="00527FE2" w:rsidRDefault="00995F29" w:rsidP="00995F29">
      <w:pPr>
        <w:pStyle w:val="FootnoteText"/>
        <w:rPr>
          <w:lang w:val="en-ID"/>
        </w:rPr>
      </w:pPr>
      <w:r w:rsidRPr="009C4103">
        <w:rPr>
          <w:rStyle w:val="FootnoteReference"/>
        </w:rPr>
        <w:footnoteRef/>
      </w:r>
      <w:r>
        <w:t xml:space="preserve"> </w:t>
      </w:r>
      <w:r>
        <w:fldChar w:fldCharType="begin" w:fldLock="1"/>
      </w:r>
      <w:r w:rsidR="00C6080D">
        <w:instrText>ADDIN CSL_CITATION {"citationItems":[{"id":"ITEM-1","itemData":{"DOI":"https://doi.org/10.37477/sev.v3i2.181","author":[{"dropping-particle":"","family":"Santosa","given":"Eko Budi","non-dropping-particle":"","parse-names":false,"suffix":""}],"container-title":"Sapientia et Virtus","id":"ITEM-1","issue":"2","issued":{"date-parts":[["3"]]},"title":"Perjanjian Waralaba Dalam Kegiatan Jenis Usaha Ritel","type":"article-journal","volume":"3"},"uris":["http://www.mendeley.com/documents/?uuid=b1803bfb-fb36-4f68-b503-34e621c4f704"]}],"mendeley":{"formattedCitation":"Eko Budi Santosa, “Perjanjian Waralaba Dalam Kegiatan Jenis Usaha Ritel,” &lt;i&gt;Sapientia et Virtus&lt;/i&gt; 3, no. 2 (3AD), https://doi.org/https://doi.org/10.37477/sev.v3i2.181.","plainTextFormattedCitation":"Eko Budi Santosa, “Perjanjian Waralaba Dalam Kegiatan Jenis Usaha Ritel,” Sapientia et Virtus 3, no. 2 (3AD), https://doi.org/https://doi.org/10.37477/sev.v3i2.181.","previouslyFormattedCitation":"Eko Budi Santosa, “Perjanjian Waralaba Dalam Kegiatan Jenis Usaha Ritel,” &lt;i&gt;Sapientia et Virtus&lt;/i&gt; 3, no. 2 (3AD), https://doi.org/https://doi.org/10.37477/sev.v3i2.181."},"properties":{"noteIndex":28},"schema":"https://github.com/citation-style-language/schema/raw/master/csl-citation.json"}</w:instrText>
      </w:r>
      <w:r>
        <w:fldChar w:fldCharType="separate"/>
      </w:r>
      <w:r w:rsidRPr="00527FE2">
        <w:rPr>
          <w:noProof/>
        </w:rPr>
        <w:t xml:space="preserve">Eko Budi Santosa, “Perjanjian Waralaba Dalam Kegiatan Jenis Usaha Ritel,” </w:t>
      </w:r>
      <w:r w:rsidRPr="00527FE2">
        <w:rPr>
          <w:i/>
          <w:noProof/>
        </w:rPr>
        <w:t>Sapientia et Virtus</w:t>
      </w:r>
      <w:r w:rsidRPr="00527FE2">
        <w:rPr>
          <w:noProof/>
        </w:rPr>
        <w:t xml:space="preserve"> 3, no. 2 (3AD), https://doi.org/https://doi.org/10.37477/sev.v3i2.181.</w:t>
      </w:r>
      <w:r>
        <w:fldChar w:fldCharType="end"/>
      </w:r>
    </w:p>
  </w:footnote>
  <w:footnote w:id="29">
    <w:p w14:paraId="5A88DAFF" w14:textId="78184261" w:rsidR="00995F29" w:rsidRPr="00A100C6" w:rsidRDefault="00995F29" w:rsidP="00995F29">
      <w:pPr>
        <w:pStyle w:val="FootnoteText"/>
        <w:rPr>
          <w:lang w:val="en-ID"/>
        </w:rPr>
      </w:pPr>
      <w:r w:rsidRPr="009C4103">
        <w:rPr>
          <w:rStyle w:val="FootnoteReference"/>
        </w:rPr>
        <w:footnoteRef/>
      </w:r>
      <w:r>
        <w:t xml:space="preserve"> </w:t>
      </w:r>
      <w:r>
        <w:fldChar w:fldCharType="begin" w:fldLock="1"/>
      </w:r>
      <w:r w:rsidR="00C6080D">
        <w:instrText>ADDIN CSL_CITATION {"citationItems":[{"id":"ITEM-1","itemData":{"DOI":"https://doi.org/10.36701/nukhbah.v7i1.296","author":[{"dropping-particle":"","family":"Andi Nur Afifah, Sohrah","given":"Muslimin Kara","non-dropping-particle":"","parse-names":false,"suffix":""}],"container-title":"Nuhkbatul 'Ulum: Jurnal Bidang Kajian","id":"ITEM-1","issue":"1","issued":{"date-parts":[["2021"]]},"title":"Royalty Fee Bisnis Waralaba Ritel di Kota Makassar dalam Perspektif Hukum Ekonomi Syariah Royalty Fee of Retail Franchise Business in the City of Makassar at Perspective of Sharia Economic Law","type":"article-journal","volume":"7"},"uris":["http://www.mendeley.com/documents/?uuid=7301b5f0-930c-4d70-b306-8215aec26f69"]}],"mendeley":{"formattedCitation":"Muslimin Kara Andi Nur Afifah, Sohrah, “Royalty Fee Bisnis Waralaba Ritel Di Kota Makassar Dalam Perspektif Hukum Ekonomi Syariah Royalty Fee of Retail Franchise Business in the City of Makassar at Perspective of Sharia Economic Law,” &lt;i&gt;Nuhkbatul ’Ulum: Jurnal Bidang Kajian&lt;/i&gt; 7, no. 1 (2021), https://doi.org/https://doi.org/10.36701/nukhbah.v7i1.296.","plainTextFormattedCitation":"Muslimin Kara Andi Nur Afifah, Sohrah, “Royalty Fee Bisnis Waralaba Ritel Di Kota Makassar Dalam Perspektif Hukum Ekonomi Syariah Royalty Fee of Retail Franchise Business in the City of Makassar at Perspective of Sharia Economic Law,” Nuhkbatul ’Ulum: Jurnal Bidang Kajian 7, no. 1 (2021), https://doi.org/https://doi.org/10.36701/nukhbah.v7i1.296.","previouslyFormattedCitation":"Muslimin Kara Andi Nur Afifah, Sohrah, “Royalty Fee Bisnis Waralaba Ritel Di Kota Makassar Dalam Perspektif Hukum Ekonomi Syariah Royalty Fee of Retail Franchise Business in the City of Makassar at Perspective of Sharia Economic Law,” &lt;i&gt;Nuhkbatul ’Ulum: Jurnal Bidang Kajian&lt;/i&gt; 7, no. 1 (2021), https://doi.org/https://doi.org/10.36701/nukhbah.v7i1.296."},"properties":{"noteIndex":29},"schema":"https://github.com/citation-style-language/schema/raw/master/csl-citation.json"}</w:instrText>
      </w:r>
      <w:r>
        <w:fldChar w:fldCharType="separate"/>
      </w:r>
      <w:r w:rsidRPr="00A100C6">
        <w:rPr>
          <w:noProof/>
        </w:rPr>
        <w:t xml:space="preserve">Muslimin Kara Andi Nur Afifah, Sohrah, “Royalty Fee Bisnis Waralaba Ritel Di Kota Makassar Dalam Perspektif Hukum Ekonomi Syariah Royalty Fee of Retail Franchise Business in the City of Makassar at Perspective of Sharia Economic Law,” </w:t>
      </w:r>
      <w:r w:rsidRPr="00A100C6">
        <w:rPr>
          <w:i/>
          <w:noProof/>
        </w:rPr>
        <w:t>Nuhkbatul ’Ulum: Jurnal Bidang Kajian</w:t>
      </w:r>
      <w:r w:rsidRPr="00A100C6">
        <w:rPr>
          <w:noProof/>
        </w:rPr>
        <w:t xml:space="preserve"> 7, no. 1 (2021), https://doi.org/https://doi.org/10.36701/nukhbah.v7i1.296.</w:t>
      </w:r>
      <w:r>
        <w:fldChar w:fldCharType="end"/>
      </w:r>
    </w:p>
  </w:footnote>
  <w:footnote w:id="30">
    <w:p w14:paraId="4F4652BC" w14:textId="27DDD203" w:rsidR="00995F29" w:rsidRPr="001F6581" w:rsidRDefault="00995F29" w:rsidP="00995F29">
      <w:pPr>
        <w:pStyle w:val="FootnoteText"/>
        <w:rPr>
          <w:lang w:val="en-ID"/>
        </w:rPr>
      </w:pPr>
      <w:r w:rsidRPr="009C4103">
        <w:rPr>
          <w:rStyle w:val="FootnoteReference"/>
        </w:rPr>
        <w:footnoteRef/>
      </w:r>
      <w:r>
        <w:t xml:space="preserve"> </w:t>
      </w:r>
      <w:r>
        <w:fldChar w:fldCharType="begin" w:fldLock="1"/>
      </w:r>
      <w:r w:rsidR="00C6080D">
        <w:instrText>ADDIN CSL_CITATION {"citationItems":[{"id":"ITEM-1","itemData":{"author":[{"dropping-particle":"","family":"Baharun","given":"Hasan","non-dropping-particle":"","parse-names":false,"suffix":""},{"dropping-particle":"","family":"Niswa","given":"Harisatun","non-dropping-particle":"","parse-names":false,"suffix":""}],"container-title":"INFERENSI: Jurnal Penelitian Sosial Keagamaan","id":"ITEM-1","issue":"1","issued":{"date-parts":[["2019"]]},"page":"75-98","title":"Syariah Branding ; Komodifikasi Agama Dalam Bisnis Waralaba di Era Revolusi Industri 4 . 0 Cyber Physical System ( CPS ) dan Internet of Things and Services sertamampu menaikkan efsiensi manufaktur dan kualitas produk . dunia perekonomian di Indonesia . D","type":"article-journal","volume":"13"},"uris":["http://www.mendeley.com/documents/?uuid=d817d215-3f6d-4b8d-9abc-0fbef74618ba"]}],"mendeley":{"formattedCitation":"Baharun and Niswa, “Syariah Branding ; Komodifikasi Agama Dalam Bisnis Waralaba Di Era Revolusi Industri 4 . 0 Cyber Physical System ( CPS ) Dan Internet of Things and Services Sertamampu Menaikkan Efsiensi Manufaktur Dan Kualitas Produk . Dunia Perekonomian Di Indonesia . D.”","plainTextFormattedCitation":"Baharun and Niswa, “Syariah Branding ; Komodifikasi Agama Dalam Bisnis Waralaba Di Era Revolusi Industri 4 . 0 Cyber Physical System ( CPS ) Dan Internet of Things and Services Sertamampu Menaikkan Efsiensi Manufaktur Dan Kualitas Produk . Dunia Perekonomian Di Indonesia . D.”","previouslyFormattedCitation":"Baharun and Niswa, “Syariah Branding ; Komodifikasi Agama Dalam Bisnis Waralaba Di Era Revolusi Industri 4 . 0 Cyber Physical System ( CPS ) Dan Internet of Things and Services Sertamampu Menaikkan Efsiensi Manufaktur Dan Kualitas Produk . Dunia Perekonomian Di Indonesia . D.”"},"properties":{"noteIndex":30},"schema":"https://github.com/citation-style-language/schema/raw/master/csl-citation.json"}</w:instrText>
      </w:r>
      <w:r>
        <w:fldChar w:fldCharType="separate"/>
      </w:r>
      <w:r w:rsidRPr="001F6581">
        <w:rPr>
          <w:noProof/>
        </w:rPr>
        <w:t>Baharun and Niswa, “Syariah Branding ; Komodifikasi Agama Dalam Bisnis Waralaba Di Era Revolusi Industri 4 . 0 Cyber Physical System ( CPS ) Dan Internet of Things and Services Sertamampu Menaikkan Efsiensi Manufaktur Dan Kualitas Produk . Dunia Perekonomian Di Indonesia . D.”</w:t>
      </w:r>
      <w:r>
        <w:fldChar w:fldCharType="end"/>
      </w:r>
    </w:p>
  </w:footnote>
  <w:footnote w:id="31">
    <w:p w14:paraId="57E0D7ED" w14:textId="75736137" w:rsidR="00995F29" w:rsidRPr="00100678" w:rsidRDefault="00995F29" w:rsidP="00995F29">
      <w:pPr>
        <w:pStyle w:val="FootnoteText"/>
        <w:rPr>
          <w:lang w:val="en-ID"/>
        </w:rPr>
      </w:pPr>
      <w:r w:rsidRPr="009C4103">
        <w:rPr>
          <w:rStyle w:val="FootnoteReference"/>
        </w:rPr>
        <w:footnoteRef/>
      </w:r>
      <w:r>
        <w:t xml:space="preserve"> </w:t>
      </w:r>
      <w:r>
        <w:fldChar w:fldCharType="begin" w:fldLock="1"/>
      </w:r>
      <w:r w:rsidR="00C6080D">
        <w:instrText>ADDIN CSL_CITATION {"citationItems":[{"id":"ITEM-1","itemData":{"DOI":"http://dx.doi.org/10.26532/jh.v26i2.210","author":[{"dropping-particle":"","family":"Hanim","given":"Lathifah","non-dropping-particle":"","parse-names":false,"suffix":""}],"container-title":"Jurnal Hukum","id":"ITEM-1","issue":"2","issued":{"date-parts":[["2011"]]},"title":"PERLINDUNGAN HUKUM HaKI DALAM PERJANJIAN WARALABA DI INDONESIA","type":"article-journal","volume":"26"},"uris":["http://www.mendeley.com/documents/?uuid=3fad2791-a2b0-472c-939f-e5ca57d69486"]}],"mendeley":{"formattedCitation":"Lathifah Hanim, “PERLINDUNGAN HUKUM HaKI DALAM PERJANJIAN WARALABA DI INDONESIA,” &lt;i&gt;Jurnal Hukum&lt;/i&gt; 26, no. 2 (2011), https://doi.org/http://dx.doi.org/10.26532/jh.v26i2.210.","plainTextFormattedCitation":"Lathifah Hanim, “PERLINDUNGAN HUKUM HaKI DALAM PERJANJIAN WARALABA DI INDONESIA,” Jurnal Hukum 26, no. 2 (2011), https://doi.org/http://dx.doi.org/10.26532/jh.v26i2.210.","previouslyFormattedCitation":"Lathifah Hanim, “PERLINDUNGAN HUKUM HaKI DALAM PERJANJIAN WARALABA DI INDONESIA,” &lt;i&gt;Jurnal Hukum&lt;/i&gt; 26, no. 2 (2011), https://doi.org/http://dx.doi.org/10.26532/jh.v26i2.210."},"properties":{"noteIndex":31},"schema":"https://github.com/citation-style-language/schema/raw/master/csl-citation.json"}</w:instrText>
      </w:r>
      <w:r>
        <w:fldChar w:fldCharType="separate"/>
      </w:r>
      <w:r w:rsidRPr="00100678">
        <w:rPr>
          <w:noProof/>
        </w:rPr>
        <w:t xml:space="preserve">Lathifah Hanim, “PERLINDUNGAN HUKUM HaKI DALAM PERJANJIAN WARALABA DI INDONESIA,” </w:t>
      </w:r>
      <w:r w:rsidRPr="00100678">
        <w:rPr>
          <w:i/>
          <w:noProof/>
        </w:rPr>
        <w:t>Jurnal Hukum</w:t>
      </w:r>
      <w:r w:rsidRPr="00100678">
        <w:rPr>
          <w:noProof/>
        </w:rPr>
        <w:t xml:space="preserve"> 26, no. 2 (2011), https://doi.org/http://dx.doi.org/10.26532/jh.v26i2.210.</w:t>
      </w:r>
      <w:r>
        <w:fldChar w:fldCharType="end"/>
      </w:r>
    </w:p>
  </w:footnote>
  <w:footnote w:id="32">
    <w:p w14:paraId="1E67A98E" w14:textId="7574C83E" w:rsidR="00C6080D" w:rsidRPr="00C6080D" w:rsidRDefault="00C6080D">
      <w:pPr>
        <w:pStyle w:val="FootnoteText"/>
        <w:rPr>
          <w:lang w:val="en-ID"/>
        </w:rPr>
      </w:pPr>
      <w:r w:rsidRPr="009C4103">
        <w:rPr>
          <w:rStyle w:val="FootnoteReference"/>
        </w:rPr>
        <w:footnoteRef/>
      </w:r>
      <w:r>
        <w:t xml:space="preserve"> </w:t>
      </w:r>
      <w:r>
        <w:fldChar w:fldCharType="begin" w:fldLock="1"/>
      </w:r>
      <w:r w:rsidR="00600574">
        <w:instrText>ADDIN CSL_CITATION {"citationItems":[{"id":"ITEM-1","itemData":{"author":[{"dropping-particle":"","family":"Purnomo","given":"Listiya Ike","non-dropping-particle":"","parse-names":false,"suffix":""}],"container-title":"Jurnal Akuntansi Berkelanjutan Indonesia","id":"ITEM-1","issue":"1","issued":{"date-parts":[["2018"]]},"page":"83","title":"Pengaruh Intellectual Capital Terhadap Profitabilitas Pada Perusahaan Industri Jasa Sektor Properti Dan Real Estate Di Bursa Efek Indonesia Tahun 2011-2015","type":"article-journal","volume":"1"},"uris":["http://www.mendeley.com/documents/?uuid=68bfd605-6ef4-4a09-b10a-67cde5501ae2"]}],"mendeley":{"formattedCitation":"Listiya Ike Purnomo, “Pengaruh Intellectual Capital Terhadap Profitabilitas Pada Perusahaan Industri Jasa Sektor Properti Dan Real Estate Di Bursa Efek Indonesia Tahun 2011-2015,” &lt;i&gt;Jurnal Akuntansi Berkelanjutan Indonesia&lt;/i&gt; 1, no. 1 (2018): 83.","plainTextFormattedCitation":"Listiya Ike Purnomo, “Pengaruh Intellectual Capital Terhadap Profitabilitas Pada Perusahaan Industri Jasa Sektor Properti Dan Real Estate Di Bursa Efek Indonesia Tahun 2011-2015,” Jurnal Akuntansi Berkelanjutan Indonesia 1, no. 1 (2018): 83.","previouslyFormattedCitation":"Listiya Ike Purnomo, “Pengaruh Intellectual Capital Terhadap Profitabilitas Pada Perusahaan Industri Jasa Sektor Properti Dan Real Estate Di Bursa Efek Indonesia Tahun 2011-2015,” &lt;i&gt;Jurnal Akuntansi Berkelanjutan Indonesia&lt;/i&gt; 1, no. 1 (2018): 83."},"properties":{"noteIndex":32},"schema":"https://github.com/citation-style-language/schema/raw/master/csl-citation.json"}</w:instrText>
      </w:r>
      <w:r>
        <w:fldChar w:fldCharType="separate"/>
      </w:r>
      <w:r w:rsidRPr="00C6080D">
        <w:rPr>
          <w:noProof/>
        </w:rPr>
        <w:t xml:space="preserve">Listiya Ike Purnomo, “Pengaruh Intellectual Capital Terhadap Profitabilitas Pada Perusahaan Industri Jasa Sektor Properti Dan Real Estate Di Bursa Efek Indonesia Tahun 2011-2015,” </w:t>
      </w:r>
      <w:r w:rsidRPr="00C6080D">
        <w:rPr>
          <w:i/>
          <w:noProof/>
        </w:rPr>
        <w:t>Jurnal Akuntansi Berkelanjutan Indonesia</w:t>
      </w:r>
      <w:r w:rsidRPr="00C6080D">
        <w:rPr>
          <w:noProof/>
        </w:rPr>
        <w:t xml:space="preserve"> 1, no. 1 (2018): 83.</w:t>
      </w:r>
      <w:r>
        <w:fldChar w:fldCharType="end"/>
      </w:r>
    </w:p>
  </w:footnote>
  <w:footnote w:id="33">
    <w:p w14:paraId="5FCBBD63" w14:textId="7040DD11" w:rsidR="00C6080D" w:rsidRPr="00C6080D" w:rsidRDefault="00C6080D">
      <w:pPr>
        <w:pStyle w:val="FootnoteText"/>
        <w:rPr>
          <w:lang w:val="en-ID"/>
        </w:rPr>
      </w:pPr>
      <w:r w:rsidRPr="009C4103">
        <w:rPr>
          <w:rStyle w:val="FootnoteReference"/>
        </w:rPr>
        <w:footnoteRef/>
      </w:r>
      <w:r>
        <w:t xml:space="preserve"> </w:t>
      </w:r>
      <w:r>
        <w:fldChar w:fldCharType="begin" w:fldLock="1"/>
      </w:r>
      <w:r>
        <w:instrText>ADDIN CSL_CITATION {"citationItems":[{"id":"ITEM-1","itemData":{"abstract":"Revolusi Industri 4.0 membawa banyak perubahan dalam segala bidang kehidupan. System Otomatisasi yang diimplimentasikan melalui revolusi ini salah satunya berdampak terhadap transformasi pelayanan public yang terjadi pada seluruh elemen pemerintahan …","author":[{"dropping-particle":"","family":"Febrianti","given":"V S","non-dropping-particle":"","parse-names":false,"suffix":""},{"dropping-particle":"","family":"Khuroydi","given":"I","non-dropping-particle":"","parse-names":false,"suffix":""},{"dropping-particle":"","family":"Setiawan","given":"Angga","non-dropping-particle":"","parse-names":false,"suffix":""}],"container-title":"Prosiding Simposium Nasional","id":"ITEM-1","issued":{"date-parts":[["2020"]]},"page":"464-492","title":"Transformasi Pelayanan Publik Melalui Digital Governance (Studi Pendayagunaan Website Rampak Pintar Di Desa Kesambi Rampak Situbondo)","type":"article-journal"},"uris":["http://www.mendeley.com/documents/?uuid=5054f498-43b1-47ec-8404-99779f86c607"]}],"mendeley":{"formattedCitation":"V S Febrianti, I Khuroydi, and Angga Setiawan, “Transformasi Pelayanan Publik Melalui Digital Governance (Studi Pendayagunaan Website Rampak Pintar Di Desa Kesambi Rampak Situbondo),” &lt;i&gt;Prosiding Simposium Nasional&lt;/i&gt;, 2020, 464–92.","plainTextFormattedCitation":"V S Febrianti, I Khuroydi, and Angga Setiawan, “Transformasi Pelayanan Publik Melalui Digital Governance (Studi Pendayagunaan Website Rampak Pintar Di Desa Kesambi Rampak Situbondo),” Prosiding Simposium Nasional, 2020, 464–92.","previouslyFormattedCitation":"V S Febrianti, I Khuroydi, and Angga Setiawan, “Transformasi Pelayanan Publik Melalui Digital Governance (Studi Pendayagunaan Website Rampak Pintar Di Desa Kesambi Rampak Situbondo),” &lt;i&gt;Prosiding Simposium Nasional&lt;/i&gt;, 2020, 464–92."},"properties":{"noteIndex":33},"schema":"https://github.com/citation-style-language/schema/raw/master/csl-citation.json"}</w:instrText>
      </w:r>
      <w:r>
        <w:fldChar w:fldCharType="separate"/>
      </w:r>
      <w:r w:rsidRPr="00C6080D">
        <w:rPr>
          <w:noProof/>
        </w:rPr>
        <w:t xml:space="preserve">V S Febrianti, I Khuroydi, and Angga Setiawan, “Transformasi Pelayanan Publik Melalui Digital Governance (Studi Pendayagunaan Website Rampak Pintar Di Desa Kesambi Rampak Situbondo),” </w:t>
      </w:r>
      <w:r w:rsidRPr="00C6080D">
        <w:rPr>
          <w:i/>
          <w:noProof/>
        </w:rPr>
        <w:t>Prosiding Simposium Nasional</w:t>
      </w:r>
      <w:r w:rsidRPr="00C6080D">
        <w:rPr>
          <w:noProof/>
        </w:rPr>
        <w:t>, 2020, 464–92.</w:t>
      </w:r>
      <w:r>
        <w:fldChar w:fldCharType="end"/>
      </w:r>
    </w:p>
  </w:footnote>
  <w:footnote w:id="34">
    <w:p w14:paraId="67C892EF" w14:textId="0A49CD4F" w:rsidR="00995F29" w:rsidRPr="004A1F39" w:rsidRDefault="00995F29" w:rsidP="00995F29">
      <w:pPr>
        <w:pStyle w:val="FootnoteText"/>
        <w:rPr>
          <w:lang w:val="en-ID"/>
        </w:rPr>
      </w:pPr>
      <w:r w:rsidRPr="009C4103">
        <w:rPr>
          <w:rStyle w:val="FootnoteReference"/>
        </w:rPr>
        <w:footnoteRef/>
      </w:r>
      <w:r>
        <w:t xml:space="preserve"> </w:t>
      </w:r>
      <w:r>
        <w:fldChar w:fldCharType="begin" w:fldLock="1"/>
      </w:r>
      <w:r w:rsidR="00C6080D">
        <w:instrText>ADDIN CSL_CITATION {"citationItems":[{"id":"ITEM-1","itemData":{"author":[{"dropping-particle":"","family":"Damayanti","given":"Evi","non-dropping-particle":"","parse-names":false,"suffix":""}],"container-title":"Az Zarqa': Jurnal Hukum Bisnis Islam","id":"ITEM-1","issue":"2","issued":{"date-parts":[["2019"]]},"title":"Tinjauan Hukum Islam terhadap Eksistensi Minimarket Alfamart dan Indomaret di Indonesia","type":"article-journal","volume":"11"},"uris":["http://www.mendeley.com/documents/?uuid=e09b8c0c-cd70-46df-aece-5c6c99ca27a4"]}],"mendeley":{"formattedCitation":"Evi Damayanti, “Tinjauan Hukum Islam Terhadap Eksistensi Minimarket Alfamart Dan Indomaret Di Indonesia,” &lt;i&gt;Az Zarqa’: Jurnal Hukum Bisnis Islam&lt;/i&gt; 11, no. 2 (2019).","plainTextFormattedCitation":"Evi Damayanti, “Tinjauan Hukum Islam Terhadap Eksistensi Minimarket Alfamart Dan Indomaret Di Indonesia,” Az Zarqa’: Jurnal Hukum Bisnis Islam 11, no. 2 (2019).","previouslyFormattedCitation":"Evi Damayanti, “Tinjauan Hukum Islam Terhadap Eksistensi Minimarket Alfamart Dan Indomaret Di Indonesia,” &lt;i&gt;Az Zarqa’: Jurnal Hukum Bisnis Islam&lt;/i&gt; 11, no. 2 (2019)."},"properties":{"noteIndex":34},"schema":"https://github.com/citation-style-language/schema/raw/master/csl-citation.json"}</w:instrText>
      </w:r>
      <w:r>
        <w:fldChar w:fldCharType="separate"/>
      </w:r>
      <w:r w:rsidRPr="004A1F39">
        <w:rPr>
          <w:noProof/>
        </w:rPr>
        <w:t xml:space="preserve">Evi Damayanti, “Tinjauan Hukum Islam Terhadap Eksistensi Minimarket Alfamart Dan Indomaret Di Indonesia,” </w:t>
      </w:r>
      <w:r w:rsidRPr="004A1F39">
        <w:rPr>
          <w:i/>
          <w:noProof/>
        </w:rPr>
        <w:t>Az Zarqa’: Jurnal Hukum Bisnis Islam</w:t>
      </w:r>
      <w:r w:rsidRPr="004A1F39">
        <w:rPr>
          <w:noProof/>
        </w:rPr>
        <w:t xml:space="preserve"> 11, no. 2 (2019).</w:t>
      </w:r>
      <w:r>
        <w:fldChar w:fldCharType="end"/>
      </w:r>
    </w:p>
  </w:footnote>
  <w:footnote w:id="35">
    <w:p w14:paraId="14B9D3FC" w14:textId="3A8A09D5" w:rsidR="00995F29" w:rsidRPr="00AB35CB" w:rsidRDefault="00995F29" w:rsidP="00995F29">
      <w:pPr>
        <w:pStyle w:val="FootnoteText"/>
        <w:rPr>
          <w:lang w:val="en-ID"/>
        </w:rPr>
      </w:pPr>
      <w:r w:rsidRPr="009C4103">
        <w:rPr>
          <w:rStyle w:val="FootnoteReference"/>
        </w:rPr>
        <w:footnoteRef/>
      </w:r>
      <w:r>
        <w:t xml:space="preserve"> </w:t>
      </w:r>
      <w:r>
        <w:fldChar w:fldCharType="begin" w:fldLock="1"/>
      </w:r>
      <w:r w:rsidR="00C6080D">
        <w:instrText>ADDIN CSL_CITATION {"citationItems":[{"id":"ITEM-1","itemData":{"author":[{"dropping-particle":"","family":"Lestario","given":"Febrilian","non-dropping-particle":"","parse-names":false,"suffix":""}],"container-title":"Jurnal Manajemen Tools","id":"ITEM-1","issue":"1","issued":{"date-parts":[["2017"]]},"title":"DAMPAK PERTUMBUHAN BISNIS FRANCHISE WARALABA MINIMARKET TERHADAP PERKEMBANGAN KEDAI TRADISIONAL DI KOTA BINJAI","type":"article-journal","volume":"7"},"uris":["http://www.mendeley.com/documents/?uuid=29c73ff5-f896-4fe9-a7a2-634603217a5d"]}],"mendeley":{"formattedCitation":"Febrilian Lestario, “DAMPAK PERTUMBUHAN BISNIS FRANCHISE WARALABA MINIMARKET TERHADAP PERKEMBANGAN KEDAI TRADISIONAL DI KOTA BINJAI,” &lt;i&gt;Jurnal Manajemen Tools&lt;/i&gt; 7, no. 1 (2017).","plainTextFormattedCitation":"Febrilian Lestario, “DAMPAK PERTUMBUHAN BISNIS FRANCHISE WARALABA MINIMARKET TERHADAP PERKEMBANGAN KEDAI TRADISIONAL DI KOTA BINJAI,” Jurnal Manajemen Tools 7, no. 1 (2017).","previouslyFormattedCitation":"Febrilian Lestario, “DAMPAK PERTUMBUHAN BISNIS FRANCHISE WARALABA MINIMARKET TERHADAP PERKEMBANGAN KEDAI TRADISIONAL DI KOTA BINJAI,” &lt;i&gt;Jurnal Manajemen Tools&lt;/i&gt; 7, no. 1 (2017)."},"properties":{"noteIndex":35},"schema":"https://github.com/citation-style-language/schema/raw/master/csl-citation.json"}</w:instrText>
      </w:r>
      <w:r>
        <w:fldChar w:fldCharType="separate"/>
      </w:r>
      <w:r w:rsidRPr="00AB35CB">
        <w:rPr>
          <w:noProof/>
        </w:rPr>
        <w:t xml:space="preserve">Febrilian Lestario, “DAMPAK PERTUMBUHAN BISNIS FRANCHISE WARALABA MINIMARKET TERHADAP PERKEMBANGAN KEDAI TRADISIONAL DI KOTA BINJAI,” </w:t>
      </w:r>
      <w:r w:rsidRPr="00AB35CB">
        <w:rPr>
          <w:i/>
          <w:noProof/>
        </w:rPr>
        <w:t>Jurnal Manajemen Tools</w:t>
      </w:r>
      <w:r w:rsidRPr="00AB35CB">
        <w:rPr>
          <w:noProof/>
        </w:rPr>
        <w:t xml:space="preserve"> 7, no. 1 (2017).</w:t>
      </w:r>
      <w: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83798"/>
    <w:multiLevelType w:val="hybridMultilevel"/>
    <w:tmpl w:val="89E0E0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A2958"/>
    <w:multiLevelType w:val="hybridMultilevel"/>
    <w:tmpl w:val="B12218CE"/>
    <w:lvl w:ilvl="0" w:tplc="0409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D8F4F7E"/>
    <w:multiLevelType w:val="hybridMultilevel"/>
    <w:tmpl w:val="95649D10"/>
    <w:lvl w:ilvl="0" w:tplc="04090015">
      <w:start w:val="2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935E4"/>
    <w:multiLevelType w:val="hybridMultilevel"/>
    <w:tmpl w:val="3D8EF4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2D28C8"/>
    <w:multiLevelType w:val="hybridMultilevel"/>
    <w:tmpl w:val="9440F620"/>
    <w:lvl w:ilvl="0" w:tplc="04090017">
      <w:start w:val="1"/>
      <w:numFmt w:val="lowerLetter"/>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5" w15:restartNumberingAfterBreak="0">
    <w:nsid w:val="11BE5E19"/>
    <w:multiLevelType w:val="hybridMultilevel"/>
    <w:tmpl w:val="6B62EF80"/>
    <w:lvl w:ilvl="0" w:tplc="04090011">
      <w:start w:val="1"/>
      <w:numFmt w:val="decimal"/>
      <w:lvlText w:val="%1)"/>
      <w:lvlJc w:val="left"/>
      <w:pPr>
        <w:ind w:left="1920" w:hanging="360"/>
      </w:p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6" w15:restartNumberingAfterBreak="0">
    <w:nsid w:val="1B8E3A8F"/>
    <w:multiLevelType w:val="hybridMultilevel"/>
    <w:tmpl w:val="874613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A292E13"/>
    <w:multiLevelType w:val="hybridMultilevel"/>
    <w:tmpl w:val="16DAED6C"/>
    <w:lvl w:ilvl="0" w:tplc="E296294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2AB75CE9"/>
    <w:multiLevelType w:val="hybridMultilevel"/>
    <w:tmpl w:val="4A16B6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131ECC"/>
    <w:multiLevelType w:val="hybridMultilevel"/>
    <w:tmpl w:val="78DAA8E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4E979B7"/>
    <w:multiLevelType w:val="hybridMultilevel"/>
    <w:tmpl w:val="81C8526E"/>
    <w:lvl w:ilvl="0" w:tplc="86DE7C2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096209"/>
    <w:multiLevelType w:val="hybridMultilevel"/>
    <w:tmpl w:val="9768FAA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E38227A"/>
    <w:multiLevelType w:val="hybridMultilevel"/>
    <w:tmpl w:val="0F383F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2B1882"/>
    <w:multiLevelType w:val="hybridMultilevel"/>
    <w:tmpl w:val="E27666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92B4662"/>
    <w:multiLevelType w:val="hybridMultilevel"/>
    <w:tmpl w:val="980C94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92709F"/>
    <w:multiLevelType w:val="hybridMultilevel"/>
    <w:tmpl w:val="9940CCBC"/>
    <w:lvl w:ilvl="0" w:tplc="04090019">
      <w:start w:val="1"/>
      <w:numFmt w:val="lowerLetter"/>
      <w:lvlText w:val="%1."/>
      <w:lvlJc w:val="left"/>
      <w:pPr>
        <w:ind w:left="-1098" w:hanging="360"/>
      </w:pPr>
    </w:lvl>
    <w:lvl w:ilvl="1" w:tplc="04090019">
      <w:start w:val="1"/>
      <w:numFmt w:val="lowerLetter"/>
      <w:lvlText w:val="%2."/>
      <w:lvlJc w:val="left"/>
      <w:pPr>
        <w:ind w:left="-378" w:hanging="360"/>
      </w:pPr>
    </w:lvl>
    <w:lvl w:ilvl="2" w:tplc="0409001B" w:tentative="1">
      <w:start w:val="1"/>
      <w:numFmt w:val="lowerRoman"/>
      <w:lvlText w:val="%3."/>
      <w:lvlJc w:val="right"/>
      <w:pPr>
        <w:ind w:left="342" w:hanging="180"/>
      </w:pPr>
    </w:lvl>
    <w:lvl w:ilvl="3" w:tplc="0409000F" w:tentative="1">
      <w:start w:val="1"/>
      <w:numFmt w:val="decimal"/>
      <w:lvlText w:val="%4."/>
      <w:lvlJc w:val="left"/>
      <w:pPr>
        <w:ind w:left="1062" w:hanging="360"/>
      </w:pPr>
    </w:lvl>
    <w:lvl w:ilvl="4" w:tplc="04090019" w:tentative="1">
      <w:start w:val="1"/>
      <w:numFmt w:val="lowerLetter"/>
      <w:lvlText w:val="%5."/>
      <w:lvlJc w:val="left"/>
      <w:pPr>
        <w:ind w:left="1782" w:hanging="360"/>
      </w:pPr>
    </w:lvl>
    <w:lvl w:ilvl="5" w:tplc="0409001B" w:tentative="1">
      <w:start w:val="1"/>
      <w:numFmt w:val="lowerRoman"/>
      <w:lvlText w:val="%6."/>
      <w:lvlJc w:val="right"/>
      <w:pPr>
        <w:ind w:left="2502" w:hanging="180"/>
      </w:pPr>
    </w:lvl>
    <w:lvl w:ilvl="6" w:tplc="0409000F" w:tentative="1">
      <w:start w:val="1"/>
      <w:numFmt w:val="decimal"/>
      <w:lvlText w:val="%7."/>
      <w:lvlJc w:val="left"/>
      <w:pPr>
        <w:ind w:left="3222" w:hanging="360"/>
      </w:pPr>
    </w:lvl>
    <w:lvl w:ilvl="7" w:tplc="04090019" w:tentative="1">
      <w:start w:val="1"/>
      <w:numFmt w:val="lowerLetter"/>
      <w:lvlText w:val="%8."/>
      <w:lvlJc w:val="left"/>
      <w:pPr>
        <w:ind w:left="3942" w:hanging="360"/>
      </w:pPr>
    </w:lvl>
    <w:lvl w:ilvl="8" w:tplc="0409001B" w:tentative="1">
      <w:start w:val="1"/>
      <w:numFmt w:val="lowerRoman"/>
      <w:lvlText w:val="%9."/>
      <w:lvlJc w:val="right"/>
      <w:pPr>
        <w:ind w:left="4662" w:hanging="180"/>
      </w:pPr>
    </w:lvl>
  </w:abstractNum>
  <w:abstractNum w:abstractNumId="16" w15:restartNumberingAfterBreak="0">
    <w:nsid w:val="51A86C68"/>
    <w:multiLevelType w:val="hybridMultilevel"/>
    <w:tmpl w:val="2C366ED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6E01A30"/>
    <w:multiLevelType w:val="hybridMultilevel"/>
    <w:tmpl w:val="127C8190"/>
    <w:lvl w:ilvl="0" w:tplc="FBF815F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000239"/>
    <w:multiLevelType w:val="hybridMultilevel"/>
    <w:tmpl w:val="94B2ED1C"/>
    <w:lvl w:ilvl="0" w:tplc="0E74E0B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977039"/>
    <w:multiLevelType w:val="hybridMultilevel"/>
    <w:tmpl w:val="F2788A68"/>
    <w:lvl w:ilvl="0" w:tplc="0409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78006B15"/>
    <w:multiLevelType w:val="hybridMultilevel"/>
    <w:tmpl w:val="F266FC7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E3F0061"/>
    <w:multiLevelType w:val="hybridMultilevel"/>
    <w:tmpl w:val="87B843EC"/>
    <w:lvl w:ilvl="0" w:tplc="04090017">
      <w:start w:val="1"/>
      <w:numFmt w:val="lowerLetter"/>
      <w:lvlText w:val="%1)"/>
      <w:lvlJc w:val="left"/>
      <w:pPr>
        <w:ind w:left="-209" w:hanging="360"/>
      </w:pPr>
    </w:lvl>
    <w:lvl w:ilvl="1" w:tplc="04090019">
      <w:start w:val="1"/>
      <w:numFmt w:val="lowerLetter"/>
      <w:lvlText w:val="%2."/>
      <w:lvlJc w:val="left"/>
      <w:pPr>
        <w:ind w:left="511" w:hanging="360"/>
      </w:pPr>
    </w:lvl>
    <w:lvl w:ilvl="2" w:tplc="0409001B" w:tentative="1">
      <w:start w:val="1"/>
      <w:numFmt w:val="lowerRoman"/>
      <w:lvlText w:val="%3."/>
      <w:lvlJc w:val="right"/>
      <w:pPr>
        <w:ind w:left="1231" w:hanging="180"/>
      </w:pPr>
    </w:lvl>
    <w:lvl w:ilvl="3" w:tplc="0409000F" w:tentative="1">
      <w:start w:val="1"/>
      <w:numFmt w:val="decimal"/>
      <w:lvlText w:val="%4."/>
      <w:lvlJc w:val="left"/>
      <w:pPr>
        <w:ind w:left="1951" w:hanging="360"/>
      </w:pPr>
    </w:lvl>
    <w:lvl w:ilvl="4" w:tplc="04090019" w:tentative="1">
      <w:start w:val="1"/>
      <w:numFmt w:val="lowerLetter"/>
      <w:lvlText w:val="%5."/>
      <w:lvlJc w:val="left"/>
      <w:pPr>
        <w:ind w:left="2671" w:hanging="360"/>
      </w:pPr>
    </w:lvl>
    <w:lvl w:ilvl="5" w:tplc="0409001B" w:tentative="1">
      <w:start w:val="1"/>
      <w:numFmt w:val="lowerRoman"/>
      <w:lvlText w:val="%6."/>
      <w:lvlJc w:val="right"/>
      <w:pPr>
        <w:ind w:left="3391" w:hanging="180"/>
      </w:pPr>
    </w:lvl>
    <w:lvl w:ilvl="6" w:tplc="0409000F" w:tentative="1">
      <w:start w:val="1"/>
      <w:numFmt w:val="decimal"/>
      <w:lvlText w:val="%7."/>
      <w:lvlJc w:val="left"/>
      <w:pPr>
        <w:ind w:left="4111" w:hanging="360"/>
      </w:pPr>
    </w:lvl>
    <w:lvl w:ilvl="7" w:tplc="04090019" w:tentative="1">
      <w:start w:val="1"/>
      <w:numFmt w:val="lowerLetter"/>
      <w:lvlText w:val="%8."/>
      <w:lvlJc w:val="left"/>
      <w:pPr>
        <w:ind w:left="4831" w:hanging="360"/>
      </w:pPr>
    </w:lvl>
    <w:lvl w:ilvl="8" w:tplc="0409001B" w:tentative="1">
      <w:start w:val="1"/>
      <w:numFmt w:val="lowerRoman"/>
      <w:lvlText w:val="%9."/>
      <w:lvlJc w:val="right"/>
      <w:pPr>
        <w:ind w:left="5551" w:hanging="180"/>
      </w:pPr>
    </w:lvl>
  </w:abstractNum>
  <w:num w:numId="1" w16cid:durableId="2024743916">
    <w:abstractNumId w:val="20"/>
  </w:num>
  <w:num w:numId="2" w16cid:durableId="1335493934">
    <w:abstractNumId w:val="6"/>
  </w:num>
  <w:num w:numId="3" w16cid:durableId="397748865">
    <w:abstractNumId w:val="13"/>
  </w:num>
  <w:num w:numId="4" w16cid:durableId="709183989">
    <w:abstractNumId w:val="9"/>
  </w:num>
  <w:num w:numId="5" w16cid:durableId="598030054">
    <w:abstractNumId w:val="14"/>
  </w:num>
  <w:num w:numId="6" w16cid:durableId="1912884668">
    <w:abstractNumId w:val="5"/>
  </w:num>
  <w:num w:numId="7" w16cid:durableId="1091462767">
    <w:abstractNumId w:val="11"/>
  </w:num>
  <w:num w:numId="8" w16cid:durableId="1124540779">
    <w:abstractNumId w:val="4"/>
  </w:num>
  <w:num w:numId="9" w16cid:durableId="844830186">
    <w:abstractNumId w:val="21"/>
  </w:num>
  <w:num w:numId="10" w16cid:durableId="869486795">
    <w:abstractNumId w:val="0"/>
  </w:num>
  <w:num w:numId="11" w16cid:durableId="1145128092">
    <w:abstractNumId w:val="19"/>
  </w:num>
  <w:num w:numId="12" w16cid:durableId="1102920723">
    <w:abstractNumId w:val="15"/>
  </w:num>
  <w:num w:numId="13" w16cid:durableId="238255920">
    <w:abstractNumId w:val="1"/>
  </w:num>
  <w:num w:numId="14" w16cid:durableId="1130175570">
    <w:abstractNumId w:val="16"/>
  </w:num>
  <w:num w:numId="15" w16cid:durableId="530536581">
    <w:abstractNumId w:val="3"/>
  </w:num>
  <w:num w:numId="16" w16cid:durableId="2048220500">
    <w:abstractNumId w:val="8"/>
  </w:num>
  <w:num w:numId="17" w16cid:durableId="1001473102">
    <w:abstractNumId w:val="12"/>
  </w:num>
  <w:num w:numId="18" w16cid:durableId="536284133">
    <w:abstractNumId w:val="2"/>
  </w:num>
  <w:num w:numId="19" w16cid:durableId="808785569">
    <w:abstractNumId w:val="18"/>
  </w:num>
  <w:num w:numId="20" w16cid:durableId="143593148">
    <w:abstractNumId w:val="17"/>
  </w:num>
  <w:num w:numId="21" w16cid:durableId="2018842858">
    <w:abstractNumId w:val="10"/>
  </w:num>
  <w:num w:numId="22" w16cid:durableId="9300474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65F"/>
    <w:rsid w:val="00003D0F"/>
    <w:rsid w:val="00011244"/>
    <w:rsid w:val="000176E1"/>
    <w:rsid w:val="00025099"/>
    <w:rsid w:val="000628CF"/>
    <w:rsid w:val="00087197"/>
    <w:rsid w:val="00097DD3"/>
    <w:rsid w:val="000A1FC8"/>
    <w:rsid w:val="00100678"/>
    <w:rsid w:val="00104AFA"/>
    <w:rsid w:val="00105183"/>
    <w:rsid w:val="001209A5"/>
    <w:rsid w:val="00122A64"/>
    <w:rsid w:val="00137F18"/>
    <w:rsid w:val="001466E5"/>
    <w:rsid w:val="00183C4B"/>
    <w:rsid w:val="00196F79"/>
    <w:rsid w:val="001A222E"/>
    <w:rsid w:val="001B3EA8"/>
    <w:rsid w:val="001D4113"/>
    <w:rsid w:val="001D702E"/>
    <w:rsid w:val="001E30FF"/>
    <w:rsid w:val="001F3EBD"/>
    <w:rsid w:val="001F6581"/>
    <w:rsid w:val="002027EE"/>
    <w:rsid w:val="0021577D"/>
    <w:rsid w:val="002222EE"/>
    <w:rsid w:val="0022625D"/>
    <w:rsid w:val="0025063C"/>
    <w:rsid w:val="002525A6"/>
    <w:rsid w:val="0025577A"/>
    <w:rsid w:val="0027017F"/>
    <w:rsid w:val="00285457"/>
    <w:rsid w:val="00296DD0"/>
    <w:rsid w:val="002A4E55"/>
    <w:rsid w:val="002B01F7"/>
    <w:rsid w:val="002D0664"/>
    <w:rsid w:val="002D7AE2"/>
    <w:rsid w:val="002E005B"/>
    <w:rsid w:val="002E1EC1"/>
    <w:rsid w:val="002E627A"/>
    <w:rsid w:val="002F0DC7"/>
    <w:rsid w:val="00302070"/>
    <w:rsid w:val="00304C70"/>
    <w:rsid w:val="003363F5"/>
    <w:rsid w:val="003441F1"/>
    <w:rsid w:val="003821F0"/>
    <w:rsid w:val="00384614"/>
    <w:rsid w:val="003A0FAF"/>
    <w:rsid w:val="003A6397"/>
    <w:rsid w:val="003B0C94"/>
    <w:rsid w:val="003B52A1"/>
    <w:rsid w:val="003D153A"/>
    <w:rsid w:val="003E2327"/>
    <w:rsid w:val="00405E9D"/>
    <w:rsid w:val="00413A87"/>
    <w:rsid w:val="004371A6"/>
    <w:rsid w:val="00443144"/>
    <w:rsid w:val="00452019"/>
    <w:rsid w:val="00462F9E"/>
    <w:rsid w:val="00463DB7"/>
    <w:rsid w:val="0046565F"/>
    <w:rsid w:val="004940D9"/>
    <w:rsid w:val="00494982"/>
    <w:rsid w:val="004A1F39"/>
    <w:rsid w:val="004B071E"/>
    <w:rsid w:val="004B77F9"/>
    <w:rsid w:val="004C6AF6"/>
    <w:rsid w:val="00517811"/>
    <w:rsid w:val="00524157"/>
    <w:rsid w:val="00525276"/>
    <w:rsid w:val="00527FE2"/>
    <w:rsid w:val="00531402"/>
    <w:rsid w:val="005412C9"/>
    <w:rsid w:val="00560A4B"/>
    <w:rsid w:val="00597247"/>
    <w:rsid w:val="005C787D"/>
    <w:rsid w:val="005E5094"/>
    <w:rsid w:val="005F012E"/>
    <w:rsid w:val="006002A5"/>
    <w:rsid w:val="00600574"/>
    <w:rsid w:val="00646756"/>
    <w:rsid w:val="00654030"/>
    <w:rsid w:val="00672231"/>
    <w:rsid w:val="00687054"/>
    <w:rsid w:val="0069532D"/>
    <w:rsid w:val="00697F03"/>
    <w:rsid w:val="006B05AE"/>
    <w:rsid w:val="006B49CD"/>
    <w:rsid w:val="006B7A04"/>
    <w:rsid w:val="006C0490"/>
    <w:rsid w:val="006D6273"/>
    <w:rsid w:val="006E7852"/>
    <w:rsid w:val="006F3328"/>
    <w:rsid w:val="00712325"/>
    <w:rsid w:val="007139AB"/>
    <w:rsid w:val="00717EFD"/>
    <w:rsid w:val="00727A53"/>
    <w:rsid w:val="007357D8"/>
    <w:rsid w:val="00767A95"/>
    <w:rsid w:val="00774FAE"/>
    <w:rsid w:val="00790AF5"/>
    <w:rsid w:val="007919BD"/>
    <w:rsid w:val="007A4728"/>
    <w:rsid w:val="007A64B6"/>
    <w:rsid w:val="007B1544"/>
    <w:rsid w:val="007C6670"/>
    <w:rsid w:val="007F2F85"/>
    <w:rsid w:val="007F6293"/>
    <w:rsid w:val="00805CDE"/>
    <w:rsid w:val="008314CD"/>
    <w:rsid w:val="00861A70"/>
    <w:rsid w:val="008718BF"/>
    <w:rsid w:val="00882698"/>
    <w:rsid w:val="0088744E"/>
    <w:rsid w:val="00895B68"/>
    <w:rsid w:val="008B5005"/>
    <w:rsid w:val="008D30C4"/>
    <w:rsid w:val="008F411B"/>
    <w:rsid w:val="008F68A7"/>
    <w:rsid w:val="00906232"/>
    <w:rsid w:val="0092599E"/>
    <w:rsid w:val="00946836"/>
    <w:rsid w:val="009468A8"/>
    <w:rsid w:val="00961745"/>
    <w:rsid w:val="00995F29"/>
    <w:rsid w:val="009979DE"/>
    <w:rsid w:val="009B22BF"/>
    <w:rsid w:val="009C36EA"/>
    <w:rsid w:val="009C4103"/>
    <w:rsid w:val="009C5F58"/>
    <w:rsid w:val="009D154A"/>
    <w:rsid w:val="009F00B0"/>
    <w:rsid w:val="009F6AEF"/>
    <w:rsid w:val="00A100C6"/>
    <w:rsid w:val="00A27D81"/>
    <w:rsid w:val="00A40CCB"/>
    <w:rsid w:val="00A455F1"/>
    <w:rsid w:val="00A52D1A"/>
    <w:rsid w:val="00A547FA"/>
    <w:rsid w:val="00A548B9"/>
    <w:rsid w:val="00A821C1"/>
    <w:rsid w:val="00A87C22"/>
    <w:rsid w:val="00A90FDA"/>
    <w:rsid w:val="00AB35CB"/>
    <w:rsid w:val="00AC6513"/>
    <w:rsid w:val="00AD6AD0"/>
    <w:rsid w:val="00AF7AFB"/>
    <w:rsid w:val="00B167DB"/>
    <w:rsid w:val="00B50743"/>
    <w:rsid w:val="00B6009C"/>
    <w:rsid w:val="00B82B94"/>
    <w:rsid w:val="00B84F1D"/>
    <w:rsid w:val="00B94062"/>
    <w:rsid w:val="00BA6DDB"/>
    <w:rsid w:val="00C045CC"/>
    <w:rsid w:val="00C17269"/>
    <w:rsid w:val="00C17557"/>
    <w:rsid w:val="00C349F4"/>
    <w:rsid w:val="00C37779"/>
    <w:rsid w:val="00C6080D"/>
    <w:rsid w:val="00C628F1"/>
    <w:rsid w:val="00C62E0E"/>
    <w:rsid w:val="00C71EB3"/>
    <w:rsid w:val="00C80ECA"/>
    <w:rsid w:val="00C84B5B"/>
    <w:rsid w:val="00C90D91"/>
    <w:rsid w:val="00CC111E"/>
    <w:rsid w:val="00CE151A"/>
    <w:rsid w:val="00CE15DE"/>
    <w:rsid w:val="00D01A36"/>
    <w:rsid w:val="00D22C33"/>
    <w:rsid w:val="00D66298"/>
    <w:rsid w:val="00D762DD"/>
    <w:rsid w:val="00DB749A"/>
    <w:rsid w:val="00DC57E4"/>
    <w:rsid w:val="00DC6E14"/>
    <w:rsid w:val="00DF0DA3"/>
    <w:rsid w:val="00DF32A0"/>
    <w:rsid w:val="00E0703B"/>
    <w:rsid w:val="00E17B23"/>
    <w:rsid w:val="00E22B3B"/>
    <w:rsid w:val="00E24887"/>
    <w:rsid w:val="00E30721"/>
    <w:rsid w:val="00E35CA5"/>
    <w:rsid w:val="00E426CF"/>
    <w:rsid w:val="00E4415D"/>
    <w:rsid w:val="00E459B0"/>
    <w:rsid w:val="00E75EF8"/>
    <w:rsid w:val="00EA5C3C"/>
    <w:rsid w:val="00EB0A91"/>
    <w:rsid w:val="00EC239D"/>
    <w:rsid w:val="00ED0B93"/>
    <w:rsid w:val="00EE64D5"/>
    <w:rsid w:val="00F15990"/>
    <w:rsid w:val="00F37447"/>
    <w:rsid w:val="00F52A32"/>
    <w:rsid w:val="00F7154A"/>
    <w:rsid w:val="00F7294C"/>
    <w:rsid w:val="00FC49E0"/>
    <w:rsid w:val="00FD279D"/>
    <w:rsid w:val="00FE63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6E09A"/>
  <w15:chartTrackingRefBased/>
  <w15:docId w15:val="{67F9F81A-94CC-4C25-8A7E-52813AEB2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5063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565F"/>
    <w:rPr>
      <w:color w:val="0563C1" w:themeColor="hyperlink"/>
      <w:u w:val="single"/>
    </w:rPr>
  </w:style>
  <w:style w:type="paragraph" w:styleId="HTMLPreformatted">
    <w:name w:val="HTML Preformatted"/>
    <w:basedOn w:val="Normal"/>
    <w:link w:val="HTMLPreformattedChar"/>
    <w:uiPriority w:val="99"/>
    <w:semiHidden/>
    <w:unhideWhenUsed/>
    <w:rsid w:val="0067223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72231"/>
    <w:rPr>
      <w:rFonts w:ascii="Consolas" w:hAnsi="Consolas"/>
      <w:sz w:val="20"/>
      <w:szCs w:val="20"/>
    </w:rPr>
  </w:style>
  <w:style w:type="paragraph" w:styleId="ListParagraph">
    <w:name w:val="List Paragraph"/>
    <w:basedOn w:val="Normal"/>
    <w:uiPriority w:val="34"/>
    <w:qFormat/>
    <w:rsid w:val="00CE15DE"/>
    <w:pPr>
      <w:ind w:left="720"/>
      <w:contextualSpacing/>
    </w:pPr>
  </w:style>
  <w:style w:type="paragraph" w:styleId="Header">
    <w:name w:val="header"/>
    <w:basedOn w:val="Normal"/>
    <w:link w:val="HeaderChar"/>
    <w:uiPriority w:val="99"/>
    <w:unhideWhenUsed/>
    <w:rsid w:val="00774F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4FAE"/>
  </w:style>
  <w:style w:type="paragraph" w:styleId="Footer">
    <w:name w:val="footer"/>
    <w:basedOn w:val="Normal"/>
    <w:link w:val="FooterChar"/>
    <w:uiPriority w:val="99"/>
    <w:unhideWhenUsed/>
    <w:rsid w:val="00774F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4FAE"/>
  </w:style>
  <w:style w:type="table" w:styleId="TableGrid">
    <w:name w:val="Table Grid"/>
    <w:basedOn w:val="TableNormal"/>
    <w:uiPriority w:val="39"/>
    <w:rsid w:val="00413A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qFormat/>
    <w:rsid w:val="0025063C"/>
    <w:pPr>
      <w:framePr w:wrap="notBeside" w:hAnchor="text"/>
      <w:spacing w:after="0" w:line="240" w:lineRule="auto"/>
      <w:ind w:firstLine="720"/>
      <w:jc w:val="both"/>
    </w:pPr>
    <w:rPr>
      <w:rFonts w:ascii="Times New Roman" w:eastAsia="Calibri" w:hAnsi="Times New Roman" w:cs="Calibri"/>
      <w:sz w:val="20"/>
      <w:szCs w:val="24"/>
      <w:lang w:val="id-ID"/>
    </w:rPr>
  </w:style>
  <w:style w:type="character" w:customStyle="1" w:styleId="FootnoteTextChar">
    <w:name w:val="Footnote Text Char"/>
    <w:basedOn w:val="DefaultParagraphFont"/>
    <w:link w:val="FootnoteText"/>
    <w:uiPriority w:val="99"/>
    <w:rsid w:val="0025063C"/>
    <w:rPr>
      <w:rFonts w:ascii="Times New Roman" w:eastAsia="Calibri" w:hAnsi="Times New Roman" w:cs="Calibri"/>
      <w:sz w:val="20"/>
      <w:szCs w:val="24"/>
      <w:lang w:val="id-ID"/>
    </w:rPr>
  </w:style>
  <w:style w:type="character" w:styleId="FootnoteReference">
    <w:name w:val="footnote reference"/>
    <w:basedOn w:val="DefaultParagraphFont"/>
    <w:uiPriority w:val="99"/>
    <w:semiHidden/>
    <w:unhideWhenUsed/>
    <w:rsid w:val="0025063C"/>
    <w:rPr>
      <w:vertAlign w:val="superscript"/>
    </w:rPr>
  </w:style>
  <w:style w:type="character" w:customStyle="1" w:styleId="Heading3Char">
    <w:name w:val="Heading 3 Char"/>
    <w:basedOn w:val="DefaultParagraphFont"/>
    <w:link w:val="Heading3"/>
    <w:uiPriority w:val="9"/>
    <w:rsid w:val="0025063C"/>
    <w:rPr>
      <w:rFonts w:ascii="Times New Roman" w:eastAsia="Times New Roman" w:hAnsi="Times New Roman" w:cs="Times New Roman"/>
      <w:b/>
      <w:bCs/>
      <w:sz w:val="27"/>
      <w:szCs w:val="27"/>
    </w:rPr>
  </w:style>
  <w:style w:type="character" w:styleId="Emphasis">
    <w:name w:val="Emphasis"/>
    <w:basedOn w:val="DefaultParagraphFont"/>
    <w:uiPriority w:val="20"/>
    <w:qFormat/>
    <w:rsid w:val="001F3EBD"/>
    <w:rPr>
      <w:i/>
      <w:iCs/>
    </w:rPr>
  </w:style>
  <w:style w:type="character" w:styleId="UnresolvedMention">
    <w:name w:val="Unresolved Mention"/>
    <w:basedOn w:val="DefaultParagraphFont"/>
    <w:uiPriority w:val="99"/>
    <w:semiHidden/>
    <w:unhideWhenUsed/>
    <w:rsid w:val="00FC49E0"/>
    <w:rPr>
      <w:color w:val="605E5C"/>
      <w:shd w:val="clear" w:color="auto" w:fill="E1DFDD"/>
    </w:rPr>
  </w:style>
  <w:style w:type="character" w:styleId="EndnoteReference">
    <w:name w:val="endnote reference"/>
    <w:basedOn w:val="DefaultParagraphFont"/>
    <w:uiPriority w:val="99"/>
    <w:semiHidden/>
    <w:unhideWhenUsed/>
    <w:rsid w:val="009C41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216334">
      <w:bodyDiv w:val="1"/>
      <w:marLeft w:val="0"/>
      <w:marRight w:val="0"/>
      <w:marTop w:val="0"/>
      <w:marBottom w:val="0"/>
      <w:divBdr>
        <w:top w:val="none" w:sz="0" w:space="0" w:color="auto"/>
        <w:left w:val="none" w:sz="0" w:space="0" w:color="auto"/>
        <w:bottom w:val="none" w:sz="0" w:space="0" w:color="auto"/>
        <w:right w:val="none" w:sz="0" w:space="0" w:color="auto"/>
      </w:divBdr>
    </w:div>
    <w:div w:id="1162702345">
      <w:bodyDiv w:val="1"/>
      <w:marLeft w:val="0"/>
      <w:marRight w:val="0"/>
      <w:marTop w:val="0"/>
      <w:marBottom w:val="0"/>
      <w:divBdr>
        <w:top w:val="none" w:sz="0" w:space="0" w:color="auto"/>
        <w:left w:val="none" w:sz="0" w:space="0" w:color="auto"/>
        <w:bottom w:val="none" w:sz="0" w:space="0" w:color="auto"/>
        <w:right w:val="none" w:sz="0" w:space="0" w:color="auto"/>
      </w:divBdr>
    </w:div>
    <w:div w:id="1327048662">
      <w:bodyDiv w:val="1"/>
      <w:marLeft w:val="0"/>
      <w:marRight w:val="0"/>
      <w:marTop w:val="0"/>
      <w:marBottom w:val="0"/>
      <w:divBdr>
        <w:top w:val="none" w:sz="0" w:space="0" w:color="auto"/>
        <w:left w:val="none" w:sz="0" w:space="0" w:color="auto"/>
        <w:bottom w:val="none" w:sz="0" w:space="0" w:color="auto"/>
        <w:right w:val="none" w:sz="0" w:space="0" w:color="auto"/>
      </w:divBdr>
    </w:div>
    <w:div w:id="1694958338">
      <w:bodyDiv w:val="1"/>
      <w:marLeft w:val="0"/>
      <w:marRight w:val="0"/>
      <w:marTop w:val="0"/>
      <w:marBottom w:val="0"/>
      <w:divBdr>
        <w:top w:val="none" w:sz="0" w:space="0" w:color="auto"/>
        <w:left w:val="none" w:sz="0" w:space="0" w:color="auto"/>
        <w:bottom w:val="none" w:sz="0" w:space="0" w:color="auto"/>
        <w:right w:val="none" w:sz="0" w:space="0" w:color="auto"/>
      </w:divBdr>
    </w:div>
    <w:div w:id="171115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nafauzi@iainkudus.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9978E-1AC0-48B4-86E2-5E275FF06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2603</TotalTime>
  <Pages>17</Pages>
  <Words>6017</Words>
  <Characters>34300</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 Annur Khoif</dc:creator>
  <cp:keywords/>
  <dc:description/>
  <cp:lastModifiedBy>SOEKIR_666</cp:lastModifiedBy>
  <cp:revision>107</cp:revision>
  <dcterms:created xsi:type="dcterms:W3CDTF">2022-06-24T13:49:00Z</dcterms:created>
  <dcterms:modified xsi:type="dcterms:W3CDTF">2022-08-30T09:20:00Z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40d40062-3f91-32d1-a337-5ef9fc2bb0da</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http://www.zotero.org/styles/chicago-note-bibliography</vt:lpwstr>
  </property>
  <property fmtid="{D5CDD505-2E9C-101B-9397-08002B2CF9AE}" pid="18" name="Mendeley Recent Style Name 6_1">
    <vt:lpwstr>Chicago Manual of Style 17th edition (note)</vt:lpwstr>
  </property>
  <property fmtid="{D5CDD505-2E9C-101B-9397-08002B2CF9AE}" pid="19" name="Mendeley Recent Style Id 7_1">
    <vt:lpwstr>http://www.zotero.org/styles/harvard-cite-them-right</vt:lpwstr>
  </property>
  <property fmtid="{D5CDD505-2E9C-101B-9397-08002B2CF9AE}" pid="20" name="Mendeley Recent Style Name 7_1">
    <vt:lpwstr>Cite Them Right 10th edition - Harvard</vt:lpwstr>
  </property>
  <property fmtid="{D5CDD505-2E9C-101B-9397-08002B2CF9AE}" pid="21" name="Mendeley Recent Style Id 8_1">
    <vt:lpwstr>http://www.zotero.org/styles/ieee</vt:lpwstr>
  </property>
  <property fmtid="{D5CDD505-2E9C-101B-9397-08002B2CF9AE}" pid="22" name="Mendeley Recent Style Name 8_1">
    <vt:lpwstr>IEEE</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