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243" w:rsidRPr="00A902A6" w:rsidRDefault="00846A6F" w:rsidP="00FE7243">
      <w:pPr>
        <w:spacing w:line="360" w:lineRule="auto"/>
        <w:jc w:val="center"/>
        <w:rPr>
          <w:rFonts w:ascii="Arial" w:hAnsi="Arial" w:cs="Arial"/>
          <w:b/>
          <w:sz w:val="28"/>
        </w:rPr>
      </w:pPr>
      <w:r>
        <w:rPr>
          <w:rFonts w:ascii="Arial" w:hAnsi="Arial" w:cs="Arial"/>
          <w:b/>
          <w:sz w:val="28"/>
        </w:rPr>
        <w:t xml:space="preserve">Jejak Iman </w:t>
      </w:r>
      <w:r w:rsidR="00085C26" w:rsidRPr="00A902A6">
        <w:rPr>
          <w:rFonts w:ascii="Arial" w:hAnsi="Arial" w:cs="Arial"/>
          <w:b/>
          <w:sz w:val="28"/>
        </w:rPr>
        <w:t>Kaleb bin</w:t>
      </w:r>
      <w:r w:rsidR="00EA793C" w:rsidRPr="00A902A6">
        <w:rPr>
          <w:rFonts w:ascii="Arial" w:hAnsi="Arial" w:cs="Arial"/>
          <w:b/>
          <w:sz w:val="28"/>
        </w:rPr>
        <w:t xml:space="preserve"> Yefune</w:t>
      </w:r>
      <w:r w:rsidR="00306BBD" w:rsidRPr="00A902A6">
        <w:rPr>
          <w:rFonts w:ascii="Arial" w:hAnsi="Arial" w:cs="Arial"/>
          <w:b/>
          <w:sz w:val="28"/>
        </w:rPr>
        <w:t xml:space="preserve"> (Bilangan 14:24)</w:t>
      </w:r>
    </w:p>
    <w:p w:rsidR="00236C63" w:rsidRPr="00A902A6" w:rsidRDefault="00236C63" w:rsidP="00236C63">
      <w:pPr>
        <w:spacing w:after="0"/>
        <w:jc w:val="center"/>
        <w:rPr>
          <w:rFonts w:ascii="Garamond" w:hAnsi="Garamond"/>
          <w:b/>
        </w:rPr>
      </w:pPr>
      <w:r w:rsidRPr="00A902A6">
        <w:rPr>
          <w:rFonts w:ascii="Garamond" w:hAnsi="Garamond"/>
          <w:b/>
        </w:rPr>
        <w:t>Aseng Yulias Samongilailai</w:t>
      </w:r>
    </w:p>
    <w:p w:rsidR="00236C63" w:rsidRPr="00A902A6" w:rsidRDefault="00236C63" w:rsidP="00236C63">
      <w:pPr>
        <w:spacing w:after="0"/>
        <w:jc w:val="center"/>
        <w:rPr>
          <w:rFonts w:ascii="Garamond" w:hAnsi="Garamond"/>
        </w:rPr>
      </w:pPr>
      <w:r w:rsidRPr="00A902A6">
        <w:rPr>
          <w:rFonts w:ascii="Garamond" w:hAnsi="Garamond"/>
        </w:rPr>
        <w:t>Sekolah Kristen Ketapang 1 Jakarta</w:t>
      </w:r>
    </w:p>
    <w:p w:rsidR="00236C63" w:rsidRPr="00A902A6" w:rsidRDefault="00236C63" w:rsidP="00DA32C8">
      <w:pPr>
        <w:spacing w:line="360" w:lineRule="auto"/>
        <w:jc w:val="center"/>
        <w:rPr>
          <w:rFonts w:ascii="Garamond" w:hAnsi="Garamond"/>
        </w:rPr>
      </w:pPr>
      <w:r w:rsidRPr="00A902A6">
        <w:rPr>
          <w:rFonts w:ascii="Garamond" w:hAnsi="Garamond"/>
          <w:i/>
        </w:rPr>
        <w:t>asengsamongilailai29@gmail.com</w:t>
      </w:r>
      <w:r w:rsidRPr="00A902A6">
        <w:rPr>
          <w:rFonts w:ascii="Garamond" w:hAnsi="Garamond"/>
        </w:rPr>
        <w:t xml:space="preserve"> </w:t>
      </w:r>
    </w:p>
    <w:p w:rsidR="009A55D9" w:rsidRPr="00A902A6" w:rsidRDefault="009A55D9" w:rsidP="00A902A6">
      <w:pPr>
        <w:spacing w:line="360" w:lineRule="auto"/>
        <w:rPr>
          <w:rFonts w:ascii="Garamond" w:hAnsi="Garamond"/>
          <w:b/>
        </w:rPr>
      </w:pPr>
      <w:r w:rsidRPr="00A902A6">
        <w:rPr>
          <w:rFonts w:ascii="Garamond" w:hAnsi="Garamond"/>
          <w:b/>
        </w:rPr>
        <w:t>Abstrak</w:t>
      </w:r>
    </w:p>
    <w:p w:rsidR="0038487F" w:rsidRPr="0038487F" w:rsidRDefault="0038487F" w:rsidP="0038487F">
      <w:pPr>
        <w:spacing w:line="240" w:lineRule="auto"/>
        <w:ind w:left="720"/>
        <w:jc w:val="both"/>
        <w:rPr>
          <w:rFonts w:ascii="Garamond" w:hAnsi="Garamond"/>
        </w:rPr>
      </w:pPr>
      <w:r>
        <w:rPr>
          <w:rFonts w:ascii="Garamond" w:hAnsi="Garamond"/>
        </w:rPr>
        <w:t>Tulisan ini menelusuri teks Bilangan 14:24 yang berfokus terhadap masalah praksis dan teoritis yang tampak mengabaikan dan tak menghiraukan sosok Kaleb bin Yefune. Dalam ranah praksis, Kaleb seringkali ditimpa dengan tokoh yang sejajar dengannya meski berbeda secara sumber dan tradisi</w:t>
      </w:r>
      <w:r w:rsidR="005375AD">
        <w:rPr>
          <w:rFonts w:ascii="Garamond" w:hAnsi="Garamond"/>
        </w:rPr>
        <w:t>, yakni</w:t>
      </w:r>
      <w:r>
        <w:rPr>
          <w:rFonts w:ascii="Garamond" w:hAnsi="Garamond"/>
        </w:rPr>
        <w:t xml:space="preserve"> Yosua</w:t>
      </w:r>
      <w:r w:rsidR="005375AD">
        <w:rPr>
          <w:rFonts w:ascii="Garamond" w:hAnsi="Garamond"/>
        </w:rPr>
        <w:t xml:space="preserve"> bin Nun</w:t>
      </w:r>
      <w:r>
        <w:rPr>
          <w:rFonts w:ascii="Garamond" w:hAnsi="Garamond"/>
        </w:rPr>
        <w:t xml:space="preserve">. Selain itu, dalam ranah teoritis, Kaleb seringkali hanya sekadar sosok kedua bahkan di antara Yosua dan Musa. Kaleb tampak tidak banyak diulas oleh para ahli Perjanjian Lama. Dengan metode </w:t>
      </w:r>
      <w:r>
        <w:rPr>
          <w:rFonts w:ascii="Garamond" w:hAnsi="Garamond"/>
          <w:i/>
        </w:rPr>
        <w:t>grammatical analysis</w:t>
      </w:r>
      <w:r>
        <w:rPr>
          <w:rFonts w:ascii="Garamond" w:hAnsi="Garamond"/>
        </w:rPr>
        <w:t xml:space="preserve">, penelitian berfokus untuk menemukan kekayaan iman atau jejak iman yang belum terjamah secara mendalam selama ini. Dari penelusuran yang telah dilakukan, ditemukan bahwa Kaleb merupakan figur yang sangat mengagumkan, ia memiliki </w:t>
      </w:r>
      <w:r>
        <w:rPr>
          <w:rFonts w:ascii="Garamond" w:hAnsi="Garamond"/>
          <w:i/>
        </w:rPr>
        <w:t>a different spirit</w:t>
      </w:r>
      <w:r>
        <w:rPr>
          <w:rFonts w:ascii="Garamond" w:hAnsi="Garamond"/>
        </w:rPr>
        <w:t xml:space="preserve"> dan seorang pengikut Tuhan yang sangat setia pada saat banyak pengintai dan umat Israel memilih untuk memberontak kepada Tuhan.  </w:t>
      </w:r>
    </w:p>
    <w:p w:rsidR="009A55D9" w:rsidRPr="00A902A6" w:rsidRDefault="009A55D9" w:rsidP="00A902A6">
      <w:pPr>
        <w:spacing w:line="360" w:lineRule="auto"/>
        <w:ind w:left="720"/>
        <w:jc w:val="both"/>
        <w:rPr>
          <w:rFonts w:ascii="Garamond" w:hAnsi="Garamond"/>
        </w:rPr>
      </w:pPr>
      <w:r w:rsidRPr="00A902A6">
        <w:rPr>
          <w:rFonts w:ascii="Garamond" w:hAnsi="Garamond"/>
        </w:rPr>
        <w:t>Kata kunci:</w:t>
      </w:r>
      <w:r w:rsidR="0038487F">
        <w:rPr>
          <w:rFonts w:ascii="Garamond" w:hAnsi="Garamond"/>
        </w:rPr>
        <w:t xml:space="preserve"> Kaleb bin Yefune, Yosua bin Nun, Bilangan</w:t>
      </w:r>
    </w:p>
    <w:p w:rsidR="00A902A6" w:rsidRDefault="00A902A6" w:rsidP="00A902A6">
      <w:pPr>
        <w:spacing w:line="360" w:lineRule="auto"/>
        <w:rPr>
          <w:rFonts w:ascii="Garamond" w:hAnsi="Garamond"/>
          <w:b/>
          <w:i/>
        </w:rPr>
      </w:pPr>
    </w:p>
    <w:p w:rsidR="00A902A6" w:rsidRPr="00A902A6" w:rsidRDefault="00A902A6" w:rsidP="00A902A6">
      <w:pPr>
        <w:spacing w:line="360" w:lineRule="auto"/>
        <w:rPr>
          <w:rFonts w:ascii="Garamond" w:hAnsi="Garamond"/>
          <w:b/>
          <w:i/>
        </w:rPr>
      </w:pPr>
      <w:r w:rsidRPr="00A902A6">
        <w:rPr>
          <w:rFonts w:ascii="Garamond" w:hAnsi="Garamond"/>
          <w:b/>
          <w:i/>
        </w:rPr>
        <w:t>Abstract</w:t>
      </w:r>
    </w:p>
    <w:p w:rsidR="0038487F" w:rsidRDefault="0038487F" w:rsidP="0038487F">
      <w:pPr>
        <w:spacing w:line="240" w:lineRule="auto"/>
        <w:ind w:left="720"/>
        <w:jc w:val="both"/>
        <w:rPr>
          <w:rFonts w:ascii="Garamond" w:hAnsi="Garamond"/>
          <w:i/>
        </w:rPr>
      </w:pPr>
      <w:r w:rsidRPr="0038487F">
        <w:rPr>
          <w:rFonts w:ascii="Garamond" w:hAnsi="Garamond"/>
          <w:i/>
        </w:rPr>
        <w:t>This paper explores the text of Numbers 14:24 which focuses on practical and theoretical problems that seem to ignore and ignore the figure of Kaleb bin Yefune. In the realm of praxis, Caleb is often overwritten by a character who is parallel to him, even though he is different in terms of Joshua's sources and traditions. Besides, in the theoretical realm, Caleb was often just a secondary figure even between Joshua and Moses. Caleb does not appear to have received much attention from Old Testament scholars. With the grammatical analysis method, research focuses on finding the wealth of faith or traces of faith that have not been touched deeply so far. From the investigations that have been carried out, it was found that Caleb was an amazing figure, he had a different spirit and was a very loyal follower of God when many spies and Israelites chose to rebel against God.</w:t>
      </w:r>
    </w:p>
    <w:p w:rsidR="00A902A6" w:rsidRPr="00A902A6" w:rsidRDefault="00A902A6" w:rsidP="00A902A6">
      <w:pPr>
        <w:spacing w:line="360" w:lineRule="auto"/>
        <w:ind w:firstLine="720"/>
        <w:jc w:val="both"/>
        <w:rPr>
          <w:rFonts w:ascii="Garamond" w:hAnsi="Garamond"/>
          <w:i/>
        </w:rPr>
      </w:pPr>
      <w:r w:rsidRPr="00A902A6">
        <w:rPr>
          <w:rFonts w:ascii="Garamond" w:hAnsi="Garamond"/>
          <w:i/>
        </w:rPr>
        <w:t>Keywords:</w:t>
      </w:r>
      <w:r w:rsidR="0038487F">
        <w:rPr>
          <w:rFonts w:ascii="Garamond" w:hAnsi="Garamond"/>
          <w:i/>
        </w:rPr>
        <w:t xml:space="preserve"> </w:t>
      </w:r>
      <w:r w:rsidR="0038487F" w:rsidRPr="0038487F">
        <w:rPr>
          <w:rFonts w:ascii="Garamond" w:hAnsi="Garamond"/>
          <w:i/>
        </w:rPr>
        <w:t>Caleb son of Jephune, Joshua son of Nun, Numbers</w:t>
      </w:r>
    </w:p>
    <w:p w:rsidR="009A55D9" w:rsidRDefault="009A55D9" w:rsidP="00FE7243">
      <w:pPr>
        <w:spacing w:line="360" w:lineRule="auto"/>
        <w:jc w:val="both"/>
        <w:rPr>
          <w:b/>
        </w:rPr>
      </w:pPr>
    </w:p>
    <w:p w:rsidR="00B40FF9" w:rsidRDefault="00B40FF9" w:rsidP="00FE7243">
      <w:pPr>
        <w:spacing w:line="360" w:lineRule="auto"/>
        <w:jc w:val="both"/>
        <w:rPr>
          <w:rFonts w:ascii="Garamond" w:hAnsi="Garamond"/>
          <w:b/>
        </w:rPr>
      </w:pPr>
    </w:p>
    <w:p w:rsidR="00B40FF9" w:rsidRDefault="00B40FF9" w:rsidP="00FE7243">
      <w:pPr>
        <w:spacing w:line="360" w:lineRule="auto"/>
        <w:jc w:val="both"/>
        <w:rPr>
          <w:rFonts w:ascii="Garamond" w:hAnsi="Garamond"/>
          <w:b/>
        </w:rPr>
      </w:pPr>
    </w:p>
    <w:p w:rsidR="00B40FF9" w:rsidRDefault="00B40FF9" w:rsidP="00FE7243">
      <w:pPr>
        <w:spacing w:line="360" w:lineRule="auto"/>
        <w:jc w:val="both"/>
        <w:rPr>
          <w:rFonts w:ascii="Garamond" w:hAnsi="Garamond"/>
          <w:b/>
        </w:rPr>
      </w:pPr>
    </w:p>
    <w:p w:rsidR="00FE7243" w:rsidRPr="00A87037" w:rsidRDefault="00A87037" w:rsidP="00FE7243">
      <w:pPr>
        <w:spacing w:line="360" w:lineRule="auto"/>
        <w:jc w:val="both"/>
        <w:rPr>
          <w:rFonts w:ascii="Garamond" w:hAnsi="Garamond"/>
          <w:b/>
        </w:rPr>
      </w:pPr>
      <w:r w:rsidRPr="00A87037">
        <w:rPr>
          <w:rFonts w:ascii="Garamond" w:hAnsi="Garamond"/>
          <w:b/>
        </w:rPr>
        <w:lastRenderedPageBreak/>
        <w:t>PENDAHULUAN</w:t>
      </w:r>
    </w:p>
    <w:p w:rsidR="00736D96" w:rsidRPr="00A87037" w:rsidRDefault="00661967" w:rsidP="00736D96">
      <w:pPr>
        <w:spacing w:line="360" w:lineRule="auto"/>
        <w:ind w:firstLine="720"/>
        <w:jc w:val="both"/>
        <w:rPr>
          <w:rFonts w:ascii="Garamond" w:hAnsi="Garamond"/>
        </w:rPr>
      </w:pPr>
      <w:r w:rsidRPr="00A87037">
        <w:rPr>
          <w:rFonts w:ascii="Garamond" w:hAnsi="Garamond"/>
        </w:rPr>
        <w:t xml:space="preserve">Kaleb bin Yefune merupakan salah satu dari </w:t>
      </w:r>
      <w:r w:rsidR="00F12EE9" w:rsidRPr="00A87037">
        <w:rPr>
          <w:rFonts w:ascii="Garamond" w:hAnsi="Garamond"/>
        </w:rPr>
        <w:t xml:space="preserve">kedua belas pengintai yang disuruh oleh Musa untuk mengintai tanah Kanaan. Bilangan 13 </w:t>
      </w:r>
      <w:r w:rsidR="000954A5" w:rsidRPr="00A87037">
        <w:rPr>
          <w:rFonts w:ascii="Garamond" w:hAnsi="Garamond"/>
        </w:rPr>
        <w:t>menerangkan</w:t>
      </w:r>
      <w:r w:rsidR="00F12EE9" w:rsidRPr="00A87037">
        <w:rPr>
          <w:rFonts w:ascii="Garamond" w:hAnsi="Garamond"/>
        </w:rPr>
        <w:t xml:space="preserve"> bahwa para pengintai</w:t>
      </w:r>
      <w:r w:rsidR="002A2A73" w:rsidRPr="00A87037">
        <w:rPr>
          <w:rFonts w:ascii="Garamond" w:hAnsi="Garamond"/>
        </w:rPr>
        <w:t xml:space="preserve"> yang disuruh</w:t>
      </w:r>
      <w:r w:rsidR="00F12EE9" w:rsidRPr="00A87037">
        <w:rPr>
          <w:rFonts w:ascii="Garamond" w:hAnsi="Garamond"/>
        </w:rPr>
        <w:t xml:space="preserve"> berkualifikasi sebagai pemimpin</w:t>
      </w:r>
      <w:r w:rsidR="003E5BD7" w:rsidRPr="00A87037">
        <w:rPr>
          <w:rFonts w:ascii="Garamond" w:hAnsi="Garamond"/>
        </w:rPr>
        <w:t>-pemimpin</w:t>
      </w:r>
      <w:r w:rsidR="003F2199" w:rsidRPr="00A87037">
        <w:rPr>
          <w:rFonts w:ascii="Garamond" w:hAnsi="Garamond"/>
        </w:rPr>
        <w:t xml:space="preserve"> dari tiap-tiap sukunya</w:t>
      </w:r>
      <w:r w:rsidR="00F12EE9" w:rsidRPr="00A87037">
        <w:rPr>
          <w:rFonts w:ascii="Garamond" w:hAnsi="Garamond"/>
        </w:rPr>
        <w:t>, sehingga dapat dikatakan bahwa Kaleb</w:t>
      </w:r>
      <w:r w:rsidR="006A5597" w:rsidRPr="00A87037">
        <w:rPr>
          <w:rFonts w:ascii="Garamond" w:hAnsi="Garamond"/>
        </w:rPr>
        <w:t xml:space="preserve"> </w:t>
      </w:r>
      <w:r w:rsidR="00C17B79" w:rsidRPr="00A87037">
        <w:rPr>
          <w:rFonts w:ascii="Garamond" w:hAnsi="Garamond"/>
        </w:rPr>
        <w:t>pada awaln</w:t>
      </w:r>
      <w:r w:rsidR="009B7832" w:rsidRPr="00A87037">
        <w:rPr>
          <w:rFonts w:ascii="Garamond" w:hAnsi="Garamond"/>
        </w:rPr>
        <w:t>ya merupakan seorang pemimpin suku</w:t>
      </w:r>
      <w:r w:rsidR="00C17B79" w:rsidRPr="00A87037">
        <w:rPr>
          <w:rFonts w:ascii="Garamond" w:hAnsi="Garamond"/>
        </w:rPr>
        <w:t xml:space="preserve">, </w:t>
      </w:r>
      <w:r w:rsidR="00DE4CFB">
        <w:rPr>
          <w:rFonts w:ascii="Garamond" w:hAnsi="Garamond"/>
        </w:rPr>
        <w:t xml:space="preserve">dalam hal ini </w:t>
      </w:r>
      <w:r w:rsidR="00C17B79" w:rsidRPr="00A87037">
        <w:rPr>
          <w:rFonts w:ascii="Garamond" w:hAnsi="Garamond"/>
        </w:rPr>
        <w:t xml:space="preserve">suku Yehuda. Hal senada juga ditegaskan oleh </w:t>
      </w:r>
      <w:r w:rsidR="00ED579F" w:rsidRPr="00A87037">
        <w:rPr>
          <w:rFonts w:ascii="Garamond" w:hAnsi="Garamond"/>
        </w:rPr>
        <w:t xml:space="preserve">Martin </w:t>
      </w:r>
      <w:r w:rsidR="003E5BD7" w:rsidRPr="00A87037">
        <w:rPr>
          <w:rFonts w:ascii="Garamond" w:hAnsi="Garamond"/>
        </w:rPr>
        <w:t>Noth dan</w:t>
      </w:r>
      <w:r w:rsidR="00ED579F" w:rsidRPr="00A87037">
        <w:rPr>
          <w:rFonts w:ascii="Garamond" w:hAnsi="Garamond"/>
        </w:rPr>
        <w:t xml:space="preserve"> D.F</w:t>
      </w:r>
      <w:r w:rsidR="003E5BD7" w:rsidRPr="00A87037">
        <w:rPr>
          <w:rFonts w:ascii="Garamond" w:hAnsi="Garamond"/>
        </w:rPr>
        <w:t xml:space="preserve"> Walker </w:t>
      </w:r>
      <w:r w:rsidR="00C17B79" w:rsidRPr="00A87037">
        <w:rPr>
          <w:rFonts w:ascii="Garamond" w:hAnsi="Garamond"/>
        </w:rPr>
        <w:t>bahwa Kaleb adalah</w:t>
      </w:r>
      <w:r w:rsidR="003E5BD7" w:rsidRPr="00A87037">
        <w:rPr>
          <w:rFonts w:ascii="Garamond" w:hAnsi="Garamond"/>
        </w:rPr>
        <w:t xml:space="preserve"> seorang </w:t>
      </w:r>
      <w:r w:rsidR="00C17B79" w:rsidRPr="00A87037">
        <w:rPr>
          <w:rFonts w:ascii="Garamond" w:hAnsi="Garamond"/>
          <w:i/>
        </w:rPr>
        <w:t>leader</w:t>
      </w:r>
      <w:r w:rsidR="003E5BD7" w:rsidRPr="00A87037">
        <w:rPr>
          <w:rFonts w:ascii="Garamond" w:hAnsi="Garamond"/>
        </w:rPr>
        <w:t>.</w:t>
      </w:r>
      <w:r w:rsidR="00FA449A" w:rsidRPr="00A87037">
        <w:rPr>
          <w:rStyle w:val="FootnoteReference"/>
          <w:rFonts w:ascii="Garamond" w:hAnsi="Garamond"/>
        </w:rPr>
        <w:footnoteReference w:id="1"/>
      </w:r>
      <w:r w:rsidR="009B7832" w:rsidRPr="00A87037">
        <w:rPr>
          <w:rFonts w:ascii="Garamond" w:hAnsi="Garamond"/>
        </w:rPr>
        <w:t xml:space="preserve"> Sebagai salah satu</w:t>
      </w:r>
      <w:r w:rsidR="00B4357C" w:rsidRPr="00A87037">
        <w:rPr>
          <w:rFonts w:ascii="Garamond" w:hAnsi="Garamond"/>
        </w:rPr>
        <w:t xml:space="preserve"> pemimpin</w:t>
      </w:r>
      <w:r w:rsidR="009B7832" w:rsidRPr="00A87037">
        <w:rPr>
          <w:rFonts w:ascii="Garamond" w:hAnsi="Garamond"/>
        </w:rPr>
        <w:t xml:space="preserve"> suku,</w:t>
      </w:r>
      <w:r w:rsidR="00B4357C" w:rsidRPr="00A87037">
        <w:rPr>
          <w:rFonts w:ascii="Garamond" w:hAnsi="Garamond"/>
        </w:rPr>
        <w:t xml:space="preserve"> tentu Kaleb dipandang penting oleh orang-orang Israel</w:t>
      </w:r>
      <w:r w:rsidR="009B7832" w:rsidRPr="00A87037">
        <w:rPr>
          <w:rFonts w:ascii="Garamond" w:hAnsi="Garamond"/>
        </w:rPr>
        <w:t xml:space="preserve"> pada zamannya, sebagaimana para pengintai lainnya yang juga merupakan pemimpin dalam sukunya</w:t>
      </w:r>
      <w:r w:rsidR="00A2617A" w:rsidRPr="00A87037">
        <w:rPr>
          <w:rFonts w:ascii="Garamond" w:hAnsi="Garamond"/>
        </w:rPr>
        <w:t xml:space="preserve"> masing-masing</w:t>
      </w:r>
      <w:r w:rsidR="009B7832" w:rsidRPr="00A87037">
        <w:rPr>
          <w:rFonts w:ascii="Garamond" w:hAnsi="Garamond"/>
        </w:rPr>
        <w:t>.</w:t>
      </w:r>
      <w:r w:rsidR="00A74B0C" w:rsidRPr="00A87037">
        <w:rPr>
          <w:rFonts w:ascii="Garamond" w:hAnsi="Garamond"/>
        </w:rPr>
        <w:t xml:space="preserve"> </w:t>
      </w:r>
      <w:r w:rsidR="00736D96" w:rsidRPr="00A87037">
        <w:rPr>
          <w:rFonts w:ascii="Garamond" w:hAnsi="Garamond"/>
        </w:rPr>
        <w:t>Lebih lagi</w:t>
      </w:r>
      <w:r w:rsidR="00A74B0C" w:rsidRPr="00A87037">
        <w:rPr>
          <w:rFonts w:ascii="Garamond" w:hAnsi="Garamond"/>
        </w:rPr>
        <w:t xml:space="preserve"> ketika kembali dari pengintaian</w:t>
      </w:r>
      <w:r w:rsidR="003E6ADB" w:rsidRPr="00A87037">
        <w:rPr>
          <w:rFonts w:ascii="Garamond" w:hAnsi="Garamond"/>
        </w:rPr>
        <w:t xml:space="preserve"> (Bil. 13:30)</w:t>
      </w:r>
      <w:r w:rsidR="00736D96" w:rsidRPr="00A87037">
        <w:rPr>
          <w:rFonts w:ascii="Garamond" w:hAnsi="Garamond"/>
        </w:rPr>
        <w:t>, hanya Kaleb dan Yosua bin Nun-lah yang tidak membawa kabar busuk kepada Musa, Harun dan seluruh umat Israel</w:t>
      </w:r>
      <w:r w:rsidR="003E6ADB" w:rsidRPr="00A87037">
        <w:rPr>
          <w:rFonts w:ascii="Garamond" w:hAnsi="Garamond"/>
        </w:rPr>
        <w:t xml:space="preserve"> (</w:t>
      </w:r>
      <w:r w:rsidR="00052C0C" w:rsidRPr="00A87037">
        <w:rPr>
          <w:rFonts w:ascii="Garamond" w:hAnsi="Garamond"/>
        </w:rPr>
        <w:t>Bil. 14:6-10</w:t>
      </w:r>
      <w:r w:rsidR="003E6ADB" w:rsidRPr="00A87037">
        <w:rPr>
          <w:rFonts w:ascii="Garamond" w:hAnsi="Garamond"/>
        </w:rPr>
        <w:t>)</w:t>
      </w:r>
      <w:r w:rsidR="00736D96" w:rsidRPr="00A87037">
        <w:rPr>
          <w:rFonts w:ascii="Garamond" w:hAnsi="Garamond"/>
        </w:rPr>
        <w:t>.</w:t>
      </w:r>
      <w:r w:rsidR="005E7E8B">
        <w:rPr>
          <w:rStyle w:val="FootnoteReference"/>
          <w:rFonts w:ascii="Garamond" w:hAnsi="Garamond"/>
        </w:rPr>
        <w:footnoteReference w:id="2"/>
      </w:r>
      <w:r w:rsidR="00736D96" w:rsidRPr="00A87037">
        <w:rPr>
          <w:rFonts w:ascii="Garamond" w:hAnsi="Garamond"/>
        </w:rPr>
        <w:t xml:space="preserve"> Hal tersebut membuat mereka tetap hidup dan diperkenankan memasuki tanah Kanaan; sedangkan </w:t>
      </w:r>
      <w:r w:rsidR="00A74B0C" w:rsidRPr="00A87037">
        <w:rPr>
          <w:rFonts w:ascii="Garamond" w:hAnsi="Garamond"/>
        </w:rPr>
        <w:t>sepuluh pengintai lain</w:t>
      </w:r>
      <w:r w:rsidR="00736D96" w:rsidRPr="00A87037">
        <w:rPr>
          <w:rFonts w:ascii="Garamond" w:hAnsi="Garamond"/>
        </w:rPr>
        <w:t>nya</w:t>
      </w:r>
      <w:r w:rsidR="00A74B0C" w:rsidRPr="00A87037">
        <w:rPr>
          <w:rFonts w:ascii="Garamond" w:hAnsi="Garamond"/>
        </w:rPr>
        <w:t xml:space="preserve"> dikenai tulah oleh Tuhan</w:t>
      </w:r>
      <w:r w:rsidR="00736D96" w:rsidRPr="00A87037">
        <w:rPr>
          <w:rFonts w:ascii="Garamond" w:hAnsi="Garamond"/>
        </w:rPr>
        <w:t xml:space="preserve"> karena telah menyampaikan karena kabar busuk kepada umat Israel</w:t>
      </w:r>
      <w:r w:rsidR="00052C0C" w:rsidRPr="00A87037">
        <w:rPr>
          <w:rFonts w:ascii="Garamond" w:hAnsi="Garamond"/>
        </w:rPr>
        <w:t xml:space="preserve"> (Bil. 14:30; 38)</w:t>
      </w:r>
      <w:r w:rsidR="00736D96" w:rsidRPr="00A87037">
        <w:rPr>
          <w:rFonts w:ascii="Garamond" w:hAnsi="Garamond"/>
        </w:rPr>
        <w:t>.</w:t>
      </w:r>
      <w:r w:rsidR="00F2119B">
        <w:rPr>
          <w:rStyle w:val="FootnoteReference"/>
          <w:rFonts w:ascii="Garamond" w:hAnsi="Garamond"/>
        </w:rPr>
        <w:footnoteReference w:id="3"/>
      </w:r>
      <w:r w:rsidR="00877B09" w:rsidRPr="00A87037">
        <w:rPr>
          <w:rFonts w:ascii="Garamond" w:hAnsi="Garamond"/>
        </w:rPr>
        <w:t xml:space="preserve"> Dari latar tersebut, pembaca dapat melihat bahwa baik Kaleb maupun Yosua</w:t>
      </w:r>
      <w:r w:rsidR="00B0352F" w:rsidRPr="00A87037">
        <w:rPr>
          <w:rFonts w:ascii="Garamond" w:hAnsi="Garamond"/>
        </w:rPr>
        <w:t xml:space="preserve">, </w:t>
      </w:r>
      <w:r w:rsidR="006E5D18" w:rsidRPr="00A87037">
        <w:rPr>
          <w:rFonts w:ascii="Garamond" w:hAnsi="Garamond"/>
        </w:rPr>
        <w:t>keduanya</w:t>
      </w:r>
      <w:r w:rsidR="00764C7C" w:rsidRPr="00A87037">
        <w:rPr>
          <w:rFonts w:ascii="Garamond" w:hAnsi="Garamond"/>
        </w:rPr>
        <w:t xml:space="preserve"> bisa dikatakan merupakan rekan yang</w:t>
      </w:r>
      <w:r w:rsidR="006E5D18" w:rsidRPr="00A87037">
        <w:rPr>
          <w:rFonts w:ascii="Garamond" w:hAnsi="Garamond"/>
        </w:rPr>
        <w:t xml:space="preserve"> </w:t>
      </w:r>
      <w:r w:rsidR="00DC795F">
        <w:rPr>
          <w:rFonts w:ascii="Garamond" w:hAnsi="Garamond"/>
        </w:rPr>
        <w:t>keberadaannya</w:t>
      </w:r>
      <w:r w:rsidR="005E5A53" w:rsidRPr="00A87037">
        <w:rPr>
          <w:rFonts w:ascii="Garamond" w:hAnsi="Garamond"/>
        </w:rPr>
        <w:t xml:space="preserve"> </w:t>
      </w:r>
      <w:r w:rsidR="006E5D18" w:rsidRPr="00A87037">
        <w:rPr>
          <w:rFonts w:ascii="Garamond" w:hAnsi="Garamond"/>
        </w:rPr>
        <w:t>sejajar</w:t>
      </w:r>
      <w:r w:rsidR="00A31991" w:rsidRPr="00A87037">
        <w:rPr>
          <w:rFonts w:ascii="Garamond" w:hAnsi="Garamond"/>
        </w:rPr>
        <w:t xml:space="preserve"> (-di mata Tuhan)</w:t>
      </w:r>
      <w:r w:rsidR="006E5D18" w:rsidRPr="00A87037">
        <w:rPr>
          <w:rFonts w:ascii="Garamond" w:hAnsi="Garamond"/>
        </w:rPr>
        <w:t>.</w:t>
      </w:r>
      <w:r w:rsidR="00613C20" w:rsidRPr="00A87037">
        <w:rPr>
          <w:rStyle w:val="FootnoteReference"/>
          <w:rFonts w:ascii="Garamond" w:hAnsi="Garamond"/>
        </w:rPr>
        <w:footnoteReference w:id="4"/>
      </w:r>
      <w:r w:rsidR="006E5D18" w:rsidRPr="00A87037">
        <w:rPr>
          <w:rFonts w:ascii="Garamond" w:hAnsi="Garamond"/>
        </w:rPr>
        <w:t xml:space="preserve">   </w:t>
      </w:r>
      <w:r w:rsidR="00877B09" w:rsidRPr="00A87037">
        <w:rPr>
          <w:rFonts w:ascii="Garamond" w:hAnsi="Garamond"/>
        </w:rPr>
        <w:t xml:space="preserve"> </w:t>
      </w:r>
      <w:r w:rsidR="00736D96" w:rsidRPr="00A87037">
        <w:rPr>
          <w:rFonts w:ascii="Garamond" w:hAnsi="Garamond"/>
        </w:rPr>
        <w:t xml:space="preserve"> </w:t>
      </w:r>
    </w:p>
    <w:p w:rsidR="003F15D7" w:rsidRPr="00A87037" w:rsidRDefault="00613C20" w:rsidP="00B13294">
      <w:pPr>
        <w:spacing w:line="360" w:lineRule="auto"/>
        <w:ind w:firstLine="720"/>
        <w:jc w:val="both"/>
        <w:rPr>
          <w:rFonts w:ascii="Garamond" w:hAnsi="Garamond"/>
        </w:rPr>
      </w:pPr>
      <w:r w:rsidRPr="00A87037">
        <w:rPr>
          <w:rFonts w:ascii="Garamond" w:hAnsi="Garamond"/>
        </w:rPr>
        <w:t>Namun ternyata kesejajaran Kaleb dan Yosua dalam narasi Bilangan 13-14 tampak kurang bisa dipahami dan ditelaah dengan baik dalam konteks praksis jemaat.</w:t>
      </w:r>
      <w:r w:rsidR="006025D1">
        <w:rPr>
          <w:rStyle w:val="FootnoteReference"/>
          <w:rFonts w:ascii="Garamond" w:hAnsi="Garamond"/>
        </w:rPr>
        <w:footnoteReference w:id="5"/>
      </w:r>
      <w:r w:rsidRPr="00A87037">
        <w:rPr>
          <w:rFonts w:ascii="Garamond" w:hAnsi="Garamond"/>
        </w:rPr>
        <w:t xml:space="preserve"> Sebuah contoh nyata di mana</w:t>
      </w:r>
      <w:r w:rsidR="008C0355" w:rsidRPr="00A87037">
        <w:rPr>
          <w:rFonts w:ascii="Garamond" w:hAnsi="Garamond"/>
        </w:rPr>
        <w:t xml:space="preserve"> hal ini penulis jumpai sendiri – sekaligus menjadi latar belakang dari tulisan ini, yaitu ketika penulis m</w:t>
      </w:r>
      <w:r w:rsidR="004058A8" w:rsidRPr="00A87037">
        <w:rPr>
          <w:rFonts w:ascii="Garamond" w:hAnsi="Garamond"/>
        </w:rPr>
        <w:t>engikuti sebuah K</w:t>
      </w:r>
      <w:r w:rsidR="00F06C34" w:rsidRPr="00A87037">
        <w:rPr>
          <w:rFonts w:ascii="Garamond" w:hAnsi="Garamond"/>
        </w:rPr>
        <w:t xml:space="preserve">ebaktian Minggu di salah satu gereja suku yang berlokasi di Cipanas, Jawa Barat. Sang pengkhotbah </w:t>
      </w:r>
      <w:r w:rsidR="004058A8" w:rsidRPr="00A87037">
        <w:rPr>
          <w:rFonts w:ascii="Garamond" w:hAnsi="Garamond"/>
        </w:rPr>
        <w:t>yang bertugas</w:t>
      </w:r>
      <w:r w:rsidR="00F06C34" w:rsidRPr="00A87037">
        <w:rPr>
          <w:rFonts w:ascii="Garamond" w:hAnsi="Garamond"/>
        </w:rPr>
        <w:t xml:space="preserve"> mengulas teks Bilangan 14:</w:t>
      </w:r>
      <w:r w:rsidR="000D372B" w:rsidRPr="00A87037">
        <w:rPr>
          <w:rFonts w:ascii="Garamond" w:hAnsi="Garamond"/>
        </w:rPr>
        <w:t>24 yang berbunyi “</w:t>
      </w:r>
      <w:r w:rsidR="000D372B" w:rsidRPr="00A87037">
        <w:rPr>
          <w:rFonts w:ascii="Garamond" w:hAnsi="Garamond"/>
          <w:i/>
        </w:rPr>
        <w:t>Tetapi hamba-Ku Kaleb, karena lain jiwa yang ada padanya dan ia mengikut Aku dengan sepenuhnya, akan Kubawa masuk ke negeri yang telah dimasukinya itu, dan keturunannya akan memilikinya</w:t>
      </w:r>
      <w:r w:rsidR="000D372B" w:rsidRPr="00A87037">
        <w:rPr>
          <w:rFonts w:ascii="Garamond" w:hAnsi="Garamond"/>
        </w:rPr>
        <w:t xml:space="preserve">.” </w:t>
      </w:r>
      <w:r w:rsidR="00D807C8" w:rsidRPr="00A87037">
        <w:rPr>
          <w:rFonts w:ascii="Garamond" w:hAnsi="Garamond"/>
        </w:rPr>
        <w:t>Dalam khotbah yang disampaikan</w:t>
      </w:r>
      <w:r w:rsidR="001020D4" w:rsidRPr="00A87037">
        <w:rPr>
          <w:rFonts w:ascii="Garamond" w:hAnsi="Garamond"/>
        </w:rPr>
        <w:t xml:space="preserve">, Kaleb yang </w:t>
      </w:r>
      <w:r w:rsidR="008B4D3A" w:rsidRPr="00A87037">
        <w:rPr>
          <w:rFonts w:ascii="Garamond" w:hAnsi="Garamond"/>
        </w:rPr>
        <w:t>se</w:t>
      </w:r>
      <w:r w:rsidR="001020D4" w:rsidRPr="00A87037">
        <w:rPr>
          <w:rFonts w:ascii="Garamond" w:hAnsi="Garamond"/>
        </w:rPr>
        <w:t xml:space="preserve">mestinya merupakan </w:t>
      </w:r>
      <w:r w:rsidR="004058A8" w:rsidRPr="00A87037">
        <w:rPr>
          <w:rFonts w:ascii="Garamond" w:hAnsi="Garamond"/>
        </w:rPr>
        <w:t>tokoh</w:t>
      </w:r>
      <w:r w:rsidR="001020D4" w:rsidRPr="00A87037">
        <w:rPr>
          <w:rFonts w:ascii="Garamond" w:hAnsi="Garamond"/>
        </w:rPr>
        <w:t xml:space="preserve"> utama dalam ulasan ternyata</w:t>
      </w:r>
      <w:r w:rsidR="008C0355" w:rsidRPr="00A87037">
        <w:rPr>
          <w:rFonts w:ascii="Garamond" w:hAnsi="Garamond"/>
        </w:rPr>
        <w:t xml:space="preserve"> tak terekspos dengan baik,</w:t>
      </w:r>
      <w:r w:rsidR="00A42373" w:rsidRPr="00A87037">
        <w:rPr>
          <w:rFonts w:ascii="Garamond" w:hAnsi="Garamond"/>
        </w:rPr>
        <w:t xml:space="preserve"> </w:t>
      </w:r>
      <w:r w:rsidR="00A42373" w:rsidRPr="00A87037">
        <w:rPr>
          <w:rFonts w:ascii="Garamond" w:hAnsi="Garamond"/>
        </w:rPr>
        <w:lastRenderedPageBreak/>
        <w:t>Kaleb</w:t>
      </w:r>
      <w:r w:rsidR="004058A8" w:rsidRPr="00A87037">
        <w:rPr>
          <w:rFonts w:ascii="Garamond" w:hAnsi="Garamond"/>
        </w:rPr>
        <w:t xml:space="preserve"> justru</w:t>
      </w:r>
      <w:r w:rsidR="008C0355" w:rsidRPr="00A87037">
        <w:rPr>
          <w:rFonts w:ascii="Garamond" w:hAnsi="Garamond"/>
        </w:rPr>
        <w:t xml:space="preserve"> </w:t>
      </w:r>
      <w:r w:rsidR="001020D4" w:rsidRPr="00A87037">
        <w:rPr>
          <w:rFonts w:ascii="Garamond" w:hAnsi="Garamond"/>
        </w:rPr>
        <w:t>tergantikan oleh Yosua bin Nun; sang pengkhotbah</w:t>
      </w:r>
      <w:r w:rsidR="004058A8" w:rsidRPr="00A87037">
        <w:rPr>
          <w:rFonts w:ascii="Garamond" w:hAnsi="Garamond"/>
        </w:rPr>
        <w:t xml:space="preserve"> juga</w:t>
      </w:r>
      <w:r w:rsidR="008C0355" w:rsidRPr="00A87037">
        <w:rPr>
          <w:rFonts w:ascii="Garamond" w:hAnsi="Garamond"/>
        </w:rPr>
        <w:t xml:space="preserve"> tampak</w:t>
      </w:r>
      <w:r w:rsidR="001020D4" w:rsidRPr="00A87037">
        <w:rPr>
          <w:rFonts w:ascii="Garamond" w:hAnsi="Garamond"/>
        </w:rPr>
        <w:t xml:space="preserve"> lebih antusias untuk membicarakan Yosua ketimbang Kaleb.</w:t>
      </w:r>
      <w:r w:rsidR="00B13294">
        <w:rPr>
          <w:rFonts w:ascii="Garamond" w:hAnsi="Garamond"/>
        </w:rPr>
        <w:t xml:space="preserve"> Seketika, panorama yang terlihat dalam khotbah tersebut adalah bahwa Yosua lebih superior daripada Kaleb, atau Kaleb tidak lebih daripada Yosua. Benarkah demikian? Tentu tidak. </w:t>
      </w:r>
    </w:p>
    <w:p w:rsidR="00C4444F" w:rsidRPr="00C4444F" w:rsidRDefault="00B13294" w:rsidP="00BE32D3">
      <w:pPr>
        <w:spacing w:line="360" w:lineRule="auto"/>
        <w:ind w:firstLine="720"/>
        <w:jc w:val="both"/>
        <w:rPr>
          <w:rFonts w:ascii="Garamond" w:hAnsi="Garamond"/>
        </w:rPr>
      </w:pPr>
      <w:r>
        <w:rPr>
          <w:rFonts w:ascii="Garamond" w:hAnsi="Garamond"/>
          <w:i/>
        </w:rPr>
        <w:t>Case</w:t>
      </w:r>
      <w:r>
        <w:rPr>
          <w:rFonts w:ascii="Garamond" w:hAnsi="Garamond"/>
        </w:rPr>
        <w:t xml:space="preserve"> lain</w:t>
      </w:r>
      <w:r w:rsidR="00FE4083">
        <w:rPr>
          <w:rFonts w:ascii="Garamond" w:hAnsi="Garamond"/>
        </w:rPr>
        <w:t xml:space="preserve"> </w:t>
      </w:r>
      <w:r>
        <w:rPr>
          <w:rFonts w:ascii="Garamond" w:hAnsi="Garamond"/>
        </w:rPr>
        <w:t xml:space="preserve"> adalah bahwa dalam </w:t>
      </w:r>
      <w:r w:rsidR="00DA7827">
        <w:rPr>
          <w:rFonts w:ascii="Garamond" w:hAnsi="Garamond"/>
        </w:rPr>
        <w:t>penelusuran</w:t>
      </w:r>
      <w:r>
        <w:rPr>
          <w:rFonts w:ascii="Garamond" w:hAnsi="Garamond"/>
        </w:rPr>
        <w:t xml:space="preserve"> pandangan para ahli Perjanjian Lama (PL) terhadap teks tersebut, Kaleb secara khusus</w:t>
      </w:r>
      <w:r w:rsidR="00AF7969">
        <w:rPr>
          <w:rFonts w:ascii="Garamond" w:hAnsi="Garamond"/>
        </w:rPr>
        <w:t xml:space="preserve"> – ditemukan bahwa ternyata sedikit sekali keterangan atau penjelasan </w:t>
      </w:r>
      <w:r w:rsidR="00162811">
        <w:rPr>
          <w:rFonts w:ascii="Garamond" w:hAnsi="Garamond"/>
        </w:rPr>
        <w:t>terhadap</w:t>
      </w:r>
      <w:r w:rsidR="00AF7969">
        <w:rPr>
          <w:rFonts w:ascii="Garamond" w:hAnsi="Garamond"/>
        </w:rPr>
        <w:t xml:space="preserve"> teks tersebut</w:t>
      </w:r>
      <w:r w:rsidR="002A0515">
        <w:rPr>
          <w:rFonts w:ascii="Garamond" w:hAnsi="Garamond"/>
        </w:rPr>
        <w:t xml:space="preserve"> dan Kaleb</w:t>
      </w:r>
      <w:r w:rsidR="00AF7969">
        <w:rPr>
          <w:rFonts w:ascii="Garamond" w:hAnsi="Garamond"/>
        </w:rPr>
        <w:t>; para ahli seperti George Buchanan Gray</w:t>
      </w:r>
      <w:r w:rsidR="00443A23">
        <w:rPr>
          <w:rStyle w:val="FootnoteReference"/>
          <w:rFonts w:ascii="Garamond" w:hAnsi="Garamond"/>
        </w:rPr>
        <w:footnoteReference w:id="6"/>
      </w:r>
      <w:r w:rsidR="00AF7969">
        <w:rPr>
          <w:rFonts w:ascii="Garamond" w:hAnsi="Garamond"/>
        </w:rPr>
        <w:t>, Gordon J. Wenham</w:t>
      </w:r>
      <w:r w:rsidR="00443A23">
        <w:rPr>
          <w:rStyle w:val="FootnoteReference"/>
          <w:rFonts w:ascii="Garamond" w:hAnsi="Garamond"/>
        </w:rPr>
        <w:footnoteReference w:id="7"/>
      </w:r>
      <w:r w:rsidR="00AF7969">
        <w:rPr>
          <w:rFonts w:ascii="Garamond" w:hAnsi="Garamond"/>
        </w:rPr>
        <w:t>, Timothy R. Ashley</w:t>
      </w:r>
      <w:r w:rsidR="00443A23">
        <w:rPr>
          <w:rStyle w:val="FootnoteReference"/>
          <w:rFonts w:ascii="Garamond" w:hAnsi="Garamond"/>
        </w:rPr>
        <w:footnoteReference w:id="8"/>
      </w:r>
      <w:r w:rsidR="00AF7969">
        <w:rPr>
          <w:rFonts w:ascii="Garamond" w:hAnsi="Garamond"/>
        </w:rPr>
        <w:t>, dan Raymond Brown</w:t>
      </w:r>
      <w:r w:rsidR="00443A23">
        <w:rPr>
          <w:rStyle w:val="FootnoteReference"/>
          <w:rFonts w:ascii="Garamond" w:hAnsi="Garamond"/>
        </w:rPr>
        <w:footnoteReference w:id="9"/>
      </w:r>
      <w:r w:rsidR="002A0515">
        <w:rPr>
          <w:rFonts w:ascii="Garamond" w:hAnsi="Garamond"/>
        </w:rPr>
        <w:t xml:space="preserve"> hanya menerangkan bahwa Kaleb merupakan rekan Yosua yang sama-sama memiliki </w:t>
      </w:r>
      <w:r w:rsidR="002A0515">
        <w:rPr>
          <w:rFonts w:ascii="Garamond" w:hAnsi="Garamond"/>
          <w:i/>
        </w:rPr>
        <w:t xml:space="preserve">different spirit </w:t>
      </w:r>
      <w:r w:rsidR="002A0515">
        <w:rPr>
          <w:rFonts w:ascii="Garamond" w:hAnsi="Garamond"/>
        </w:rPr>
        <w:t xml:space="preserve">sehingga mengikut Allah dengan </w:t>
      </w:r>
      <w:r w:rsidR="002A0515">
        <w:rPr>
          <w:rFonts w:ascii="Garamond" w:hAnsi="Garamond"/>
          <w:i/>
        </w:rPr>
        <w:t>wholeheartedly</w:t>
      </w:r>
      <w:r w:rsidR="002A0515">
        <w:rPr>
          <w:rFonts w:ascii="Garamond" w:hAnsi="Garamond"/>
        </w:rPr>
        <w:t>.</w:t>
      </w:r>
      <w:r w:rsidR="005962CD">
        <w:rPr>
          <w:rFonts w:ascii="Garamond" w:hAnsi="Garamond"/>
        </w:rPr>
        <w:t xml:space="preserve"> </w:t>
      </w:r>
      <w:r w:rsidR="00C14742">
        <w:rPr>
          <w:rFonts w:ascii="Garamond" w:hAnsi="Garamond"/>
        </w:rPr>
        <w:t xml:space="preserve">Keterangan tambahan </w:t>
      </w:r>
      <w:r w:rsidR="00596F91">
        <w:rPr>
          <w:rFonts w:ascii="Garamond" w:hAnsi="Garamond"/>
        </w:rPr>
        <w:t>tentang bagaimana</w:t>
      </w:r>
      <w:r w:rsidR="00C14742">
        <w:rPr>
          <w:rFonts w:ascii="Garamond" w:hAnsi="Garamond"/>
        </w:rPr>
        <w:t xml:space="preserve"> </w:t>
      </w:r>
      <w:r w:rsidR="00596F91">
        <w:rPr>
          <w:rFonts w:ascii="Garamond" w:hAnsi="Garamond"/>
          <w:i/>
        </w:rPr>
        <w:t xml:space="preserve">different spirit </w:t>
      </w:r>
      <w:r w:rsidR="00C14742">
        <w:rPr>
          <w:rFonts w:ascii="Garamond" w:hAnsi="Garamond"/>
        </w:rPr>
        <w:t>tersebut pun tidak ditemukan dalam pandangan mereka.</w:t>
      </w:r>
      <w:r w:rsidR="00956F35">
        <w:rPr>
          <w:rFonts w:ascii="Garamond" w:hAnsi="Garamond"/>
        </w:rPr>
        <w:t xml:space="preserve"> </w:t>
      </w:r>
      <w:r w:rsidR="00DA7827">
        <w:rPr>
          <w:rFonts w:ascii="Garamond" w:hAnsi="Garamond"/>
        </w:rPr>
        <w:t>Selain</w:t>
      </w:r>
      <w:r w:rsidR="00102A9F">
        <w:rPr>
          <w:rFonts w:ascii="Garamond" w:hAnsi="Garamond"/>
        </w:rPr>
        <w:t xml:space="preserve"> para ahli tersebut,</w:t>
      </w:r>
      <w:r w:rsidR="00DA7827">
        <w:rPr>
          <w:rFonts w:ascii="Garamond" w:hAnsi="Garamond"/>
        </w:rPr>
        <w:t xml:space="preserve"> </w:t>
      </w:r>
      <w:r w:rsidR="00E95297">
        <w:rPr>
          <w:rFonts w:ascii="Garamond" w:hAnsi="Garamond"/>
        </w:rPr>
        <w:t>penelitian terbaru dari Itamar Kislev</w:t>
      </w:r>
      <w:r w:rsidR="00E95297">
        <w:rPr>
          <w:rStyle w:val="FootnoteReference"/>
          <w:rFonts w:ascii="Garamond" w:hAnsi="Garamond"/>
        </w:rPr>
        <w:footnoteReference w:id="10"/>
      </w:r>
      <w:r w:rsidR="00C4444F">
        <w:rPr>
          <w:rFonts w:ascii="Garamond" w:hAnsi="Garamond"/>
        </w:rPr>
        <w:t xml:space="preserve"> </w:t>
      </w:r>
      <w:r w:rsidR="00B75EC4">
        <w:rPr>
          <w:rFonts w:ascii="Garamond" w:hAnsi="Garamond"/>
        </w:rPr>
        <w:t>tentang Yosua dan Kaleb menempatkan</w:t>
      </w:r>
      <w:r w:rsidR="00E95297">
        <w:rPr>
          <w:rFonts w:ascii="Garamond" w:hAnsi="Garamond"/>
        </w:rPr>
        <w:t xml:space="preserve"> </w:t>
      </w:r>
      <w:r w:rsidR="00042AD4">
        <w:rPr>
          <w:rFonts w:ascii="Garamond" w:hAnsi="Garamond"/>
        </w:rPr>
        <w:t>Kaleb</w:t>
      </w:r>
      <w:r w:rsidR="00AA54CB">
        <w:rPr>
          <w:rFonts w:ascii="Garamond" w:hAnsi="Garamond"/>
        </w:rPr>
        <w:t xml:space="preserve"> </w:t>
      </w:r>
      <w:r w:rsidR="006C7539">
        <w:rPr>
          <w:rFonts w:ascii="Garamond" w:hAnsi="Garamond"/>
        </w:rPr>
        <w:t xml:space="preserve">sebagai </w:t>
      </w:r>
      <w:r w:rsidR="00E95297">
        <w:rPr>
          <w:rFonts w:ascii="Garamond" w:hAnsi="Garamond"/>
          <w:i/>
        </w:rPr>
        <w:t xml:space="preserve">second person </w:t>
      </w:r>
      <w:r w:rsidR="00E95297">
        <w:rPr>
          <w:rFonts w:ascii="Garamond" w:hAnsi="Garamond"/>
        </w:rPr>
        <w:t xml:space="preserve">karena </w:t>
      </w:r>
      <w:r w:rsidR="006C7539">
        <w:rPr>
          <w:rFonts w:ascii="Garamond" w:hAnsi="Garamond"/>
        </w:rPr>
        <w:t xml:space="preserve">ia lebih menaruh perhatian terhadap Yosua </w:t>
      </w:r>
      <w:r w:rsidR="00DE2B9E">
        <w:rPr>
          <w:rFonts w:ascii="Garamond" w:hAnsi="Garamond"/>
        </w:rPr>
        <w:t>karena</w:t>
      </w:r>
      <w:r w:rsidR="00B822CE">
        <w:rPr>
          <w:rFonts w:ascii="Garamond" w:hAnsi="Garamond"/>
        </w:rPr>
        <w:t xml:space="preserve"> berangkat dari</w:t>
      </w:r>
      <w:r w:rsidR="006C7539">
        <w:rPr>
          <w:rFonts w:ascii="Garamond" w:hAnsi="Garamond"/>
        </w:rPr>
        <w:t xml:space="preserve"> </w:t>
      </w:r>
      <w:r w:rsidR="00B822CE">
        <w:rPr>
          <w:rFonts w:ascii="Garamond" w:hAnsi="Garamond"/>
        </w:rPr>
        <w:t xml:space="preserve">kajian </w:t>
      </w:r>
      <w:r w:rsidR="006C7539">
        <w:rPr>
          <w:rFonts w:ascii="Garamond" w:hAnsi="Garamond"/>
        </w:rPr>
        <w:t>materi sumber P (</w:t>
      </w:r>
      <w:r w:rsidR="006C7539">
        <w:rPr>
          <w:rFonts w:ascii="Garamond" w:hAnsi="Garamond"/>
          <w:i/>
        </w:rPr>
        <w:t>the Priest</w:t>
      </w:r>
      <w:r w:rsidR="0008189E">
        <w:rPr>
          <w:rFonts w:ascii="Garamond" w:hAnsi="Garamond"/>
          <w:i/>
        </w:rPr>
        <w:t>l</w:t>
      </w:r>
      <w:r w:rsidR="006C7539">
        <w:rPr>
          <w:rFonts w:ascii="Garamond" w:hAnsi="Garamond"/>
          <w:i/>
        </w:rPr>
        <w:t>y Source</w:t>
      </w:r>
      <w:r w:rsidR="006C7539">
        <w:rPr>
          <w:rFonts w:ascii="Garamond" w:hAnsi="Garamond"/>
        </w:rPr>
        <w:t>).</w:t>
      </w:r>
      <w:r w:rsidR="003E43A6">
        <w:rPr>
          <w:rFonts w:ascii="Garamond" w:hAnsi="Garamond"/>
        </w:rPr>
        <w:t xml:space="preserve"> </w:t>
      </w:r>
      <w:r w:rsidR="00C4444F">
        <w:rPr>
          <w:rFonts w:ascii="Garamond" w:hAnsi="Garamond"/>
        </w:rPr>
        <w:t xml:space="preserve">Selain Kislev, Howard J. Curzer juga melakukan interpretasi terhadap Bilangan 13–14, namun lebih menekankan kepada tokoh Musa sang pemimpin umat Israel. Keberadaan Yosua dan Kaleb dalam kajiannya hanya sebatas </w:t>
      </w:r>
      <w:r w:rsidR="00C4444F">
        <w:rPr>
          <w:rFonts w:ascii="Garamond" w:hAnsi="Garamond"/>
          <w:i/>
        </w:rPr>
        <w:t>the intelligence agency of twelve spies</w:t>
      </w:r>
      <w:r w:rsidR="00C4444F">
        <w:rPr>
          <w:rFonts w:ascii="Garamond" w:hAnsi="Garamond"/>
        </w:rPr>
        <w:t xml:space="preserve"> yang kemudian memberikan laporan yang berbeda dengan sepuluh pengintai lainnya.</w:t>
      </w:r>
      <w:r w:rsidR="00C8186B">
        <w:rPr>
          <w:rStyle w:val="FootnoteReference"/>
          <w:rFonts w:ascii="Garamond" w:hAnsi="Garamond"/>
        </w:rPr>
        <w:footnoteReference w:id="11"/>
      </w:r>
    </w:p>
    <w:p w:rsidR="002135F2" w:rsidRPr="00CF54C3" w:rsidRDefault="003E43A6" w:rsidP="00BE32D3">
      <w:pPr>
        <w:spacing w:line="360" w:lineRule="auto"/>
        <w:ind w:firstLine="720"/>
        <w:jc w:val="both"/>
        <w:rPr>
          <w:rFonts w:ascii="Garamond" w:hAnsi="Garamond"/>
        </w:rPr>
      </w:pPr>
      <w:r>
        <w:rPr>
          <w:rFonts w:ascii="Garamond" w:hAnsi="Garamond"/>
        </w:rPr>
        <w:t xml:space="preserve">Dari </w:t>
      </w:r>
      <w:r w:rsidR="001A3CB3">
        <w:rPr>
          <w:rFonts w:ascii="Garamond" w:hAnsi="Garamond"/>
        </w:rPr>
        <w:t xml:space="preserve">dua </w:t>
      </w:r>
      <w:r w:rsidR="001A3CB3">
        <w:rPr>
          <w:rFonts w:ascii="Garamond" w:hAnsi="Garamond"/>
          <w:i/>
        </w:rPr>
        <w:t>case</w:t>
      </w:r>
      <w:r w:rsidR="001A3CB3">
        <w:rPr>
          <w:rFonts w:ascii="Garamond" w:hAnsi="Garamond"/>
        </w:rPr>
        <w:t xml:space="preserve"> di atas, </w:t>
      </w:r>
      <w:r w:rsidR="00DE2B9E">
        <w:rPr>
          <w:rFonts w:ascii="Garamond" w:hAnsi="Garamond"/>
        </w:rPr>
        <w:t xml:space="preserve">yang ingin penulis perlihatkan adalah bahwa sosok Kaleb secara empiris, tampaknya hanya dilihat sebagai </w:t>
      </w:r>
      <w:r w:rsidR="0051141E">
        <w:rPr>
          <w:rFonts w:ascii="Garamond" w:hAnsi="Garamond"/>
        </w:rPr>
        <w:t xml:space="preserve">figur yang </w:t>
      </w:r>
      <w:r w:rsidR="0051141E">
        <w:rPr>
          <w:rFonts w:ascii="Garamond" w:hAnsi="Garamond"/>
          <w:i/>
        </w:rPr>
        <w:t>low</w:t>
      </w:r>
      <w:r w:rsidR="001A3CB3">
        <w:rPr>
          <w:rFonts w:ascii="Garamond" w:hAnsi="Garamond"/>
          <w:i/>
        </w:rPr>
        <w:t>er</w:t>
      </w:r>
      <w:r w:rsidR="0051141E">
        <w:rPr>
          <w:rFonts w:ascii="Garamond" w:hAnsi="Garamond"/>
          <w:i/>
        </w:rPr>
        <w:t xml:space="preserve"> </w:t>
      </w:r>
      <w:r w:rsidR="00075B6D">
        <w:rPr>
          <w:rFonts w:ascii="Garamond" w:hAnsi="Garamond"/>
        </w:rPr>
        <w:t xml:space="preserve">(dalam arti bahwa figur Kaleb tidak semenarik Yosua) </w:t>
      </w:r>
      <w:r w:rsidR="0051141E">
        <w:rPr>
          <w:rFonts w:ascii="Garamond" w:hAnsi="Garamond"/>
        </w:rPr>
        <w:t xml:space="preserve">sehingga tidak </w:t>
      </w:r>
      <w:r w:rsidR="005756E4">
        <w:rPr>
          <w:rFonts w:ascii="Garamond" w:hAnsi="Garamond"/>
        </w:rPr>
        <w:t>terlalu</w:t>
      </w:r>
      <w:r w:rsidR="0051141E">
        <w:rPr>
          <w:rFonts w:ascii="Garamond" w:hAnsi="Garamond"/>
        </w:rPr>
        <w:t xml:space="preserve"> </w:t>
      </w:r>
      <w:r w:rsidR="005756E4">
        <w:rPr>
          <w:rFonts w:ascii="Garamond" w:hAnsi="Garamond"/>
        </w:rPr>
        <w:t xml:space="preserve">mendapat </w:t>
      </w:r>
      <w:r w:rsidR="0051141E">
        <w:rPr>
          <w:rFonts w:ascii="Garamond" w:hAnsi="Garamond"/>
        </w:rPr>
        <w:t>perhatian yan</w:t>
      </w:r>
      <w:r w:rsidR="00CF54C3">
        <w:rPr>
          <w:rFonts w:ascii="Garamond" w:hAnsi="Garamond"/>
        </w:rPr>
        <w:t>g signifikan dari para ahli PL.</w:t>
      </w:r>
      <w:r w:rsidR="00AA54CB">
        <w:rPr>
          <w:rFonts w:ascii="Garamond" w:hAnsi="Garamond"/>
        </w:rPr>
        <w:t xml:space="preserve"> </w:t>
      </w:r>
      <w:r w:rsidR="002B57EB">
        <w:rPr>
          <w:rFonts w:ascii="Garamond" w:hAnsi="Garamond"/>
        </w:rPr>
        <w:t>P</w:t>
      </w:r>
      <w:r w:rsidR="00CF54C3">
        <w:rPr>
          <w:rFonts w:ascii="Garamond" w:hAnsi="Garamond"/>
        </w:rPr>
        <w:t>enelitian ini</w:t>
      </w:r>
      <w:r w:rsidR="00530BD9">
        <w:rPr>
          <w:rFonts w:ascii="Garamond" w:hAnsi="Garamond"/>
        </w:rPr>
        <w:t xml:space="preserve"> bertujuan</w:t>
      </w:r>
      <w:r w:rsidR="00CF54C3">
        <w:rPr>
          <w:rFonts w:ascii="Garamond" w:hAnsi="Garamond"/>
        </w:rPr>
        <w:t xml:space="preserve"> </w:t>
      </w:r>
      <w:r w:rsidR="002135F2">
        <w:rPr>
          <w:rFonts w:ascii="Garamond" w:hAnsi="Garamond"/>
        </w:rPr>
        <w:t>menelusuri teks Bil</w:t>
      </w:r>
      <w:r w:rsidR="00CF54C3">
        <w:rPr>
          <w:rFonts w:ascii="Garamond" w:hAnsi="Garamond"/>
        </w:rPr>
        <w:t>angan 14:24</w:t>
      </w:r>
      <w:r w:rsidR="002135F2">
        <w:rPr>
          <w:rFonts w:ascii="Garamond" w:hAnsi="Garamond"/>
        </w:rPr>
        <w:t xml:space="preserve"> guna mengekspos tentang siapak</w:t>
      </w:r>
      <w:r w:rsidR="001A3CB3">
        <w:rPr>
          <w:rFonts w:ascii="Garamond" w:hAnsi="Garamond"/>
        </w:rPr>
        <w:t>ah Kaleb;</w:t>
      </w:r>
      <w:r w:rsidR="00BE32D3">
        <w:rPr>
          <w:rFonts w:ascii="Garamond" w:hAnsi="Garamond"/>
        </w:rPr>
        <w:t xml:space="preserve"> dalam teks tersebut penelitian akan terfokus terhadap</w:t>
      </w:r>
      <w:r w:rsidR="00386AB1">
        <w:rPr>
          <w:rFonts w:ascii="Garamond" w:hAnsi="Garamond"/>
        </w:rPr>
        <w:t xml:space="preserve"> dua</w:t>
      </w:r>
      <w:r w:rsidR="00BE32D3">
        <w:rPr>
          <w:rFonts w:ascii="Garamond" w:hAnsi="Garamond"/>
        </w:rPr>
        <w:t xml:space="preserve"> alasan mengapa Tuhan berkenan kepadanya yaitu karena</w:t>
      </w:r>
      <w:r w:rsidR="002135F2">
        <w:rPr>
          <w:rFonts w:ascii="Garamond" w:hAnsi="Garamond"/>
        </w:rPr>
        <w:t xml:space="preserve"> “</w:t>
      </w:r>
      <w:r w:rsidR="002135F2" w:rsidRPr="00A87037">
        <w:rPr>
          <w:rFonts w:ascii="Garamond" w:hAnsi="Garamond"/>
          <w:i/>
        </w:rPr>
        <w:t>lain jiwa yang ada padanya</w:t>
      </w:r>
      <w:r w:rsidR="002135F2" w:rsidRPr="002135F2">
        <w:rPr>
          <w:rFonts w:ascii="Garamond" w:hAnsi="Garamond"/>
        </w:rPr>
        <w:t>”</w:t>
      </w:r>
      <w:r w:rsidR="002135F2">
        <w:rPr>
          <w:rFonts w:ascii="Garamond" w:hAnsi="Garamond"/>
        </w:rPr>
        <w:t xml:space="preserve"> </w:t>
      </w:r>
      <w:r w:rsidR="00CF54C3">
        <w:rPr>
          <w:rFonts w:ascii="Garamond" w:hAnsi="Garamond"/>
        </w:rPr>
        <w:t xml:space="preserve">dan </w:t>
      </w:r>
      <w:r w:rsidR="00BE32D3">
        <w:rPr>
          <w:rFonts w:ascii="Garamond" w:hAnsi="Garamond"/>
        </w:rPr>
        <w:t>“</w:t>
      </w:r>
      <w:r w:rsidR="00CF54C3" w:rsidRPr="00BE32D3">
        <w:rPr>
          <w:rFonts w:ascii="Garamond" w:hAnsi="Garamond"/>
          <w:i/>
        </w:rPr>
        <w:t>ia</w:t>
      </w:r>
      <w:r w:rsidR="00BE32D3">
        <w:rPr>
          <w:rFonts w:ascii="Garamond" w:hAnsi="Garamond"/>
        </w:rPr>
        <w:t xml:space="preserve"> </w:t>
      </w:r>
      <w:r w:rsidR="00CF54C3">
        <w:rPr>
          <w:rFonts w:ascii="Garamond" w:hAnsi="Garamond"/>
          <w:i/>
        </w:rPr>
        <w:t>mengikut Aku dengan sepenuhnya</w:t>
      </w:r>
      <w:r w:rsidR="00CF54C3">
        <w:rPr>
          <w:rFonts w:ascii="Garamond" w:hAnsi="Garamond"/>
        </w:rPr>
        <w:t>”</w:t>
      </w:r>
      <w:r w:rsidR="00BE32D3">
        <w:rPr>
          <w:rFonts w:ascii="Garamond" w:hAnsi="Garamond"/>
        </w:rPr>
        <w:t>. P</w:t>
      </w:r>
      <w:r w:rsidR="00F172EF">
        <w:rPr>
          <w:rFonts w:ascii="Garamond" w:hAnsi="Garamond"/>
        </w:rPr>
        <w:t>enelitian terhadap Kaleb dilakukan dalam kerangka untuk menemukan “jejak imannya”</w:t>
      </w:r>
      <w:r w:rsidR="00AB4C2A">
        <w:rPr>
          <w:rFonts w:ascii="Garamond" w:hAnsi="Garamond"/>
        </w:rPr>
        <w:t xml:space="preserve">, </w:t>
      </w:r>
      <w:r w:rsidR="000276CA">
        <w:rPr>
          <w:rFonts w:ascii="Garamond" w:hAnsi="Garamond"/>
        </w:rPr>
        <w:t>dikarenakan</w:t>
      </w:r>
      <w:r w:rsidR="00AB4C2A">
        <w:rPr>
          <w:rFonts w:ascii="Garamond" w:hAnsi="Garamond"/>
        </w:rPr>
        <w:t xml:space="preserve"> Kaleb sebagaimana telah dipaparkan di atas merupakan seorang </w:t>
      </w:r>
      <w:r w:rsidR="00AB4C2A">
        <w:rPr>
          <w:rFonts w:ascii="Garamond" w:hAnsi="Garamond"/>
          <w:i/>
        </w:rPr>
        <w:t>leader</w:t>
      </w:r>
      <w:r w:rsidR="00AB4C2A">
        <w:rPr>
          <w:rFonts w:ascii="Garamond" w:hAnsi="Garamond"/>
        </w:rPr>
        <w:t xml:space="preserve"> sekaligus salah satu figur yang diperkenankan Tu</w:t>
      </w:r>
      <w:r w:rsidR="000276CA">
        <w:rPr>
          <w:rFonts w:ascii="Garamond" w:hAnsi="Garamond"/>
        </w:rPr>
        <w:t>han untuk memasuki tanah Kanaan,</w:t>
      </w:r>
      <w:r w:rsidR="0083759A">
        <w:rPr>
          <w:rFonts w:ascii="Garamond" w:hAnsi="Garamond"/>
        </w:rPr>
        <w:t xml:space="preserve"> sebab</w:t>
      </w:r>
      <w:r w:rsidR="00AB4C2A">
        <w:rPr>
          <w:rFonts w:ascii="Garamond" w:hAnsi="Garamond"/>
        </w:rPr>
        <w:t xml:space="preserve"> tentu </w:t>
      </w:r>
      <w:r w:rsidR="0083759A">
        <w:rPr>
          <w:rFonts w:ascii="Garamond" w:hAnsi="Garamond"/>
        </w:rPr>
        <w:t>ketika Tuhan berkenan</w:t>
      </w:r>
      <w:r w:rsidR="00AB4C2A">
        <w:rPr>
          <w:rFonts w:ascii="Garamond" w:hAnsi="Garamond"/>
        </w:rPr>
        <w:t xml:space="preserve"> </w:t>
      </w:r>
      <w:r w:rsidR="0083759A">
        <w:rPr>
          <w:rFonts w:ascii="Garamond" w:hAnsi="Garamond"/>
        </w:rPr>
        <w:t>kepada</w:t>
      </w:r>
      <w:r w:rsidR="00AB4C2A">
        <w:rPr>
          <w:rFonts w:ascii="Garamond" w:hAnsi="Garamond"/>
        </w:rPr>
        <w:t xml:space="preserve"> seseorang</w:t>
      </w:r>
      <w:r w:rsidR="0083759A">
        <w:rPr>
          <w:rFonts w:ascii="Garamond" w:hAnsi="Garamond"/>
        </w:rPr>
        <w:t>,</w:t>
      </w:r>
      <w:r w:rsidR="00AB4C2A">
        <w:rPr>
          <w:rFonts w:ascii="Garamond" w:hAnsi="Garamond"/>
        </w:rPr>
        <w:t xml:space="preserve"> pastilah </w:t>
      </w:r>
      <w:r w:rsidR="0083759A">
        <w:rPr>
          <w:rFonts w:ascii="Garamond" w:hAnsi="Garamond"/>
        </w:rPr>
        <w:t xml:space="preserve">orang </w:t>
      </w:r>
      <w:r w:rsidR="0083759A">
        <w:rPr>
          <w:rFonts w:ascii="Garamond" w:hAnsi="Garamond"/>
        </w:rPr>
        <w:lastRenderedPageBreak/>
        <w:t xml:space="preserve">tersebut </w:t>
      </w:r>
      <w:r w:rsidR="00AB4C2A">
        <w:rPr>
          <w:rFonts w:ascii="Garamond" w:hAnsi="Garamond"/>
        </w:rPr>
        <w:t>memiliki “kualitas diri yang baik” di mata Tuhan.</w:t>
      </w:r>
      <w:r w:rsidR="00F172EF">
        <w:rPr>
          <w:rFonts w:ascii="Garamond" w:hAnsi="Garamond"/>
        </w:rPr>
        <w:t xml:space="preserve"> </w:t>
      </w:r>
      <w:r w:rsidR="0083759A">
        <w:rPr>
          <w:rFonts w:ascii="Garamond" w:hAnsi="Garamond"/>
        </w:rPr>
        <w:t>Dalam hal ini pula p</w:t>
      </w:r>
      <w:r w:rsidR="00CF54C3">
        <w:rPr>
          <w:rFonts w:ascii="Garamond" w:hAnsi="Garamond"/>
        </w:rPr>
        <w:t>enelitian ini</w:t>
      </w:r>
      <w:r w:rsidR="0083759A">
        <w:rPr>
          <w:rFonts w:ascii="Garamond" w:hAnsi="Garamond"/>
        </w:rPr>
        <w:t xml:space="preserve"> menjadi</w:t>
      </w:r>
      <w:r w:rsidR="00CF54C3">
        <w:rPr>
          <w:rFonts w:ascii="Garamond" w:hAnsi="Garamond"/>
        </w:rPr>
        <w:t xml:space="preserve"> penting dilakukan guna menghindari “</w:t>
      </w:r>
      <w:r w:rsidR="00A83BE9">
        <w:rPr>
          <w:rFonts w:ascii="Garamond" w:hAnsi="Garamond"/>
        </w:rPr>
        <w:t>pengabaian</w:t>
      </w:r>
      <w:r w:rsidR="00CF54C3">
        <w:rPr>
          <w:rFonts w:ascii="Garamond" w:hAnsi="Garamond"/>
        </w:rPr>
        <w:t xml:space="preserve">” figur Kaleb baik dalam ranah praksis maupun teoritis (dalam konteks penelitian para ahli yang sangat minim terhadapnya). </w:t>
      </w:r>
    </w:p>
    <w:p w:rsidR="00C015DF" w:rsidRDefault="00DF4FE0" w:rsidP="00C015DF">
      <w:pPr>
        <w:spacing w:line="360" w:lineRule="auto"/>
        <w:jc w:val="both"/>
        <w:rPr>
          <w:rFonts w:ascii="Garamond" w:hAnsi="Garamond"/>
          <w:b/>
        </w:rPr>
      </w:pPr>
      <w:r>
        <w:rPr>
          <w:rFonts w:ascii="Garamond" w:hAnsi="Garamond"/>
          <w:b/>
        </w:rPr>
        <w:t>METODE PENELITIAN</w:t>
      </w:r>
    </w:p>
    <w:p w:rsidR="00FE7243" w:rsidRDefault="0065325F" w:rsidP="00FC75B4">
      <w:pPr>
        <w:spacing w:line="360" w:lineRule="auto"/>
        <w:ind w:firstLine="720"/>
        <w:jc w:val="both"/>
        <w:rPr>
          <w:rFonts w:ascii="Garamond" w:hAnsi="Garamond"/>
        </w:rPr>
      </w:pPr>
      <w:r>
        <w:rPr>
          <w:rFonts w:ascii="Garamond" w:hAnsi="Garamond"/>
        </w:rPr>
        <w:t xml:space="preserve">Penelitian ini </w:t>
      </w:r>
      <w:r w:rsidR="007E19E7">
        <w:rPr>
          <w:rFonts w:ascii="Garamond" w:hAnsi="Garamond"/>
        </w:rPr>
        <w:t>berusaha</w:t>
      </w:r>
      <w:r>
        <w:rPr>
          <w:rFonts w:ascii="Garamond" w:hAnsi="Garamond"/>
        </w:rPr>
        <w:t xml:space="preserve"> mencari makna teks Bilangan 14:24 yang menerangkan figur Kaleb bin Yefune. Pencarian makna terhadapnya menggunakan metode hermeneutik </w:t>
      </w:r>
      <w:r w:rsidR="00386AB1">
        <w:rPr>
          <w:rFonts w:ascii="Garamond" w:hAnsi="Garamond"/>
        </w:rPr>
        <w:t>yang</w:t>
      </w:r>
      <w:r>
        <w:rPr>
          <w:rFonts w:ascii="Garamond" w:hAnsi="Garamond"/>
        </w:rPr>
        <w:t xml:space="preserve"> didukung oleh konteks sosio-historis.</w:t>
      </w:r>
      <w:r>
        <w:rPr>
          <w:rStyle w:val="FootnoteReference"/>
          <w:rFonts w:ascii="Garamond" w:hAnsi="Garamond"/>
        </w:rPr>
        <w:footnoteReference w:id="12"/>
      </w:r>
      <w:r>
        <w:rPr>
          <w:rFonts w:ascii="Garamond" w:hAnsi="Garamond"/>
        </w:rPr>
        <w:t xml:space="preserve"> Spesifiknya, metode tafsir yang akan digunakan adalah model </w:t>
      </w:r>
      <w:r>
        <w:rPr>
          <w:rFonts w:ascii="Garamond" w:hAnsi="Garamond"/>
          <w:i/>
        </w:rPr>
        <w:t>grammatical analysis</w:t>
      </w:r>
      <w:r>
        <w:rPr>
          <w:rFonts w:ascii="Garamond" w:hAnsi="Garamond"/>
        </w:rPr>
        <w:t>.</w:t>
      </w:r>
      <w:r w:rsidR="00147375">
        <w:rPr>
          <w:rFonts w:ascii="Garamond" w:hAnsi="Garamond"/>
        </w:rPr>
        <w:t xml:space="preserve"> Begini penjelasan dari </w:t>
      </w:r>
      <w:r w:rsidR="00386AB1">
        <w:rPr>
          <w:rFonts w:ascii="Garamond" w:hAnsi="Garamond"/>
        </w:rPr>
        <w:t>Grant R. Osborne tentang</w:t>
      </w:r>
      <w:r w:rsidR="00721DA9">
        <w:rPr>
          <w:rFonts w:ascii="Garamond" w:hAnsi="Garamond"/>
        </w:rPr>
        <w:t xml:space="preserve"> </w:t>
      </w:r>
      <w:r w:rsidR="00721DA9">
        <w:rPr>
          <w:rFonts w:ascii="Garamond" w:hAnsi="Garamond"/>
          <w:i/>
        </w:rPr>
        <w:t>grammatical analysis</w:t>
      </w:r>
      <w:r w:rsidR="00721DA9">
        <w:rPr>
          <w:rFonts w:ascii="Garamond" w:hAnsi="Garamond"/>
        </w:rPr>
        <w:t xml:space="preserve">, </w:t>
      </w:r>
      <w:r w:rsidR="00386AB1">
        <w:rPr>
          <w:rFonts w:ascii="Garamond" w:hAnsi="Garamond"/>
        </w:rPr>
        <w:t>yakni</w:t>
      </w:r>
      <w:r w:rsidR="00FC75B4">
        <w:rPr>
          <w:rFonts w:ascii="Garamond" w:hAnsi="Garamond"/>
        </w:rPr>
        <w:t xml:space="preserve"> </w:t>
      </w:r>
      <w:r w:rsidR="003A099B">
        <w:rPr>
          <w:rFonts w:ascii="Garamond" w:hAnsi="Garamond"/>
        </w:rPr>
        <w:t>model pendekatan yang menganalisis hubungan antara masing-masing unit atau istilah</w:t>
      </w:r>
      <w:r w:rsidR="009F51FC">
        <w:rPr>
          <w:rFonts w:ascii="Garamond" w:hAnsi="Garamond"/>
        </w:rPr>
        <w:t xml:space="preserve"> atau frasa</w:t>
      </w:r>
      <w:r w:rsidR="003A099B">
        <w:rPr>
          <w:rFonts w:ascii="Garamond" w:hAnsi="Garamond"/>
        </w:rPr>
        <w:t xml:space="preserve"> dalam teks untuk menemukan kohesinya</w:t>
      </w:r>
      <w:r w:rsidR="00C74B31">
        <w:rPr>
          <w:rFonts w:ascii="Garamond" w:hAnsi="Garamond"/>
        </w:rPr>
        <w:t xml:space="preserve"> secara utuh.</w:t>
      </w:r>
      <w:r w:rsidR="003E24F3">
        <w:rPr>
          <w:rStyle w:val="FootnoteReference"/>
          <w:rFonts w:ascii="Garamond" w:hAnsi="Garamond"/>
        </w:rPr>
        <w:footnoteReference w:id="13"/>
      </w:r>
      <w:r w:rsidR="00386AB1">
        <w:rPr>
          <w:rFonts w:ascii="Garamond" w:hAnsi="Garamond"/>
        </w:rPr>
        <w:t xml:space="preserve"> Meski demikian, penelitian ini akan tetap menyertakan</w:t>
      </w:r>
      <w:r w:rsidR="00167C6B">
        <w:rPr>
          <w:rFonts w:ascii="Garamond" w:hAnsi="Garamond"/>
        </w:rPr>
        <w:t xml:space="preserve"> komponen seperti tradisi (sumber) dari mana teks tersebut berasal dan </w:t>
      </w:r>
      <w:r w:rsidR="00386AB1">
        <w:rPr>
          <w:rFonts w:ascii="Garamond" w:hAnsi="Garamond"/>
        </w:rPr>
        <w:t xml:space="preserve">konteks dalam teks Bilangan 14:24 tersebut guna memeroleh gambaran sebelum memahami </w:t>
      </w:r>
      <w:r w:rsidR="00167C6B">
        <w:rPr>
          <w:rFonts w:ascii="Garamond" w:hAnsi="Garamond"/>
        </w:rPr>
        <w:t xml:space="preserve">dua alasan yang akan diterangkan kemudian. </w:t>
      </w:r>
    </w:p>
    <w:p w:rsidR="00412847" w:rsidRDefault="00412847" w:rsidP="00412847">
      <w:pPr>
        <w:spacing w:line="360" w:lineRule="auto"/>
        <w:jc w:val="both"/>
        <w:rPr>
          <w:rFonts w:ascii="Garamond" w:hAnsi="Garamond"/>
        </w:rPr>
      </w:pPr>
      <w:r>
        <w:rPr>
          <w:rFonts w:ascii="Garamond" w:hAnsi="Garamond"/>
          <w:b/>
        </w:rPr>
        <w:t>HASIL DAN PEMBAHASAN</w:t>
      </w:r>
    </w:p>
    <w:p w:rsidR="002C4599" w:rsidRDefault="00A15838" w:rsidP="00412847">
      <w:pPr>
        <w:spacing w:line="360" w:lineRule="auto"/>
        <w:jc w:val="both"/>
        <w:rPr>
          <w:rFonts w:ascii="Garamond" w:hAnsi="Garamond"/>
          <w:b/>
        </w:rPr>
      </w:pPr>
      <w:r>
        <w:rPr>
          <w:rFonts w:ascii="Garamond" w:hAnsi="Garamond"/>
          <w:b/>
        </w:rPr>
        <w:t>Sumber</w:t>
      </w:r>
      <w:r w:rsidR="00F07050">
        <w:rPr>
          <w:rFonts w:ascii="Garamond" w:hAnsi="Garamond"/>
          <w:b/>
        </w:rPr>
        <w:t xml:space="preserve"> – </w:t>
      </w:r>
      <w:r w:rsidR="006A3FCD">
        <w:rPr>
          <w:rFonts w:ascii="Garamond" w:hAnsi="Garamond"/>
          <w:b/>
        </w:rPr>
        <w:t>Tradisi Kitab Bilangan</w:t>
      </w:r>
      <w:r w:rsidR="00F07050">
        <w:rPr>
          <w:rFonts w:ascii="Garamond" w:hAnsi="Garamond"/>
          <w:b/>
        </w:rPr>
        <w:t xml:space="preserve"> dan Yosua – Kaleb</w:t>
      </w:r>
    </w:p>
    <w:p w:rsidR="00254FAC" w:rsidRDefault="0095511C" w:rsidP="00B34925">
      <w:pPr>
        <w:spacing w:line="360" w:lineRule="auto"/>
        <w:ind w:firstLine="720"/>
        <w:jc w:val="both"/>
        <w:rPr>
          <w:rFonts w:ascii="Garamond" w:hAnsi="Garamond"/>
        </w:rPr>
      </w:pPr>
      <w:r>
        <w:rPr>
          <w:rFonts w:ascii="Garamond" w:hAnsi="Garamond"/>
        </w:rPr>
        <w:t>Berkait</w:t>
      </w:r>
      <w:r w:rsidR="00D272B6">
        <w:rPr>
          <w:rFonts w:ascii="Garamond" w:hAnsi="Garamond"/>
        </w:rPr>
        <w:t>an</w:t>
      </w:r>
      <w:r>
        <w:rPr>
          <w:rFonts w:ascii="Garamond" w:hAnsi="Garamond"/>
        </w:rPr>
        <w:t xml:space="preserve"> dengan sumber dan tradisi</w:t>
      </w:r>
      <w:r w:rsidR="008A73F8">
        <w:rPr>
          <w:rFonts w:ascii="Garamond" w:hAnsi="Garamond"/>
        </w:rPr>
        <w:t xml:space="preserve"> kitab Bilangan</w:t>
      </w:r>
      <w:r>
        <w:rPr>
          <w:rFonts w:ascii="Garamond" w:hAnsi="Garamond"/>
        </w:rPr>
        <w:t xml:space="preserve">, </w:t>
      </w:r>
      <w:r w:rsidR="00FE2C1D">
        <w:rPr>
          <w:rFonts w:ascii="Garamond" w:hAnsi="Garamond"/>
        </w:rPr>
        <w:t>Terence E. Fretheim</w:t>
      </w:r>
      <w:r w:rsidR="00665F51">
        <w:rPr>
          <w:rStyle w:val="FootnoteReference"/>
          <w:rFonts w:ascii="Garamond" w:hAnsi="Garamond"/>
        </w:rPr>
        <w:footnoteReference w:id="14"/>
      </w:r>
      <w:r>
        <w:rPr>
          <w:rFonts w:ascii="Garamond" w:hAnsi="Garamond"/>
        </w:rPr>
        <w:t xml:space="preserve"> mengatakan bahwa </w:t>
      </w:r>
      <w:r w:rsidR="00CA5F73">
        <w:rPr>
          <w:rFonts w:ascii="Garamond" w:hAnsi="Garamond"/>
        </w:rPr>
        <w:t xml:space="preserve">asal usul kitab Bilangan secara </w:t>
      </w:r>
      <w:r w:rsidR="00CA5F73">
        <w:rPr>
          <w:rFonts w:ascii="Garamond" w:hAnsi="Garamond"/>
          <w:i/>
        </w:rPr>
        <w:t>over all</w:t>
      </w:r>
      <w:r w:rsidR="00CA5F73">
        <w:rPr>
          <w:rFonts w:ascii="Garamond" w:hAnsi="Garamond"/>
        </w:rPr>
        <w:t xml:space="preserve"> sangat rumit. Banyak ahli menganggap bahwa kitab ini terbentuk oleh gabungan</w:t>
      </w:r>
      <w:r w:rsidR="00A40E80">
        <w:rPr>
          <w:rFonts w:ascii="Garamond" w:hAnsi="Garamond"/>
        </w:rPr>
        <w:t xml:space="preserve"> dari</w:t>
      </w:r>
      <w:r w:rsidR="00CA5F73">
        <w:rPr>
          <w:rFonts w:ascii="Garamond" w:hAnsi="Garamond"/>
        </w:rPr>
        <w:t xml:space="preserve"> beberapa sumber</w:t>
      </w:r>
      <w:r w:rsidR="002B676E">
        <w:rPr>
          <w:rFonts w:ascii="Garamond" w:hAnsi="Garamond"/>
        </w:rPr>
        <w:t xml:space="preserve"> dan tradisi;</w:t>
      </w:r>
      <w:r w:rsidR="00CA5F73">
        <w:rPr>
          <w:rFonts w:ascii="Garamond" w:hAnsi="Garamond"/>
        </w:rPr>
        <w:t xml:space="preserve"> </w:t>
      </w:r>
      <w:r w:rsidR="002B676E">
        <w:rPr>
          <w:rFonts w:ascii="Garamond" w:hAnsi="Garamond"/>
        </w:rPr>
        <w:t>u</w:t>
      </w:r>
      <w:r w:rsidR="00CA5F73">
        <w:rPr>
          <w:rFonts w:ascii="Garamond" w:hAnsi="Garamond"/>
        </w:rPr>
        <w:t>mumnya para ahli sepakat bahwa kitab tersebut merupakan karya tangan</w:t>
      </w:r>
      <w:r w:rsidR="002B676E">
        <w:rPr>
          <w:rFonts w:ascii="Garamond" w:hAnsi="Garamond"/>
        </w:rPr>
        <w:t xml:space="preserve"> dari para imam yang merujuk kepada</w:t>
      </w:r>
      <w:r w:rsidR="00CA5F73">
        <w:rPr>
          <w:rFonts w:ascii="Garamond" w:hAnsi="Garamond"/>
        </w:rPr>
        <w:t xml:space="preserve"> sumber P.</w:t>
      </w:r>
      <w:r w:rsidR="002B676E">
        <w:rPr>
          <w:rFonts w:ascii="Garamond" w:hAnsi="Garamond"/>
        </w:rPr>
        <w:t xml:space="preserve"> Selain P, sumber Y dan E juga dipandang</w:t>
      </w:r>
      <w:r w:rsidR="00DB1971">
        <w:rPr>
          <w:rFonts w:ascii="Garamond" w:hAnsi="Garamond"/>
        </w:rPr>
        <w:t xml:space="preserve"> turut</w:t>
      </w:r>
      <w:r w:rsidR="002B676E">
        <w:rPr>
          <w:rFonts w:ascii="Garamond" w:hAnsi="Garamond"/>
        </w:rPr>
        <w:t xml:space="preserve"> berkontribusi terhadap kitab ini. </w:t>
      </w:r>
      <w:r w:rsidR="00675ADF">
        <w:rPr>
          <w:rFonts w:ascii="Garamond" w:hAnsi="Garamond"/>
        </w:rPr>
        <w:t>Ti</w:t>
      </w:r>
      <w:r w:rsidR="00232C21">
        <w:rPr>
          <w:rFonts w:ascii="Garamond" w:hAnsi="Garamond"/>
        </w:rPr>
        <w:t>dak jauh berbeda dengan Fretheim</w:t>
      </w:r>
      <w:r w:rsidR="00675ADF">
        <w:rPr>
          <w:rFonts w:ascii="Garamond" w:hAnsi="Garamond"/>
        </w:rPr>
        <w:t>, Agus Santoso</w:t>
      </w:r>
      <w:r w:rsidR="00675ADF">
        <w:rPr>
          <w:rStyle w:val="FootnoteReference"/>
          <w:rFonts w:ascii="Garamond" w:hAnsi="Garamond"/>
        </w:rPr>
        <w:footnoteReference w:id="15"/>
      </w:r>
      <w:r w:rsidR="00675ADF">
        <w:rPr>
          <w:rFonts w:ascii="Garamond" w:hAnsi="Garamond"/>
        </w:rPr>
        <w:t xml:space="preserve"> juga menjelaskan bahwa kitab Bilangan berasal dari sumber P, Y dan  E; Santoso juga menambahkan bahwa ada sumber lain yang turut berkontribusi di luar tiga sumber sebelumnya </w:t>
      </w:r>
      <w:r w:rsidR="00675ADF">
        <w:rPr>
          <w:rFonts w:ascii="Garamond" w:hAnsi="Garamond"/>
        </w:rPr>
        <w:lastRenderedPageBreak/>
        <w:t>yaitu sumber N (sumber Nomaden).</w:t>
      </w:r>
      <w:r w:rsidR="00DB1971">
        <w:rPr>
          <w:rStyle w:val="FootnoteReference"/>
          <w:rFonts w:ascii="Garamond" w:hAnsi="Garamond"/>
        </w:rPr>
        <w:footnoteReference w:id="16"/>
      </w:r>
      <w:r w:rsidR="00570B33">
        <w:rPr>
          <w:rFonts w:ascii="Garamond" w:hAnsi="Garamond"/>
        </w:rPr>
        <w:t xml:space="preserve"> Sementara itu,</w:t>
      </w:r>
      <w:r w:rsidR="008D737C">
        <w:rPr>
          <w:rFonts w:ascii="Garamond" w:hAnsi="Garamond"/>
        </w:rPr>
        <w:t xml:space="preserve"> Barnabas Ludji</w:t>
      </w:r>
      <w:r w:rsidR="00A37774">
        <w:rPr>
          <w:rStyle w:val="FootnoteReference"/>
          <w:rFonts w:ascii="Garamond" w:hAnsi="Garamond"/>
        </w:rPr>
        <w:footnoteReference w:id="17"/>
      </w:r>
      <w:r w:rsidR="00570B33">
        <w:rPr>
          <w:rFonts w:ascii="Garamond" w:hAnsi="Garamond"/>
        </w:rPr>
        <w:t xml:space="preserve"> juga tampak</w:t>
      </w:r>
      <w:r>
        <w:rPr>
          <w:rFonts w:ascii="Garamond" w:hAnsi="Garamond"/>
        </w:rPr>
        <w:t xml:space="preserve"> sepakat </w:t>
      </w:r>
      <w:r w:rsidR="00232C21">
        <w:rPr>
          <w:rFonts w:ascii="Garamond" w:hAnsi="Garamond"/>
        </w:rPr>
        <w:t>dengan Fretheim</w:t>
      </w:r>
      <w:r w:rsidR="00570B33">
        <w:rPr>
          <w:rFonts w:ascii="Garamond" w:hAnsi="Garamond"/>
        </w:rPr>
        <w:t xml:space="preserve"> dan Santoso. Menurutnya, meskipun terdapat bahan-bahan dari sumber-sumber tertua seperti Y dan E, namun bahan-bahan tersebut telah diambil alih oleh para imam dan tentu saja menempatkan bahan-bahan tersebut dalam kerangk</w:t>
      </w:r>
      <w:r w:rsidR="008422C2">
        <w:rPr>
          <w:rFonts w:ascii="Garamond" w:hAnsi="Garamond"/>
        </w:rPr>
        <w:t>a</w:t>
      </w:r>
      <w:r w:rsidR="00B335AD">
        <w:rPr>
          <w:rFonts w:ascii="Garamond" w:hAnsi="Garamond"/>
        </w:rPr>
        <w:t xml:space="preserve"> berpikir para imam (sumber P).</w:t>
      </w:r>
      <w:r w:rsidR="00B34925">
        <w:rPr>
          <w:rFonts w:ascii="Garamond" w:hAnsi="Garamond"/>
        </w:rPr>
        <w:t xml:space="preserve"> </w:t>
      </w:r>
    </w:p>
    <w:p w:rsidR="00D046A6" w:rsidRDefault="0048175F" w:rsidP="00F41039">
      <w:pPr>
        <w:spacing w:line="360" w:lineRule="auto"/>
        <w:ind w:firstLine="720"/>
        <w:jc w:val="both"/>
        <w:rPr>
          <w:rFonts w:ascii="Garamond" w:hAnsi="Garamond"/>
        </w:rPr>
      </w:pPr>
      <w:r>
        <w:rPr>
          <w:rFonts w:ascii="Garamond" w:hAnsi="Garamond"/>
        </w:rPr>
        <w:t>Untuk sumber dan tradisi dari teks Bilangan 14:24 sendiri,</w:t>
      </w:r>
      <w:r w:rsidR="00DA058D">
        <w:rPr>
          <w:rFonts w:ascii="Garamond" w:hAnsi="Garamond"/>
        </w:rPr>
        <w:t xml:space="preserve"> penulis menawarkan dua opsi diskusi untuk mengetahuinya, </w:t>
      </w:r>
      <w:r w:rsidR="00DA058D" w:rsidRPr="00DA058D">
        <w:rPr>
          <w:rFonts w:ascii="Garamond" w:hAnsi="Garamond"/>
          <w:i/>
        </w:rPr>
        <w:t>pertama</w:t>
      </w:r>
      <w:r w:rsidR="00B335AD">
        <w:rPr>
          <w:rFonts w:ascii="Garamond" w:hAnsi="Garamond"/>
        </w:rPr>
        <w:t xml:space="preserve"> </w:t>
      </w:r>
      <w:r w:rsidR="00254FAC">
        <w:rPr>
          <w:rFonts w:ascii="Garamond" w:hAnsi="Garamond"/>
        </w:rPr>
        <w:t>dapat dilihat</w:t>
      </w:r>
      <w:r w:rsidR="00B335AD">
        <w:rPr>
          <w:rFonts w:ascii="Garamond" w:hAnsi="Garamond"/>
        </w:rPr>
        <w:t xml:space="preserve"> dari pembagian kitab Bilangan yang dilakukan oleh Santoso dan Ludji. Santoso </w:t>
      </w:r>
      <w:r w:rsidR="00B34925">
        <w:rPr>
          <w:rFonts w:ascii="Garamond" w:hAnsi="Garamond"/>
        </w:rPr>
        <w:t>menempatkan Bilangan 14:24 dalam kerangka Bilangan 13:17–14:45 yang bersumber dari sumber Y, N, E dan P.</w:t>
      </w:r>
      <w:r w:rsidR="00B5728E">
        <w:rPr>
          <w:rStyle w:val="FootnoteReference"/>
          <w:rFonts w:ascii="Garamond" w:hAnsi="Garamond"/>
        </w:rPr>
        <w:footnoteReference w:id="18"/>
      </w:r>
      <w:r w:rsidR="00B34925">
        <w:rPr>
          <w:rFonts w:ascii="Garamond" w:hAnsi="Garamond"/>
        </w:rPr>
        <w:t xml:space="preserve"> Sedangkan Ludji menempatkan teks tersebut dalam kerangka Bilangan 13–14:25 yang bersumber dari Y, E dan P.</w:t>
      </w:r>
      <w:r w:rsidR="00B5728E">
        <w:rPr>
          <w:rStyle w:val="FootnoteReference"/>
          <w:rFonts w:ascii="Garamond" w:hAnsi="Garamond"/>
        </w:rPr>
        <w:footnoteReference w:id="19"/>
      </w:r>
      <w:r w:rsidR="00DA058D">
        <w:rPr>
          <w:rFonts w:ascii="Garamond" w:hAnsi="Garamond"/>
        </w:rPr>
        <w:t xml:space="preserve"> </w:t>
      </w:r>
      <w:r w:rsidR="00DA058D">
        <w:rPr>
          <w:rFonts w:ascii="Garamond" w:hAnsi="Garamond"/>
          <w:i/>
        </w:rPr>
        <w:t>Kedua</w:t>
      </w:r>
      <w:r w:rsidR="00DA058D">
        <w:rPr>
          <w:rFonts w:ascii="Garamond" w:hAnsi="Garamond"/>
        </w:rPr>
        <w:t>, penelitian terbaru dari Kislev</w:t>
      </w:r>
      <w:r w:rsidR="007B7914">
        <w:rPr>
          <w:rFonts w:ascii="Garamond" w:hAnsi="Garamond"/>
        </w:rPr>
        <w:t xml:space="preserve"> yang akan cukup panjang</w:t>
      </w:r>
      <w:r w:rsidR="00E01B14">
        <w:rPr>
          <w:rFonts w:ascii="Garamond" w:hAnsi="Garamond"/>
        </w:rPr>
        <w:t xml:space="preserve"> lebar</w:t>
      </w:r>
      <w:r w:rsidR="007B7914">
        <w:rPr>
          <w:rFonts w:ascii="Garamond" w:hAnsi="Garamond"/>
        </w:rPr>
        <w:t xml:space="preserve"> dijelaskan dalam poin ini. Kislev mengakui bahwa berdasarkan konsensus ilmiah para ahli, kisah pengintaian dalam Bilangan 13–14 merupakan gabungan dari unsur-unsur sumber P – seperti telah dijelaskan oleh Fretheim, Santoso dan Ludji </w:t>
      </w:r>
      <w:r w:rsidR="00F90F72">
        <w:rPr>
          <w:rFonts w:ascii="Garamond" w:hAnsi="Garamond"/>
        </w:rPr>
        <w:t>–</w:t>
      </w:r>
      <w:r w:rsidR="007B7914">
        <w:rPr>
          <w:rFonts w:ascii="Garamond" w:hAnsi="Garamond"/>
        </w:rPr>
        <w:t xml:space="preserve"> </w:t>
      </w:r>
      <w:r w:rsidR="00F90F72">
        <w:rPr>
          <w:rFonts w:ascii="Garamond" w:hAnsi="Garamond"/>
        </w:rPr>
        <w:t xml:space="preserve">dan non-P (termasuk sumber-sumber tertua Y dan E). </w:t>
      </w:r>
      <w:r w:rsidR="00FC7DDA">
        <w:rPr>
          <w:rFonts w:ascii="Garamond" w:hAnsi="Garamond"/>
        </w:rPr>
        <w:t>Dalam bagian teks Bilangan 13–14</w:t>
      </w:r>
      <w:r w:rsidR="00F90F72">
        <w:rPr>
          <w:rFonts w:ascii="Garamond" w:hAnsi="Garamond"/>
        </w:rPr>
        <w:t xml:space="preserve"> </w:t>
      </w:r>
      <w:r w:rsidR="00FC7DDA">
        <w:rPr>
          <w:rFonts w:ascii="Garamond" w:hAnsi="Garamond"/>
        </w:rPr>
        <w:t>tersebut, yang menjadi pertimbangan komponen imamat (P) adalah terutama kemunculan Kaleb dan Yosua.</w:t>
      </w:r>
      <w:r w:rsidR="001565ED">
        <w:rPr>
          <w:rStyle w:val="FootnoteReference"/>
          <w:rFonts w:ascii="Garamond" w:hAnsi="Garamond"/>
        </w:rPr>
        <w:footnoteReference w:id="20"/>
      </w:r>
      <w:r w:rsidR="00D046A6">
        <w:rPr>
          <w:rFonts w:ascii="Garamond" w:hAnsi="Garamond"/>
        </w:rPr>
        <w:t xml:space="preserve"> Dalam penelitiannya, Kislev menegaskan bahwa terdapat perdebatan terbaru dari kalangan para ahli terkait dengan </w:t>
      </w:r>
      <w:r w:rsidR="00D046A6">
        <w:rPr>
          <w:rFonts w:ascii="Garamond" w:hAnsi="Garamond"/>
          <w:i/>
        </w:rPr>
        <w:t>the nature of Priestly writings</w:t>
      </w:r>
      <w:r w:rsidR="00D046A6">
        <w:rPr>
          <w:rFonts w:ascii="Garamond" w:hAnsi="Garamond"/>
        </w:rPr>
        <w:t>. Lebih lanjut Kislev mengatakan begini:</w:t>
      </w:r>
    </w:p>
    <w:p w:rsidR="00D046A6" w:rsidRPr="00D046A6" w:rsidRDefault="00D046A6" w:rsidP="00D046A6">
      <w:pPr>
        <w:spacing w:line="240" w:lineRule="auto"/>
        <w:ind w:left="720"/>
        <w:jc w:val="both"/>
        <w:rPr>
          <w:rFonts w:ascii="Garamond" w:hAnsi="Garamond"/>
        </w:rPr>
      </w:pPr>
      <w:r w:rsidRPr="000B4C46">
        <w:rPr>
          <w:rFonts w:ascii="Garamond" w:hAnsi="Garamond"/>
          <w:i/>
        </w:rPr>
        <w:t>Some scholars view them as a reworking of earlier, non-Priestly texts rather than an independent source. Others maintain that a continuous, originally independent source can be identified in the Priestly writings. Among those who argue for a continuous, independent source, some propose a more limited scope of the original P narrative than previously assumed, and several scholars suggest that P ends at some point in Exodus or Leviticus rather than in Joshua, as was once thought. For the latter, the P-like sections in the remainder of the Pentateuch constitute very late redactional strata, not forming part of Pg, the core of the Priestly source. This debate raises questions regarding the nature of the Priestly parts in the story of the spies in Num 13–14 that render it a disputed matter</w:t>
      </w:r>
      <w:r w:rsidRPr="00D046A6">
        <w:rPr>
          <w:rFonts w:ascii="Garamond" w:hAnsi="Garamond"/>
        </w:rPr>
        <w:t>.</w:t>
      </w:r>
      <w:r w:rsidR="00626D66">
        <w:rPr>
          <w:rStyle w:val="FootnoteReference"/>
          <w:rFonts w:ascii="Garamond" w:hAnsi="Garamond"/>
        </w:rPr>
        <w:footnoteReference w:id="21"/>
      </w:r>
    </w:p>
    <w:p w:rsidR="00626D66" w:rsidRDefault="00626D66" w:rsidP="00626D66">
      <w:pPr>
        <w:spacing w:line="360" w:lineRule="auto"/>
        <w:ind w:firstLine="720"/>
        <w:jc w:val="both"/>
        <w:rPr>
          <w:rFonts w:ascii="Garamond" w:hAnsi="Garamond"/>
        </w:rPr>
      </w:pPr>
      <w:r>
        <w:rPr>
          <w:rFonts w:ascii="Garamond" w:hAnsi="Garamond"/>
        </w:rPr>
        <w:lastRenderedPageBreak/>
        <w:t xml:space="preserve">Terkait dengan perdebatan tersebut, Kislev berupaya menelusuri apakah elemen P membentuk cerita independen; khususnya dalam Bilangan 13–14. Penelitian Kislev akhirnya bermuara kepada kesimpulan yang ia jelaskan demikian:  </w:t>
      </w:r>
    </w:p>
    <w:p w:rsidR="00626D66" w:rsidRPr="00626D66" w:rsidRDefault="00626D66" w:rsidP="00626D66">
      <w:pPr>
        <w:spacing w:line="240" w:lineRule="auto"/>
        <w:ind w:left="720"/>
        <w:jc w:val="both"/>
        <w:rPr>
          <w:rFonts w:ascii="Garamond" w:hAnsi="Garamond"/>
          <w:szCs w:val="24"/>
        </w:rPr>
      </w:pPr>
      <w:r w:rsidRPr="000B4C46">
        <w:rPr>
          <w:rFonts w:ascii="Garamond" w:eastAsia="MinionPro-Regular" w:hAnsi="Garamond" w:cs="MinionPro-Regular"/>
          <w:i/>
          <w:szCs w:val="24"/>
          <w:lang w:val="en-US"/>
        </w:rPr>
        <w:t>The present discussion shows that an independent Priestly thread can be identified</w:t>
      </w:r>
      <w:r w:rsidRPr="000B4C46">
        <w:rPr>
          <w:rFonts w:ascii="Garamond" w:hAnsi="Garamond"/>
          <w:i/>
          <w:szCs w:val="24"/>
        </w:rPr>
        <w:t xml:space="preserve"> </w:t>
      </w:r>
      <w:r w:rsidRPr="000B4C46">
        <w:rPr>
          <w:rFonts w:ascii="Garamond" w:eastAsia="MinionPro-Regular" w:hAnsi="Garamond" w:cs="MinionPro-Regular"/>
          <w:i/>
          <w:szCs w:val="24"/>
          <w:lang w:val="en-US"/>
        </w:rPr>
        <w:t>in the current spies story (Num 13–14), and this indicates that P continued</w:t>
      </w:r>
      <w:r w:rsidRPr="000B4C46">
        <w:rPr>
          <w:rFonts w:ascii="Garamond" w:hAnsi="Garamond"/>
          <w:i/>
          <w:szCs w:val="24"/>
        </w:rPr>
        <w:t xml:space="preserve"> </w:t>
      </w:r>
      <w:r w:rsidRPr="000B4C46">
        <w:rPr>
          <w:rFonts w:ascii="Garamond" w:eastAsia="MinionPro-Regular" w:hAnsi="Garamond" w:cs="MinionPro-Regular"/>
          <w:i/>
          <w:szCs w:val="24"/>
          <w:lang w:val="en-US"/>
        </w:rPr>
        <w:t>at least to the book of Numbers. Moreover, we can speak of two stages for theindependent Priestly source before it was interwoven with other materials. In the</w:t>
      </w:r>
      <w:r w:rsidRPr="000B4C46">
        <w:rPr>
          <w:rFonts w:ascii="Garamond" w:hAnsi="Garamond"/>
          <w:i/>
          <w:szCs w:val="24"/>
        </w:rPr>
        <w:t xml:space="preserve"> </w:t>
      </w:r>
      <w:r w:rsidRPr="000B4C46">
        <w:rPr>
          <w:rFonts w:ascii="Garamond" w:eastAsia="MinionPro-Regular" w:hAnsi="Garamond" w:cs="MinionPro-Regular"/>
          <w:i/>
          <w:szCs w:val="24"/>
          <w:lang w:val="en-US"/>
        </w:rPr>
        <w:t>first stage, the Priestly source went its own way without considering—and maybe</w:t>
      </w:r>
      <w:r w:rsidRPr="000B4C46">
        <w:rPr>
          <w:rFonts w:ascii="Garamond" w:hAnsi="Garamond"/>
          <w:i/>
          <w:szCs w:val="24"/>
        </w:rPr>
        <w:t xml:space="preserve"> </w:t>
      </w:r>
      <w:r w:rsidRPr="000B4C46">
        <w:rPr>
          <w:rFonts w:ascii="Garamond" w:eastAsia="MinionPro-Regular" w:hAnsi="Garamond" w:cs="MinionPro-Regular"/>
          <w:i/>
          <w:szCs w:val="24"/>
          <w:lang w:val="en-US"/>
        </w:rPr>
        <w:t>even without awareness of—the non-Priestly material. In the second stage, additions</w:t>
      </w:r>
      <w:r w:rsidRPr="000B4C46">
        <w:rPr>
          <w:rFonts w:ascii="Garamond" w:hAnsi="Garamond"/>
          <w:i/>
          <w:szCs w:val="24"/>
        </w:rPr>
        <w:t xml:space="preserve"> </w:t>
      </w:r>
      <w:r w:rsidRPr="000B4C46">
        <w:rPr>
          <w:rFonts w:ascii="Garamond" w:eastAsia="MinionPro-Regular" w:hAnsi="Garamond" w:cs="MinionPro-Regular"/>
          <w:i/>
          <w:szCs w:val="24"/>
          <w:lang w:val="en-US"/>
        </w:rPr>
        <w:t>were made to this independent source in light of the non-Priestly material,</w:t>
      </w:r>
      <w:r w:rsidRPr="000B4C46">
        <w:rPr>
          <w:rFonts w:ascii="Garamond" w:hAnsi="Garamond"/>
          <w:i/>
          <w:szCs w:val="24"/>
        </w:rPr>
        <w:t xml:space="preserve"> </w:t>
      </w:r>
      <w:r w:rsidRPr="000B4C46">
        <w:rPr>
          <w:rFonts w:ascii="Garamond" w:eastAsia="MinionPro-Regular" w:hAnsi="Garamond" w:cs="MinionPro-Regular"/>
          <w:i/>
          <w:szCs w:val="24"/>
          <w:lang w:val="en-US"/>
        </w:rPr>
        <w:t>but this account was still not part of the larger project of the composition of the</w:t>
      </w:r>
      <w:r w:rsidRPr="000B4C46">
        <w:rPr>
          <w:rFonts w:ascii="Garamond" w:hAnsi="Garamond"/>
          <w:i/>
          <w:szCs w:val="24"/>
        </w:rPr>
        <w:t xml:space="preserve"> </w:t>
      </w:r>
      <w:r w:rsidRPr="000B4C46">
        <w:rPr>
          <w:rFonts w:ascii="Garamond" w:eastAsia="MinionPro-Regular" w:hAnsi="Garamond" w:cs="MinionPro-Regular"/>
          <w:i/>
          <w:szCs w:val="24"/>
          <w:lang w:val="en-US"/>
        </w:rPr>
        <w:t>Pentateuch. Most of the similarities between the Priestly and non-Priestly threads</w:t>
      </w:r>
      <w:r w:rsidRPr="000B4C46">
        <w:rPr>
          <w:rFonts w:ascii="Garamond" w:hAnsi="Garamond"/>
          <w:i/>
          <w:szCs w:val="24"/>
        </w:rPr>
        <w:t xml:space="preserve"> </w:t>
      </w:r>
      <w:r w:rsidRPr="000B4C46">
        <w:rPr>
          <w:rFonts w:ascii="Garamond" w:eastAsia="MinionPro-Regular" w:hAnsi="Garamond" w:cs="MinionPro-Regular"/>
          <w:i/>
          <w:szCs w:val="24"/>
          <w:lang w:val="en-US"/>
        </w:rPr>
        <w:t>stem from this secondary layer. It stands to reason that nonrecognition of this</w:t>
      </w:r>
      <w:r w:rsidRPr="000B4C46">
        <w:rPr>
          <w:rFonts w:ascii="Garamond" w:hAnsi="Garamond"/>
          <w:i/>
          <w:szCs w:val="24"/>
        </w:rPr>
        <w:t xml:space="preserve"> </w:t>
      </w:r>
      <w:r w:rsidRPr="000B4C46">
        <w:rPr>
          <w:rFonts w:ascii="Garamond" w:eastAsia="MinionPro-Regular" w:hAnsi="Garamond" w:cs="MinionPro-Regular"/>
          <w:i/>
          <w:szCs w:val="24"/>
          <w:lang w:val="en-US"/>
        </w:rPr>
        <w:t>important late stage led to some incorrect assessment of the Priestly writing in</w:t>
      </w:r>
      <w:r w:rsidRPr="000B4C46">
        <w:rPr>
          <w:rFonts w:ascii="Garamond" w:hAnsi="Garamond"/>
          <w:i/>
          <w:szCs w:val="24"/>
        </w:rPr>
        <w:t xml:space="preserve"> </w:t>
      </w:r>
      <w:r w:rsidRPr="000B4C46">
        <w:rPr>
          <w:rFonts w:ascii="Garamond" w:eastAsia="MinionPro-Regular" w:hAnsi="Garamond" w:cs="MinionPro-Regular"/>
          <w:i/>
          <w:szCs w:val="24"/>
          <w:lang w:val="en-US"/>
        </w:rPr>
        <w:t>general and the Priestly spies story in particular</w:t>
      </w:r>
      <w:r w:rsidRPr="00626D66">
        <w:rPr>
          <w:rFonts w:ascii="Garamond" w:eastAsia="MinionPro-Regular" w:hAnsi="Garamond" w:cs="MinionPro-Regular"/>
          <w:szCs w:val="24"/>
          <w:lang w:val="en-US"/>
        </w:rPr>
        <w:t>.</w:t>
      </w:r>
      <w:r>
        <w:rPr>
          <w:rStyle w:val="FootnoteReference"/>
          <w:rFonts w:ascii="Garamond" w:eastAsia="MinionPro-Regular" w:hAnsi="Garamond" w:cs="MinionPro-Regular"/>
          <w:szCs w:val="24"/>
          <w:lang w:val="en-US"/>
        </w:rPr>
        <w:footnoteReference w:id="22"/>
      </w:r>
    </w:p>
    <w:p w:rsidR="000B4C46" w:rsidRPr="00B86C47" w:rsidRDefault="00435E62" w:rsidP="00F33604">
      <w:pPr>
        <w:spacing w:line="360" w:lineRule="auto"/>
        <w:ind w:firstLine="720"/>
        <w:jc w:val="both"/>
        <w:rPr>
          <w:rFonts w:ascii="Garamond" w:hAnsi="Garamond"/>
          <w:i/>
        </w:rPr>
      </w:pPr>
      <w:r>
        <w:rPr>
          <w:rFonts w:ascii="Garamond" w:hAnsi="Garamond"/>
        </w:rPr>
        <w:t>Lantas bagaimana memahami</w:t>
      </w:r>
      <w:r w:rsidR="00984DF7">
        <w:rPr>
          <w:rFonts w:ascii="Garamond" w:hAnsi="Garamond"/>
        </w:rPr>
        <w:t xml:space="preserve"> keberadaan</w:t>
      </w:r>
      <w:r>
        <w:rPr>
          <w:rFonts w:ascii="Garamond" w:hAnsi="Garamond"/>
        </w:rPr>
        <w:t xml:space="preserve"> </w:t>
      </w:r>
      <w:r w:rsidR="001F68C0">
        <w:rPr>
          <w:rFonts w:ascii="Garamond" w:hAnsi="Garamond"/>
        </w:rPr>
        <w:t>Kaleb dan Yosua dalam Bilangan 13–14?</w:t>
      </w:r>
      <w:r w:rsidR="00084642">
        <w:rPr>
          <w:rStyle w:val="FootnoteReference"/>
          <w:rFonts w:ascii="Garamond" w:hAnsi="Garamond"/>
        </w:rPr>
        <w:footnoteReference w:id="23"/>
      </w:r>
      <w:r w:rsidR="000B4C46">
        <w:rPr>
          <w:rFonts w:ascii="Garamond" w:hAnsi="Garamond"/>
        </w:rPr>
        <w:t xml:space="preserve"> </w:t>
      </w:r>
      <w:r w:rsidR="00F24224">
        <w:rPr>
          <w:rFonts w:ascii="Garamond" w:hAnsi="Garamond"/>
        </w:rPr>
        <w:t xml:space="preserve">Penjelasan </w:t>
      </w:r>
      <w:r w:rsidR="00592C2D">
        <w:rPr>
          <w:rFonts w:ascii="Garamond" w:hAnsi="Garamond"/>
        </w:rPr>
        <w:t>Fretheim</w:t>
      </w:r>
      <w:r w:rsidR="000B4C46">
        <w:rPr>
          <w:rFonts w:ascii="Garamond" w:hAnsi="Garamond"/>
        </w:rPr>
        <w:t xml:space="preserve"> dan Kislev</w:t>
      </w:r>
      <w:r w:rsidR="007471EF">
        <w:rPr>
          <w:rFonts w:ascii="Garamond" w:hAnsi="Garamond"/>
        </w:rPr>
        <w:t xml:space="preserve"> </w:t>
      </w:r>
      <w:r w:rsidR="000B4C46">
        <w:rPr>
          <w:rFonts w:ascii="Garamond" w:hAnsi="Garamond"/>
        </w:rPr>
        <w:t>akan menolong pembaca.</w:t>
      </w:r>
      <w:r w:rsidR="00F24224">
        <w:rPr>
          <w:rFonts w:ascii="Garamond" w:hAnsi="Garamond"/>
        </w:rPr>
        <w:t xml:space="preserve"> </w:t>
      </w:r>
      <w:r w:rsidR="00592C2D">
        <w:rPr>
          <w:rFonts w:ascii="Garamond" w:hAnsi="Garamond"/>
        </w:rPr>
        <w:t>Fretheim</w:t>
      </w:r>
      <w:r w:rsidR="00F24224">
        <w:rPr>
          <w:rFonts w:ascii="Garamond" w:hAnsi="Garamond"/>
        </w:rPr>
        <w:t xml:space="preserve"> </w:t>
      </w:r>
      <w:r w:rsidR="007471EF">
        <w:rPr>
          <w:rFonts w:ascii="Garamond" w:hAnsi="Garamond"/>
        </w:rPr>
        <w:t>menegaskan bahwa keberadaan Yosua dalam Bilangan 13–14 tidak terlepas dari sumber dan tradisi yang meng-</w:t>
      </w:r>
      <w:r w:rsidR="007471EF">
        <w:rPr>
          <w:rFonts w:ascii="Garamond" w:hAnsi="Garamond"/>
          <w:i/>
        </w:rPr>
        <w:t>insert</w:t>
      </w:r>
      <w:r w:rsidR="00367A9D">
        <w:rPr>
          <w:rFonts w:ascii="Garamond" w:hAnsi="Garamond"/>
          <w:i/>
        </w:rPr>
        <w:t>-</w:t>
      </w:r>
      <w:r w:rsidR="00367A9D">
        <w:rPr>
          <w:rFonts w:ascii="Garamond" w:hAnsi="Garamond"/>
        </w:rPr>
        <w:t>nya</w:t>
      </w:r>
      <w:r w:rsidR="00640E66">
        <w:rPr>
          <w:rFonts w:ascii="Garamond" w:hAnsi="Garamond"/>
        </w:rPr>
        <w:t xml:space="preserve">. Dalam bagian teks ini </w:t>
      </w:r>
      <w:r w:rsidR="00316F67">
        <w:rPr>
          <w:rFonts w:ascii="Garamond" w:hAnsi="Garamond"/>
        </w:rPr>
        <w:t>terdapat jalinan</w:t>
      </w:r>
      <w:r w:rsidR="00640E66">
        <w:rPr>
          <w:rFonts w:ascii="Garamond" w:hAnsi="Garamond"/>
        </w:rPr>
        <w:t xml:space="preserve"> setidaknya dua sumber dan tradisi; di mana yang satu menjadikan Kaleb sebagai pahlawan dan kemudian sumber yang lain (sumber P) atau tradisi imam</w:t>
      </w:r>
      <w:r w:rsidR="00FD6E1A">
        <w:rPr>
          <w:rFonts w:ascii="Garamond" w:hAnsi="Garamond"/>
        </w:rPr>
        <w:t xml:space="preserve"> ikut</w:t>
      </w:r>
      <w:r w:rsidR="00640E66">
        <w:rPr>
          <w:rFonts w:ascii="Garamond" w:hAnsi="Garamond"/>
        </w:rPr>
        <w:t xml:space="preserve"> menambahkan Yosua sebagai pahlawan di samping Kaleb.</w:t>
      </w:r>
      <w:r w:rsidR="005308F2">
        <w:rPr>
          <w:rStyle w:val="FootnoteReference"/>
          <w:rFonts w:ascii="Garamond" w:hAnsi="Garamond"/>
        </w:rPr>
        <w:footnoteReference w:id="24"/>
      </w:r>
      <w:r w:rsidR="00184FF8">
        <w:rPr>
          <w:rFonts w:ascii="Garamond" w:hAnsi="Garamond"/>
        </w:rPr>
        <w:t xml:space="preserve"> </w:t>
      </w:r>
      <w:r w:rsidR="000B4C46">
        <w:rPr>
          <w:rFonts w:ascii="Garamond" w:hAnsi="Garamond"/>
        </w:rPr>
        <w:t>Sementara</w:t>
      </w:r>
      <w:r w:rsidR="00F33604">
        <w:rPr>
          <w:rFonts w:ascii="Garamond" w:hAnsi="Garamond"/>
        </w:rPr>
        <w:t xml:space="preserve"> menurut Kislev, </w:t>
      </w:r>
      <w:r w:rsidR="00F33604" w:rsidRPr="00F33604">
        <w:rPr>
          <w:rFonts w:ascii="Garamond" w:hAnsi="Garamond"/>
        </w:rPr>
        <w:t>penyisipan</w:t>
      </w:r>
      <w:r w:rsidR="00F33604">
        <w:rPr>
          <w:rFonts w:ascii="Garamond" w:hAnsi="Garamond"/>
        </w:rPr>
        <w:t xml:space="preserve"> Yosua </w:t>
      </w:r>
      <w:r w:rsidR="00F33604" w:rsidRPr="00F33604">
        <w:rPr>
          <w:rFonts w:ascii="Garamond" w:hAnsi="Garamond"/>
        </w:rPr>
        <w:t>ke dalam cerita ini dipengaruhi oleh rujukan ke Yosua dalam materi non-imamat</w:t>
      </w:r>
      <w:r w:rsidR="00F33604">
        <w:rPr>
          <w:rFonts w:ascii="Garamond" w:hAnsi="Garamond"/>
        </w:rPr>
        <w:t xml:space="preserve"> (bukan P)</w:t>
      </w:r>
      <w:r w:rsidR="00F33604" w:rsidRPr="00F33604">
        <w:rPr>
          <w:rFonts w:ascii="Garamond" w:hAnsi="Garamond"/>
        </w:rPr>
        <w:t xml:space="preserve"> dari Pentateuch, seperti </w:t>
      </w:r>
      <w:r w:rsidR="00F33604">
        <w:rPr>
          <w:rFonts w:ascii="Garamond" w:hAnsi="Garamond"/>
        </w:rPr>
        <w:t>tentang perannya</w:t>
      </w:r>
      <w:r w:rsidR="00F33604" w:rsidRPr="00F33604">
        <w:rPr>
          <w:rFonts w:ascii="Garamond" w:hAnsi="Garamond"/>
        </w:rPr>
        <w:t xml:space="preserve"> dalam perang melawan Amalek dalam </w:t>
      </w:r>
      <w:r w:rsidR="00F33604">
        <w:rPr>
          <w:rFonts w:ascii="Garamond" w:hAnsi="Garamond"/>
        </w:rPr>
        <w:t>(Kel. 17:8-</w:t>
      </w:r>
      <w:r w:rsidR="00F33604" w:rsidRPr="00F33604">
        <w:rPr>
          <w:rFonts w:ascii="Garamond" w:hAnsi="Garamond"/>
        </w:rPr>
        <w:t>16</w:t>
      </w:r>
      <w:r w:rsidR="00F33604">
        <w:rPr>
          <w:rFonts w:ascii="Garamond" w:hAnsi="Garamond"/>
        </w:rPr>
        <w:t>)</w:t>
      </w:r>
      <w:r w:rsidR="00F33604" w:rsidRPr="00F33604">
        <w:rPr>
          <w:rFonts w:ascii="Garamond" w:hAnsi="Garamond"/>
        </w:rPr>
        <w:t xml:space="preserve"> dan cerita di mana dia </w:t>
      </w:r>
      <w:r w:rsidR="00F33604">
        <w:rPr>
          <w:rFonts w:ascii="Garamond" w:hAnsi="Garamond"/>
        </w:rPr>
        <w:t>mengikuti</w:t>
      </w:r>
      <w:r w:rsidR="00F33604" w:rsidRPr="00F33604">
        <w:rPr>
          <w:rFonts w:ascii="Garamond" w:hAnsi="Garamond"/>
        </w:rPr>
        <w:t xml:space="preserve"> Musa ( Kel</w:t>
      </w:r>
      <w:r w:rsidR="00F33604">
        <w:rPr>
          <w:rFonts w:ascii="Garamond" w:hAnsi="Garamond"/>
        </w:rPr>
        <w:t>.</w:t>
      </w:r>
      <w:r w:rsidR="00F33604" w:rsidRPr="00F33604">
        <w:rPr>
          <w:rFonts w:ascii="Garamond" w:hAnsi="Garamond"/>
        </w:rPr>
        <w:t xml:space="preserve"> 24:13, 32:17, 33:11, Bil</w:t>
      </w:r>
      <w:r w:rsidR="00F33604">
        <w:rPr>
          <w:rFonts w:ascii="Garamond" w:hAnsi="Garamond"/>
        </w:rPr>
        <w:t>.</w:t>
      </w:r>
      <w:r w:rsidR="00F33604" w:rsidRPr="00F33604">
        <w:rPr>
          <w:rFonts w:ascii="Garamond" w:hAnsi="Garamond"/>
        </w:rPr>
        <w:t xml:space="preserve"> 11:28). Pertimbangan dari cerita-cerita </w:t>
      </w:r>
      <w:r w:rsidR="00F33604">
        <w:rPr>
          <w:rFonts w:ascii="Garamond" w:hAnsi="Garamond"/>
        </w:rPr>
        <w:t>tersebut</w:t>
      </w:r>
      <w:r w:rsidR="00F33604" w:rsidRPr="00F33604">
        <w:rPr>
          <w:rFonts w:ascii="Garamond" w:hAnsi="Garamond"/>
        </w:rPr>
        <w:t xml:space="preserve"> menyoroti ketegangan mereka dengan</w:t>
      </w:r>
      <w:r w:rsidR="00F33604">
        <w:rPr>
          <w:rFonts w:ascii="Garamond" w:hAnsi="Garamond"/>
        </w:rPr>
        <w:t xml:space="preserve"> adanya</w:t>
      </w:r>
      <w:r w:rsidR="00F33604" w:rsidRPr="00F33604">
        <w:rPr>
          <w:rFonts w:ascii="Garamond" w:hAnsi="Garamond"/>
        </w:rPr>
        <w:t xml:space="preserve"> peran</w:t>
      </w:r>
      <w:r w:rsidR="00F33604">
        <w:rPr>
          <w:rFonts w:ascii="Garamond" w:hAnsi="Garamond"/>
        </w:rPr>
        <w:t xml:space="preserve"> dari</w:t>
      </w:r>
      <w:r w:rsidR="00F33604" w:rsidRPr="00F33604">
        <w:rPr>
          <w:rFonts w:ascii="Garamond" w:hAnsi="Garamond"/>
        </w:rPr>
        <w:t xml:space="preserve"> </w:t>
      </w:r>
      <w:r w:rsidR="00F33604">
        <w:rPr>
          <w:rFonts w:ascii="Garamond" w:hAnsi="Garamond"/>
        </w:rPr>
        <w:t>Yos</w:t>
      </w:r>
      <w:r w:rsidR="00F33604" w:rsidRPr="00F33604">
        <w:rPr>
          <w:rFonts w:ascii="Garamond" w:hAnsi="Garamond"/>
        </w:rPr>
        <w:t>ua yang terkenal dalam penaklukan Kanaan. Jika, seperti dalam beberapa cerita non-imamat, Yosua berpartisipasi dalam peristiwa di awal pengembaraan orang Israel di padang gurun,</w:t>
      </w:r>
      <w:r w:rsidR="00F33604">
        <w:rPr>
          <w:rFonts w:ascii="Garamond" w:hAnsi="Garamond"/>
        </w:rPr>
        <w:t xml:space="preserve"> dan</w:t>
      </w:r>
      <w:r w:rsidR="00F33604" w:rsidRPr="00F33604">
        <w:rPr>
          <w:rFonts w:ascii="Garamond" w:hAnsi="Garamond"/>
        </w:rPr>
        <w:t xml:space="preserve"> dia kemudian harus mati di padang gurun sesuai dengan hukuman generasi eksodus setelah cerita mata-mata. Dengan kata lain, kelangsungan hidupnya yang luar biasa selama mengembara di </w:t>
      </w:r>
      <w:r w:rsidR="00F33604">
        <w:rPr>
          <w:rFonts w:ascii="Garamond" w:hAnsi="Garamond"/>
        </w:rPr>
        <w:t>padang gurun</w:t>
      </w:r>
      <w:r w:rsidR="00F33604" w:rsidRPr="00F33604">
        <w:rPr>
          <w:rFonts w:ascii="Garamond" w:hAnsi="Garamond"/>
        </w:rPr>
        <w:t xml:space="preserve"> </w:t>
      </w:r>
      <w:r w:rsidR="00F33604">
        <w:rPr>
          <w:rFonts w:ascii="Garamond" w:hAnsi="Garamond"/>
        </w:rPr>
        <w:t>memerlukan</w:t>
      </w:r>
      <w:r w:rsidR="00F33604" w:rsidRPr="00F33604">
        <w:rPr>
          <w:rFonts w:ascii="Garamond" w:hAnsi="Garamond"/>
        </w:rPr>
        <w:t xml:space="preserve"> penjelasan, dan penambahan </w:t>
      </w:r>
      <w:r w:rsidR="00F33604">
        <w:rPr>
          <w:rFonts w:ascii="Garamond" w:hAnsi="Garamond"/>
        </w:rPr>
        <w:t>Yosua</w:t>
      </w:r>
      <w:r w:rsidR="00F33604" w:rsidRPr="00F33604">
        <w:rPr>
          <w:rFonts w:ascii="Garamond" w:hAnsi="Garamond"/>
        </w:rPr>
        <w:t xml:space="preserve"> </w:t>
      </w:r>
      <w:r w:rsidR="00F33604">
        <w:rPr>
          <w:rFonts w:ascii="Garamond" w:hAnsi="Garamond"/>
        </w:rPr>
        <w:t>ke dalam cerita</w:t>
      </w:r>
      <w:r w:rsidR="00F33604" w:rsidRPr="00F33604">
        <w:rPr>
          <w:rFonts w:ascii="Garamond" w:hAnsi="Garamond"/>
        </w:rPr>
        <w:t xml:space="preserve"> </w:t>
      </w:r>
      <w:r w:rsidR="00F33604">
        <w:rPr>
          <w:rFonts w:ascii="Garamond" w:hAnsi="Garamond"/>
        </w:rPr>
        <w:t>pengintaian</w:t>
      </w:r>
      <w:r w:rsidR="00F33604" w:rsidRPr="00F33604">
        <w:rPr>
          <w:rFonts w:ascii="Garamond" w:hAnsi="Garamond"/>
        </w:rPr>
        <w:t xml:space="preserve"> mata-mata</w:t>
      </w:r>
      <w:r w:rsidR="00F33604">
        <w:rPr>
          <w:rFonts w:ascii="Garamond" w:hAnsi="Garamond"/>
        </w:rPr>
        <w:t xml:space="preserve"> menjadi</w:t>
      </w:r>
      <w:r w:rsidR="00F33604" w:rsidRPr="00F33604">
        <w:rPr>
          <w:rFonts w:ascii="Garamond" w:hAnsi="Garamond"/>
        </w:rPr>
        <w:t xml:space="preserve"> salah</w:t>
      </w:r>
      <w:r w:rsidR="00F33604">
        <w:rPr>
          <w:rFonts w:ascii="Garamond" w:hAnsi="Garamond"/>
        </w:rPr>
        <w:t xml:space="preserve"> opsi untuk </w:t>
      </w:r>
      <w:r w:rsidR="00F33604">
        <w:rPr>
          <w:rFonts w:ascii="Garamond" w:hAnsi="Garamond"/>
        </w:rPr>
        <w:lastRenderedPageBreak/>
        <w:t>menerangkan bagaimana kelangsungan hidupnya sebagai salah satu mata-mata yang berkenan di mata Tuhan.</w:t>
      </w:r>
      <w:r w:rsidR="00726238" w:rsidRPr="00726238">
        <w:rPr>
          <w:rStyle w:val="FootnoteReference"/>
          <w:rFonts w:ascii="Garamond" w:hAnsi="Garamond"/>
        </w:rPr>
        <w:footnoteReference w:id="25"/>
      </w:r>
      <w:r w:rsidR="000B4C46" w:rsidRPr="00B86C47">
        <w:rPr>
          <w:rFonts w:ascii="Garamond" w:hAnsi="Garamond"/>
          <w:i/>
        </w:rPr>
        <w:t xml:space="preserve">   </w:t>
      </w:r>
    </w:p>
    <w:p w:rsidR="00591E65" w:rsidRPr="00F07050" w:rsidRDefault="00591E65" w:rsidP="00CF244B">
      <w:pPr>
        <w:spacing w:line="360" w:lineRule="auto"/>
        <w:ind w:firstLine="720"/>
        <w:jc w:val="both"/>
        <w:rPr>
          <w:rFonts w:ascii="Garamond" w:hAnsi="Garamond"/>
        </w:rPr>
      </w:pPr>
      <w:r>
        <w:rPr>
          <w:rFonts w:ascii="Garamond" w:hAnsi="Garamond"/>
        </w:rPr>
        <w:t xml:space="preserve">Di sisi lain, </w:t>
      </w:r>
      <w:r w:rsidR="00E8097E">
        <w:rPr>
          <w:rFonts w:ascii="Garamond" w:hAnsi="Garamond"/>
        </w:rPr>
        <w:t xml:space="preserve">Baruch A. Levine mengusulkan </w:t>
      </w:r>
      <w:r w:rsidR="00FB27E4">
        <w:rPr>
          <w:rFonts w:ascii="Garamond" w:hAnsi="Garamond"/>
        </w:rPr>
        <w:t>bila</w:t>
      </w:r>
      <w:r w:rsidR="00F07050" w:rsidRPr="007141C9">
        <w:rPr>
          <w:rFonts w:ascii="Garamond" w:hAnsi="Garamond"/>
        </w:rPr>
        <w:t xml:space="preserve"> </w:t>
      </w:r>
      <w:r w:rsidR="00E8097E">
        <w:rPr>
          <w:rFonts w:ascii="Garamond" w:hAnsi="Garamond"/>
        </w:rPr>
        <w:t xml:space="preserve">hipotesis bahwa Y dan </w:t>
      </w:r>
      <w:r w:rsidR="00F07050" w:rsidRPr="007141C9">
        <w:rPr>
          <w:rFonts w:ascii="Garamond" w:hAnsi="Garamond"/>
        </w:rPr>
        <w:t>E</w:t>
      </w:r>
      <w:r w:rsidR="00E8097E">
        <w:rPr>
          <w:rFonts w:ascii="Garamond" w:hAnsi="Garamond"/>
        </w:rPr>
        <w:t xml:space="preserve"> diterima sebagai sumber yang mengusulkan Kaleb, maka perlu sekali untuk mengetahui </w:t>
      </w:r>
      <w:r w:rsidR="00E8097E">
        <w:rPr>
          <w:rFonts w:ascii="Garamond" w:hAnsi="Garamond"/>
          <w:i/>
        </w:rPr>
        <w:t>sitz im leben</w:t>
      </w:r>
      <w:r w:rsidR="00E8097E">
        <w:rPr>
          <w:rFonts w:ascii="Garamond" w:hAnsi="Garamond"/>
        </w:rPr>
        <w:t xml:space="preserve"> dari narator Y dan E, baik pada zaman Salomo atau pun selama pemerintahan Yosia, atau dalam beberapa waktu di antara keduanya. Y dan E kemungkinan besar disusun sebelum abad ke-7, dan ketika Y dan E dikompilasikan, kemungkinan besar narator Y dan E menggunakan materi Y yang asli yang di</w:t>
      </w:r>
      <w:r w:rsidR="00DE51C7">
        <w:rPr>
          <w:rFonts w:ascii="Garamond" w:hAnsi="Garamond"/>
        </w:rPr>
        <w:t xml:space="preserve">buat oleh pengarang Yudea awal. </w:t>
      </w:r>
      <w:r w:rsidR="00F07050" w:rsidRPr="007141C9">
        <w:rPr>
          <w:rFonts w:ascii="Garamond" w:hAnsi="Garamond"/>
        </w:rPr>
        <w:t xml:space="preserve">Penulis </w:t>
      </w:r>
      <w:r w:rsidR="00E33CEF">
        <w:rPr>
          <w:rFonts w:ascii="Garamond" w:hAnsi="Garamond"/>
        </w:rPr>
        <w:t>Y</w:t>
      </w:r>
      <w:r w:rsidR="00F07050" w:rsidRPr="007141C9">
        <w:rPr>
          <w:rFonts w:ascii="Garamond" w:hAnsi="Garamond"/>
        </w:rPr>
        <w:t xml:space="preserve"> </w:t>
      </w:r>
      <w:r w:rsidR="00E33CEF">
        <w:rPr>
          <w:rFonts w:ascii="Garamond" w:hAnsi="Garamond"/>
        </w:rPr>
        <w:t>tentunya</w:t>
      </w:r>
      <w:r w:rsidR="00F07050" w:rsidRPr="007141C9">
        <w:rPr>
          <w:rFonts w:ascii="Garamond" w:hAnsi="Garamond"/>
        </w:rPr>
        <w:t xml:space="preserve"> tahu</w:t>
      </w:r>
      <w:r w:rsidR="00E33CEF">
        <w:rPr>
          <w:rFonts w:ascii="Garamond" w:hAnsi="Garamond"/>
        </w:rPr>
        <w:t xml:space="preserve"> betapa</w:t>
      </w:r>
      <w:r w:rsidR="00F07050" w:rsidRPr="007141C9">
        <w:rPr>
          <w:rFonts w:ascii="Garamond" w:hAnsi="Garamond"/>
        </w:rPr>
        <w:t xml:space="preserve"> pentingnya Kadesh </w:t>
      </w:r>
      <w:r w:rsidR="00E33CEF">
        <w:rPr>
          <w:rFonts w:ascii="Garamond" w:hAnsi="Garamond"/>
        </w:rPr>
        <w:t>dalam karyanya.</w:t>
      </w:r>
      <w:r w:rsidR="00C64962">
        <w:rPr>
          <w:rStyle w:val="FootnoteReference"/>
          <w:rFonts w:ascii="Garamond" w:hAnsi="Garamond"/>
        </w:rPr>
        <w:footnoteReference w:id="26"/>
      </w:r>
      <w:r w:rsidR="00E33CEF">
        <w:rPr>
          <w:rFonts w:ascii="Garamond" w:hAnsi="Garamond"/>
        </w:rPr>
        <w:t xml:space="preserve"> Menurut Levine, Kadesh berperan strategis sebagai tempat dibangunnya sebuah</w:t>
      </w:r>
      <w:r w:rsidR="00F07050" w:rsidRPr="007141C9">
        <w:rPr>
          <w:rFonts w:ascii="Garamond" w:hAnsi="Garamond"/>
        </w:rPr>
        <w:t xml:space="preserve"> jaringan</w:t>
      </w:r>
      <w:r w:rsidR="00E33CEF">
        <w:rPr>
          <w:rFonts w:ascii="Garamond" w:hAnsi="Garamond"/>
        </w:rPr>
        <w:t xml:space="preserve"> (pertahanan)</w:t>
      </w:r>
      <w:r w:rsidR="00F07050" w:rsidRPr="007141C9">
        <w:rPr>
          <w:rFonts w:ascii="Garamond" w:hAnsi="Garamond"/>
        </w:rPr>
        <w:t xml:space="preserve"> untuk mencegah penjajah dan untuk mengontrol daerah selatan Negeb</w:t>
      </w:r>
      <w:r w:rsidR="00E33CEF">
        <w:rPr>
          <w:rFonts w:ascii="Garamond" w:hAnsi="Garamond"/>
        </w:rPr>
        <w:t xml:space="preserve"> dalam kekuasaan monarki;</w:t>
      </w:r>
      <w:r w:rsidR="00F07050" w:rsidRPr="007141C9">
        <w:rPr>
          <w:rFonts w:ascii="Garamond" w:hAnsi="Garamond"/>
        </w:rPr>
        <w:t xml:space="preserve"> bagi</w:t>
      </w:r>
      <w:r w:rsidR="00E33CEF">
        <w:rPr>
          <w:rFonts w:ascii="Garamond" w:hAnsi="Garamond"/>
        </w:rPr>
        <w:t xml:space="preserve"> sebagian</w:t>
      </w:r>
      <w:r w:rsidR="00F07050" w:rsidRPr="007141C9">
        <w:rPr>
          <w:rFonts w:ascii="Garamond" w:hAnsi="Garamond"/>
        </w:rPr>
        <w:t xml:space="preserve"> ahli sejarah </w:t>
      </w:r>
      <w:r w:rsidR="00E33CEF">
        <w:rPr>
          <w:rFonts w:ascii="Garamond" w:hAnsi="Garamond"/>
        </w:rPr>
        <w:t xml:space="preserve">kitab </w:t>
      </w:r>
      <w:r w:rsidR="00F07050" w:rsidRPr="007141C9">
        <w:rPr>
          <w:rFonts w:ascii="Garamond" w:hAnsi="Garamond"/>
        </w:rPr>
        <w:t>Bilangan,</w:t>
      </w:r>
      <w:r w:rsidR="00E33CEF">
        <w:rPr>
          <w:rFonts w:ascii="Garamond" w:hAnsi="Garamond"/>
        </w:rPr>
        <w:t xml:space="preserve"> Kadesh merupakan</w:t>
      </w:r>
      <w:r w:rsidR="00F07050" w:rsidRPr="007141C9">
        <w:rPr>
          <w:rFonts w:ascii="Garamond" w:hAnsi="Garamond"/>
        </w:rPr>
        <w:t xml:space="preserve"> basis operasi dan </w:t>
      </w:r>
      <w:r w:rsidR="00E33CEF">
        <w:rPr>
          <w:rFonts w:ascii="Garamond" w:hAnsi="Garamond"/>
        </w:rPr>
        <w:t>titik awal bagi kemajuan Israel</w:t>
      </w:r>
      <w:r w:rsidR="00F07050" w:rsidRPr="007141C9">
        <w:rPr>
          <w:rFonts w:ascii="Garamond" w:hAnsi="Garamond"/>
        </w:rPr>
        <w:t xml:space="preserve"> dalam upaya mereka untuk menembus Kanaan dari selatan.</w:t>
      </w:r>
      <w:r w:rsidR="00E33CEF">
        <w:rPr>
          <w:rFonts w:ascii="Garamond" w:hAnsi="Garamond"/>
        </w:rPr>
        <w:t xml:space="preserve"> Lantas bagaimana dengan Kaleb dalam Y dan E? Kaleb merupakan s</w:t>
      </w:r>
      <w:r w:rsidR="00F07050" w:rsidRPr="007141C9">
        <w:rPr>
          <w:rFonts w:ascii="Garamond" w:hAnsi="Garamond"/>
        </w:rPr>
        <w:t>eorang pahlawan dari p</w:t>
      </w:r>
      <w:r w:rsidR="00E33CEF">
        <w:rPr>
          <w:rFonts w:ascii="Garamond" w:hAnsi="Garamond"/>
        </w:rPr>
        <w:t xml:space="preserve">eriode penaklukan-penyelesaian; ia </w:t>
      </w:r>
      <w:r w:rsidR="00F07050" w:rsidRPr="007141C9">
        <w:rPr>
          <w:rFonts w:ascii="Garamond" w:hAnsi="Garamond"/>
        </w:rPr>
        <w:t>aktif di wilayah Yehuda, seperti yang di</w:t>
      </w:r>
      <w:r w:rsidR="00E33CEF">
        <w:rPr>
          <w:rFonts w:ascii="Garamond" w:hAnsi="Garamond"/>
        </w:rPr>
        <w:t>catat</w:t>
      </w:r>
      <w:r w:rsidR="00F07050" w:rsidRPr="007141C9">
        <w:rPr>
          <w:rFonts w:ascii="Garamond" w:hAnsi="Garamond"/>
        </w:rPr>
        <w:t xml:space="preserve"> dalam Hakim</w:t>
      </w:r>
      <w:r w:rsidR="00E33CEF">
        <w:rPr>
          <w:rFonts w:ascii="Garamond" w:hAnsi="Garamond"/>
        </w:rPr>
        <w:t>-hakim</w:t>
      </w:r>
      <w:r w:rsidR="00F07050" w:rsidRPr="007141C9">
        <w:rPr>
          <w:rFonts w:ascii="Garamond" w:hAnsi="Garamond"/>
        </w:rPr>
        <w:t xml:space="preserve"> 1</w:t>
      </w:r>
      <w:r w:rsidR="00E33CEF">
        <w:rPr>
          <w:rFonts w:ascii="Garamond" w:hAnsi="Garamond"/>
        </w:rPr>
        <w:t>; dan 3:8-11</w:t>
      </w:r>
      <w:r w:rsidR="00F07050" w:rsidRPr="007141C9">
        <w:rPr>
          <w:rFonts w:ascii="Garamond" w:hAnsi="Garamond"/>
        </w:rPr>
        <w:t xml:space="preserve">. </w:t>
      </w:r>
      <w:r w:rsidR="00E33CEF">
        <w:rPr>
          <w:rFonts w:ascii="Garamond" w:hAnsi="Garamond"/>
        </w:rPr>
        <w:t xml:space="preserve">Selain Y dan E, </w:t>
      </w:r>
      <w:r w:rsidR="00F07050" w:rsidRPr="007141C9">
        <w:rPr>
          <w:rFonts w:ascii="Garamond" w:hAnsi="Garamond"/>
        </w:rPr>
        <w:t xml:space="preserve">Deuteronomist </w:t>
      </w:r>
      <w:r w:rsidR="00E33CEF">
        <w:rPr>
          <w:rFonts w:ascii="Garamond" w:hAnsi="Garamond"/>
        </w:rPr>
        <w:t xml:space="preserve">juga mencatat Kaleb </w:t>
      </w:r>
      <w:r w:rsidR="00F07050" w:rsidRPr="007141C9">
        <w:rPr>
          <w:rFonts w:ascii="Garamond" w:hAnsi="Garamond"/>
        </w:rPr>
        <w:t>sebagai satu-satunya pemimpin</w:t>
      </w:r>
      <w:r w:rsidR="00E33CEF">
        <w:rPr>
          <w:rFonts w:ascii="Garamond" w:hAnsi="Garamond"/>
        </w:rPr>
        <w:t xml:space="preserve"> yang</w:t>
      </w:r>
      <w:r w:rsidR="00F07050" w:rsidRPr="007141C9">
        <w:rPr>
          <w:rFonts w:ascii="Garamond" w:hAnsi="Garamond"/>
        </w:rPr>
        <w:t xml:space="preserve"> setia</w:t>
      </w:r>
      <w:r w:rsidR="00E33CEF">
        <w:rPr>
          <w:rFonts w:ascii="Garamond" w:hAnsi="Garamond"/>
        </w:rPr>
        <w:t xml:space="preserve"> dalam</w:t>
      </w:r>
      <w:r w:rsidR="00F07050" w:rsidRPr="007141C9">
        <w:rPr>
          <w:rFonts w:ascii="Garamond" w:hAnsi="Garamond"/>
        </w:rPr>
        <w:t xml:space="preserve"> periode </w:t>
      </w:r>
      <w:r w:rsidR="00E33CEF">
        <w:rPr>
          <w:rFonts w:ascii="Garamond" w:hAnsi="Garamond"/>
        </w:rPr>
        <w:t>padang gurun sebelumnya;</w:t>
      </w:r>
      <w:r w:rsidR="00F07050" w:rsidRPr="007141C9">
        <w:rPr>
          <w:rFonts w:ascii="Garamond" w:hAnsi="Garamond"/>
        </w:rPr>
        <w:t xml:space="preserve"> </w:t>
      </w:r>
      <w:r w:rsidR="00E33CEF">
        <w:rPr>
          <w:rFonts w:ascii="Garamond" w:hAnsi="Garamond"/>
        </w:rPr>
        <w:t xml:space="preserve">ia adalah seseorang yang keyakinannya tidak pernah goyah tentang </w:t>
      </w:r>
      <w:r w:rsidR="00012573">
        <w:rPr>
          <w:rFonts w:ascii="Garamond" w:hAnsi="Garamond"/>
        </w:rPr>
        <w:t>usaha penaklukan.</w:t>
      </w:r>
      <w:r w:rsidR="004A0259">
        <w:rPr>
          <w:rStyle w:val="FootnoteReference"/>
          <w:rFonts w:ascii="Garamond" w:hAnsi="Garamond"/>
        </w:rPr>
        <w:footnoteReference w:id="27"/>
      </w:r>
      <w:r w:rsidR="00012573">
        <w:rPr>
          <w:rFonts w:ascii="Garamond" w:hAnsi="Garamond"/>
        </w:rPr>
        <w:t xml:space="preserve"> </w:t>
      </w:r>
      <w:r>
        <w:rPr>
          <w:rFonts w:ascii="Garamond" w:hAnsi="Garamond"/>
        </w:rPr>
        <w:t>Jadi sampai di sini dapat dilihat, apakah Kaleb dan Yosua tersebut keberadaannya sama atau sejajar? Tentu saja, yang menjadi pembeda dari kedua tokoh tersebut hanyalah sumber dan tradisi yang mereka representasikan.</w:t>
      </w:r>
    </w:p>
    <w:p w:rsidR="00412847" w:rsidRDefault="00C1262A" w:rsidP="00412847">
      <w:pPr>
        <w:spacing w:line="360" w:lineRule="auto"/>
        <w:jc w:val="both"/>
        <w:rPr>
          <w:rFonts w:ascii="Garamond" w:hAnsi="Garamond"/>
          <w:b/>
        </w:rPr>
      </w:pPr>
      <w:r>
        <w:rPr>
          <w:rFonts w:ascii="Garamond" w:hAnsi="Garamond"/>
          <w:b/>
          <w:i/>
        </w:rPr>
        <w:t>Sett</w:t>
      </w:r>
      <w:r w:rsidR="00613279">
        <w:rPr>
          <w:rFonts w:ascii="Garamond" w:hAnsi="Garamond"/>
          <w:b/>
          <w:i/>
        </w:rPr>
        <w:t>ing</w:t>
      </w:r>
      <w:r w:rsidR="006A3FCD">
        <w:rPr>
          <w:rFonts w:ascii="Garamond" w:hAnsi="Garamond"/>
          <w:b/>
        </w:rPr>
        <w:t xml:space="preserve"> Bilangan 13-14</w:t>
      </w:r>
    </w:p>
    <w:p w:rsidR="00613279" w:rsidRPr="00265635" w:rsidRDefault="0054338D" w:rsidP="00265635">
      <w:pPr>
        <w:spacing w:line="360" w:lineRule="auto"/>
        <w:ind w:firstLine="720"/>
        <w:jc w:val="both"/>
        <w:rPr>
          <w:rFonts w:ascii="Garamond" w:hAnsi="Garamond"/>
        </w:rPr>
      </w:pPr>
      <w:r>
        <w:rPr>
          <w:rFonts w:ascii="Garamond" w:hAnsi="Garamond"/>
        </w:rPr>
        <w:t xml:space="preserve">Menurut </w:t>
      </w:r>
      <w:r w:rsidR="0031320A">
        <w:rPr>
          <w:rFonts w:ascii="Garamond" w:hAnsi="Garamond"/>
        </w:rPr>
        <w:t>Benjamin J Noonan</w:t>
      </w:r>
      <w:r w:rsidR="00442FC3">
        <w:rPr>
          <w:rStyle w:val="FootnoteReference"/>
          <w:rFonts w:ascii="Garamond" w:hAnsi="Garamond"/>
        </w:rPr>
        <w:footnoteReference w:id="28"/>
      </w:r>
      <w:r w:rsidR="0031320A">
        <w:rPr>
          <w:rFonts w:ascii="Garamond" w:hAnsi="Garamond"/>
        </w:rPr>
        <w:t xml:space="preserve"> Bilangan 13–14 merupakan bagian yang berisikan penolakan umat Israel untuk memasuki tanah Kanaan</w:t>
      </w:r>
      <w:r w:rsidR="00442FC3">
        <w:rPr>
          <w:rFonts w:ascii="Garamond" w:hAnsi="Garamond"/>
        </w:rPr>
        <w:t>, b</w:t>
      </w:r>
      <w:r w:rsidR="0031320A">
        <w:rPr>
          <w:rFonts w:ascii="Garamond" w:hAnsi="Garamond"/>
        </w:rPr>
        <w:t>enarkah</w:t>
      </w:r>
      <w:r w:rsidR="00301404">
        <w:rPr>
          <w:rFonts w:ascii="Garamond" w:hAnsi="Garamond"/>
        </w:rPr>
        <w:t>? Dan mengapa</w:t>
      </w:r>
      <w:r w:rsidR="0031320A">
        <w:rPr>
          <w:rFonts w:ascii="Garamond" w:hAnsi="Garamond"/>
        </w:rPr>
        <w:t xml:space="preserve"> demikian?</w:t>
      </w:r>
      <w:r w:rsidR="00613279">
        <w:rPr>
          <w:rFonts w:ascii="Garamond" w:hAnsi="Garamond"/>
        </w:rPr>
        <w:t xml:space="preserve"> Levine dan </w:t>
      </w:r>
      <w:r w:rsidR="00232C21">
        <w:rPr>
          <w:rFonts w:ascii="Garamond" w:hAnsi="Garamond"/>
        </w:rPr>
        <w:t>Fretheim</w:t>
      </w:r>
      <w:r w:rsidR="00265635">
        <w:rPr>
          <w:rFonts w:ascii="Garamond" w:hAnsi="Garamond"/>
        </w:rPr>
        <w:t xml:space="preserve"> akan menolong pembaca. </w:t>
      </w:r>
      <w:r w:rsidR="00F87E35">
        <w:rPr>
          <w:rFonts w:ascii="Garamond" w:hAnsi="Garamond"/>
        </w:rPr>
        <w:t xml:space="preserve">Levine dan </w:t>
      </w:r>
      <w:r w:rsidR="00592C2D">
        <w:rPr>
          <w:rFonts w:ascii="Garamond" w:hAnsi="Garamond"/>
        </w:rPr>
        <w:t>Fretheim</w:t>
      </w:r>
      <w:r w:rsidR="00613279" w:rsidRPr="00265635">
        <w:rPr>
          <w:rFonts w:ascii="Garamond" w:hAnsi="Garamond"/>
        </w:rPr>
        <w:t xml:space="preserve"> menjelaskan </w:t>
      </w:r>
      <w:r w:rsidR="008B7E01">
        <w:rPr>
          <w:rFonts w:ascii="Garamond" w:hAnsi="Garamond"/>
        </w:rPr>
        <w:t>bahwa Musa dan orang Israel</w:t>
      </w:r>
      <w:r w:rsidR="00F87E35" w:rsidRPr="00F87E35">
        <w:rPr>
          <w:rFonts w:ascii="Garamond" w:hAnsi="Garamond"/>
        </w:rPr>
        <w:t xml:space="preserve"> setelah </w:t>
      </w:r>
      <w:r w:rsidR="00F87E35">
        <w:rPr>
          <w:rFonts w:ascii="Garamond" w:hAnsi="Garamond"/>
        </w:rPr>
        <w:t>bersiap</w:t>
      </w:r>
      <w:r w:rsidR="00F87E35" w:rsidRPr="00F87E35">
        <w:rPr>
          <w:rFonts w:ascii="Garamond" w:hAnsi="Garamond"/>
        </w:rPr>
        <w:t xml:space="preserve"> ke utara </w:t>
      </w:r>
      <w:r w:rsidR="003D7214">
        <w:rPr>
          <w:rFonts w:ascii="Garamond" w:hAnsi="Garamond"/>
        </w:rPr>
        <w:t>padang</w:t>
      </w:r>
      <w:r w:rsidR="00F87E35" w:rsidRPr="00F87E35">
        <w:rPr>
          <w:rFonts w:ascii="Garamond" w:hAnsi="Garamond"/>
        </w:rPr>
        <w:t xml:space="preserve"> </w:t>
      </w:r>
      <w:r w:rsidR="003D7214">
        <w:rPr>
          <w:rFonts w:ascii="Garamond" w:hAnsi="Garamond"/>
        </w:rPr>
        <w:t>gurun</w:t>
      </w:r>
      <w:r w:rsidR="00F87E35" w:rsidRPr="00F87E35">
        <w:rPr>
          <w:rFonts w:ascii="Garamond" w:hAnsi="Garamond"/>
        </w:rPr>
        <w:t xml:space="preserve"> Paran, </w:t>
      </w:r>
      <w:r w:rsidR="008B7E01">
        <w:rPr>
          <w:rFonts w:ascii="Garamond" w:hAnsi="Garamond"/>
        </w:rPr>
        <w:t xml:space="preserve">Musa </w:t>
      </w:r>
      <w:r w:rsidR="00F87E35" w:rsidRPr="00F87E35">
        <w:rPr>
          <w:rFonts w:ascii="Garamond" w:hAnsi="Garamond"/>
        </w:rPr>
        <w:t>mengirim tim yang terdiri dari dua belas pemim</w:t>
      </w:r>
      <w:r w:rsidR="008B7E01">
        <w:rPr>
          <w:rFonts w:ascii="Garamond" w:hAnsi="Garamond"/>
        </w:rPr>
        <w:t xml:space="preserve">pin suku untuk mengintai Kanaan </w:t>
      </w:r>
      <w:r w:rsidR="00613279" w:rsidRPr="00265635">
        <w:rPr>
          <w:rFonts w:ascii="Garamond" w:hAnsi="Garamond"/>
        </w:rPr>
        <w:t xml:space="preserve">atas perintah </w:t>
      </w:r>
      <w:r w:rsidR="00265635">
        <w:rPr>
          <w:rFonts w:ascii="Garamond" w:hAnsi="Garamond"/>
        </w:rPr>
        <w:t>Tuhan</w:t>
      </w:r>
      <w:r w:rsidR="00613279" w:rsidRPr="00265635">
        <w:rPr>
          <w:rFonts w:ascii="Garamond" w:hAnsi="Garamond"/>
        </w:rPr>
        <w:t>. Musa</w:t>
      </w:r>
      <w:r w:rsidR="00265635">
        <w:rPr>
          <w:rFonts w:ascii="Garamond" w:hAnsi="Garamond"/>
        </w:rPr>
        <w:t xml:space="preserve"> kemudian</w:t>
      </w:r>
      <w:r w:rsidR="00613279" w:rsidRPr="00265635">
        <w:rPr>
          <w:rFonts w:ascii="Garamond" w:hAnsi="Garamond"/>
        </w:rPr>
        <w:t xml:space="preserve"> memberi </w:t>
      </w:r>
      <w:r w:rsidR="00265635">
        <w:rPr>
          <w:rFonts w:ascii="Garamond" w:hAnsi="Garamond"/>
        </w:rPr>
        <w:t xml:space="preserve">instruksi </w:t>
      </w:r>
      <w:r w:rsidR="00265635">
        <w:rPr>
          <w:rFonts w:ascii="Garamond" w:hAnsi="Garamond"/>
        </w:rPr>
        <w:lastRenderedPageBreak/>
        <w:t>mengenai tujuan</w:t>
      </w:r>
      <w:r w:rsidR="00613279" w:rsidRPr="00265635">
        <w:rPr>
          <w:rFonts w:ascii="Garamond" w:hAnsi="Garamond"/>
        </w:rPr>
        <w:t xml:space="preserve"> dan pengamatan yang harus </w:t>
      </w:r>
      <w:r w:rsidR="00265635">
        <w:rPr>
          <w:rFonts w:ascii="Garamond" w:hAnsi="Garamond"/>
        </w:rPr>
        <w:t>mereka lakukan, yaitu berkisar tentang</w:t>
      </w:r>
      <w:r w:rsidR="00613279" w:rsidRPr="00265635">
        <w:rPr>
          <w:rFonts w:ascii="Garamond" w:hAnsi="Garamond"/>
        </w:rPr>
        <w:t xml:space="preserve"> kesiapan militer dan </w:t>
      </w:r>
      <w:r w:rsidR="00265635">
        <w:rPr>
          <w:rFonts w:ascii="Garamond" w:hAnsi="Garamond"/>
        </w:rPr>
        <w:t>keadaan</w:t>
      </w:r>
      <w:r w:rsidR="00613279" w:rsidRPr="00265635">
        <w:rPr>
          <w:rFonts w:ascii="Garamond" w:hAnsi="Garamond"/>
        </w:rPr>
        <w:t xml:space="preserve"> tanah (</w:t>
      </w:r>
      <w:r w:rsidR="00265635">
        <w:rPr>
          <w:rFonts w:ascii="Garamond" w:hAnsi="Garamond"/>
        </w:rPr>
        <w:t>Bil. 13:</w:t>
      </w:r>
      <w:r w:rsidR="00613279" w:rsidRPr="00265635">
        <w:rPr>
          <w:rFonts w:ascii="Garamond" w:hAnsi="Garamond"/>
        </w:rPr>
        <w:t xml:space="preserve">17-20). Menurut </w:t>
      </w:r>
      <w:r w:rsidR="00265635">
        <w:rPr>
          <w:rFonts w:ascii="Garamond" w:hAnsi="Garamond"/>
        </w:rPr>
        <w:t xml:space="preserve">Bilangan </w:t>
      </w:r>
      <w:r w:rsidR="00613279" w:rsidRPr="00265635">
        <w:rPr>
          <w:rFonts w:ascii="Garamond" w:hAnsi="Garamond"/>
        </w:rPr>
        <w:t xml:space="preserve">13:21 mereka menjelajahi seluruh negeri, dari padang gurun Zin di selatan hingga Rehob di utara; </w:t>
      </w:r>
      <w:r w:rsidR="00265635">
        <w:rPr>
          <w:rFonts w:ascii="Garamond" w:hAnsi="Garamond"/>
        </w:rPr>
        <w:t xml:space="preserve">pasal </w:t>
      </w:r>
      <w:r w:rsidR="00613279" w:rsidRPr="00265635">
        <w:rPr>
          <w:rFonts w:ascii="Garamond" w:hAnsi="Garamond"/>
        </w:rPr>
        <w:t>1</w:t>
      </w:r>
      <w:r w:rsidR="00265635">
        <w:rPr>
          <w:rFonts w:ascii="Garamond" w:hAnsi="Garamond"/>
        </w:rPr>
        <w:t xml:space="preserve">3:22-24 </w:t>
      </w:r>
      <w:r w:rsidR="00613279" w:rsidRPr="00265635">
        <w:rPr>
          <w:rFonts w:ascii="Garamond" w:hAnsi="Garamond"/>
        </w:rPr>
        <w:t xml:space="preserve">hanya melaporkan tentang Negeb dan Yehuda, yang darinya mereka </w:t>
      </w:r>
      <w:r w:rsidR="00265635">
        <w:rPr>
          <w:rFonts w:ascii="Garamond" w:hAnsi="Garamond"/>
        </w:rPr>
        <w:t>mengambil</w:t>
      </w:r>
      <w:r w:rsidR="00613279" w:rsidRPr="00265635">
        <w:rPr>
          <w:rFonts w:ascii="Garamond" w:hAnsi="Garamond"/>
        </w:rPr>
        <w:t xml:space="preserve"> buah</w:t>
      </w:r>
      <w:r w:rsidR="00265635">
        <w:rPr>
          <w:rFonts w:ascii="Garamond" w:hAnsi="Garamond"/>
        </w:rPr>
        <w:t xml:space="preserve"> sebagai bukti</w:t>
      </w:r>
      <w:r w:rsidR="00613279" w:rsidRPr="00265635">
        <w:rPr>
          <w:rFonts w:ascii="Garamond" w:hAnsi="Garamond"/>
        </w:rPr>
        <w:t>. Setelah empat puluh hari, para pengintai</w:t>
      </w:r>
      <w:r w:rsidR="00265635">
        <w:rPr>
          <w:rFonts w:ascii="Garamond" w:hAnsi="Garamond"/>
        </w:rPr>
        <w:t xml:space="preserve"> pun kembali dengan</w:t>
      </w:r>
      <w:r w:rsidR="00613279" w:rsidRPr="00265635">
        <w:rPr>
          <w:rFonts w:ascii="Garamond" w:hAnsi="Garamond"/>
        </w:rPr>
        <w:t xml:space="preserve"> membawa laporan </w:t>
      </w:r>
      <w:r w:rsidR="00265635">
        <w:rPr>
          <w:rFonts w:ascii="Garamond" w:hAnsi="Garamond"/>
        </w:rPr>
        <w:t>yang beragam. Laporan awal (13:</w:t>
      </w:r>
      <w:r w:rsidR="00613279" w:rsidRPr="00265635">
        <w:rPr>
          <w:rFonts w:ascii="Garamond" w:hAnsi="Garamond"/>
        </w:rPr>
        <w:t>28-</w:t>
      </w:r>
      <w:r w:rsidR="00265635">
        <w:rPr>
          <w:rFonts w:ascii="Garamond" w:hAnsi="Garamond"/>
        </w:rPr>
        <w:t xml:space="preserve">29) </w:t>
      </w:r>
      <w:r w:rsidR="00613279" w:rsidRPr="00265635">
        <w:rPr>
          <w:rFonts w:ascii="Garamond" w:hAnsi="Garamond"/>
        </w:rPr>
        <w:t>realistis</w:t>
      </w:r>
      <w:r w:rsidR="00265635">
        <w:rPr>
          <w:rFonts w:ascii="Garamond" w:hAnsi="Garamond"/>
        </w:rPr>
        <w:t xml:space="preserve"> bahwa</w:t>
      </w:r>
      <w:r w:rsidR="00613279" w:rsidRPr="00265635">
        <w:rPr>
          <w:rFonts w:ascii="Garamond" w:hAnsi="Garamond"/>
        </w:rPr>
        <w:t xml:space="preserve"> tanahnya berlimpah tetapi dipenuhi dengan orang-orang kuat dan kota-kota berbenteng. Identitas dan penempatan masyarakat </w:t>
      </w:r>
      <w:r w:rsidR="00265635">
        <w:rPr>
          <w:rFonts w:ascii="Garamond" w:hAnsi="Garamond"/>
        </w:rPr>
        <w:t>setempat</w:t>
      </w:r>
      <w:r w:rsidR="00613279" w:rsidRPr="00265635">
        <w:rPr>
          <w:rFonts w:ascii="Garamond" w:hAnsi="Garamond"/>
        </w:rPr>
        <w:t xml:space="preserve"> tidak </w:t>
      </w:r>
      <w:r w:rsidR="00265635">
        <w:rPr>
          <w:rFonts w:ascii="Garamond" w:hAnsi="Garamond"/>
        </w:rPr>
        <w:t xml:space="preserve">teratur </w:t>
      </w:r>
      <w:r w:rsidR="00613279" w:rsidRPr="00265635">
        <w:rPr>
          <w:rFonts w:ascii="Garamond" w:hAnsi="Garamond"/>
        </w:rPr>
        <w:t>(lih. 13:2</w:t>
      </w:r>
      <w:r w:rsidR="00265635">
        <w:rPr>
          <w:rFonts w:ascii="Garamond" w:hAnsi="Garamond"/>
        </w:rPr>
        <w:t>9 dan</w:t>
      </w:r>
      <w:r w:rsidR="00613279" w:rsidRPr="00265635">
        <w:rPr>
          <w:rFonts w:ascii="Garamond" w:hAnsi="Garamond"/>
        </w:rPr>
        <w:t xml:space="preserve"> 14:25, 45), yang mencerminkan tradisi yang berbeda. </w:t>
      </w:r>
      <w:r w:rsidR="00BC2D30">
        <w:rPr>
          <w:rFonts w:ascii="Garamond" w:hAnsi="Garamond"/>
        </w:rPr>
        <w:t>Kemudian disusul dengan laporan tentang keberadaan o</w:t>
      </w:r>
      <w:r w:rsidR="00613279" w:rsidRPr="00265635">
        <w:rPr>
          <w:rFonts w:ascii="Garamond" w:hAnsi="Garamond"/>
        </w:rPr>
        <w:t>rang Amalek</w:t>
      </w:r>
      <w:r w:rsidR="00BC2D30">
        <w:rPr>
          <w:rFonts w:ascii="Garamond" w:hAnsi="Garamond"/>
        </w:rPr>
        <w:t xml:space="preserve"> yang</w:t>
      </w:r>
      <w:r w:rsidR="00613279" w:rsidRPr="00265635">
        <w:rPr>
          <w:rFonts w:ascii="Garamond" w:hAnsi="Garamond"/>
        </w:rPr>
        <w:t xml:space="preserve"> adalah musuh abadi Israel (lihat </w:t>
      </w:r>
      <w:r w:rsidR="00BC2D30">
        <w:rPr>
          <w:rFonts w:ascii="Garamond" w:hAnsi="Garamond"/>
        </w:rPr>
        <w:t xml:space="preserve">Kel. 17:8-16) dan orang Enak </w:t>
      </w:r>
      <w:r w:rsidR="00613279" w:rsidRPr="00265635">
        <w:rPr>
          <w:rFonts w:ascii="Garamond" w:hAnsi="Garamond"/>
        </w:rPr>
        <w:t>(13:22, 29, 33)</w:t>
      </w:r>
      <w:r w:rsidR="00BC2D30">
        <w:rPr>
          <w:rFonts w:ascii="Garamond" w:hAnsi="Garamond"/>
        </w:rPr>
        <w:t xml:space="preserve"> yang dikenal dengan perawakan</w:t>
      </w:r>
      <w:r w:rsidR="00613279" w:rsidRPr="00265635">
        <w:rPr>
          <w:rFonts w:ascii="Garamond" w:hAnsi="Garamond"/>
        </w:rPr>
        <w:t xml:space="preserve"> raksasa</w:t>
      </w:r>
      <w:r w:rsidR="00BC2D30">
        <w:rPr>
          <w:rFonts w:ascii="Garamond" w:hAnsi="Garamond"/>
        </w:rPr>
        <w:t>.</w:t>
      </w:r>
      <w:r w:rsidR="00581CB1">
        <w:rPr>
          <w:rStyle w:val="FootnoteReference"/>
          <w:rFonts w:ascii="Garamond" w:hAnsi="Garamond"/>
        </w:rPr>
        <w:footnoteReference w:id="29"/>
      </w:r>
      <w:r w:rsidR="00BC2D30">
        <w:rPr>
          <w:rFonts w:ascii="Garamond" w:hAnsi="Garamond"/>
        </w:rPr>
        <w:t xml:space="preserve"> </w:t>
      </w:r>
    </w:p>
    <w:p w:rsidR="00613279" w:rsidRDefault="00613279" w:rsidP="00FA727B">
      <w:pPr>
        <w:spacing w:line="360" w:lineRule="auto"/>
        <w:ind w:firstLine="720"/>
        <w:jc w:val="both"/>
        <w:rPr>
          <w:rFonts w:ascii="Garamond" w:hAnsi="Garamond"/>
        </w:rPr>
      </w:pPr>
      <w:r w:rsidRPr="00265635">
        <w:rPr>
          <w:rFonts w:ascii="Garamond" w:hAnsi="Garamond"/>
        </w:rPr>
        <w:t>Kerusuhan</w:t>
      </w:r>
      <w:r w:rsidR="00BC2D30">
        <w:rPr>
          <w:rFonts w:ascii="Garamond" w:hAnsi="Garamond"/>
        </w:rPr>
        <w:t xml:space="preserve"> dan keresahan</w:t>
      </w:r>
      <w:r w:rsidRPr="00265635">
        <w:rPr>
          <w:rFonts w:ascii="Garamond" w:hAnsi="Garamond"/>
        </w:rPr>
        <w:t xml:space="preserve"> di antara </w:t>
      </w:r>
      <w:r w:rsidR="00BC2D30">
        <w:rPr>
          <w:rFonts w:ascii="Garamond" w:hAnsi="Garamond"/>
        </w:rPr>
        <w:t xml:space="preserve">umat Israel terhadap </w:t>
      </w:r>
      <w:r w:rsidRPr="00265635">
        <w:rPr>
          <w:rFonts w:ascii="Garamond" w:hAnsi="Garamond"/>
        </w:rPr>
        <w:t>laporan (13:30)</w:t>
      </w:r>
      <w:r w:rsidR="00BC2D30">
        <w:rPr>
          <w:rFonts w:ascii="Garamond" w:hAnsi="Garamond"/>
        </w:rPr>
        <w:t xml:space="preserve"> tersebut</w:t>
      </w:r>
      <w:r w:rsidR="003D7214">
        <w:rPr>
          <w:rFonts w:ascii="Garamond" w:hAnsi="Garamond"/>
        </w:rPr>
        <w:t xml:space="preserve"> pun</w:t>
      </w:r>
      <w:r w:rsidR="00BC2D30">
        <w:rPr>
          <w:rFonts w:ascii="Garamond" w:hAnsi="Garamond"/>
        </w:rPr>
        <w:t xml:space="preserve"> tak terelakkan yang kemudian</w:t>
      </w:r>
      <w:r w:rsidRPr="00265635">
        <w:rPr>
          <w:rFonts w:ascii="Garamond" w:hAnsi="Garamond"/>
        </w:rPr>
        <w:t xml:space="preserve"> menyebabkan perpecahan di antara </w:t>
      </w:r>
      <w:r w:rsidR="00BC2D30">
        <w:rPr>
          <w:rFonts w:ascii="Garamond" w:hAnsi="Garamond"/>
        </w:rPr>
        <w:t>kedua belas mata-mata</w:t>
      </w:r>
      <w:r w:rsidRPr="00265635">
        <w:rPr>
          <w:rFonts w:ascii="Garamond" w:hAnsi="Garamond"/>
        </w:rPr>
        <w:t>. Kaleb me</w:t>
      </w:r>
      <w:r w:rsidR="00BC2D30">
        <w:rPr>
          <w:rFonts w:ascii="Garamond" w:hAnsi="Garamond"/>
        </w:rPr>
        <w:t>mberikan responsnya</w:t>
      </w:r>
      <w:r w:rsidRPr="00265635">
        <w:rPr>
          <w:rFonts w:ascii="Garamond" w:hAnsi="Garamond"/>
        </w:rPr>
        <w:t xml:space="preserve"> dengan mengungkapkan keyakinan pada kemampuan Israel untuk mengatasi semua rintangan.</w:t>
      </w:r>
      <w:r w:rsidR="00BC2D30">
        <w:rPr>
          <w:rFonts w:ascii="Garamond" w:hAnsi="Garamond"/>
        </w:rPr>
        <w:t xml:space="preserve"> Sementara, p</w:t>
      </w:r>
      <w:r w:rsidRPr="00265635">
        <w:rPr>
          <w:rFonts w:ascii="Garamond" w:hAnsi="Garamond"/>
        </w:rPr>
        <w:t>engintai</w:t>
      </w:r>
      <w:r w:rsidR="00BC2D30">
        <w:rPr>
          <w:rFonts w:ascii="Garamond" w:hAnsi="Garamond"/>
        </w:rPr>
        <w:t xml:space="preserve"> yang</w:t>
      </w:r>
      <w:r w:rsidRPr="00265635">
        <w:rPr>
          <w:rFonts w:ascii="Garamond" w:hAnsi="Garamond"/>
        </w:rPr>
        <w:t xml:space="preserve"> lainnya </w:t>
      </w:r>
      <w:r w:rsidR="00BC2D30">
        <w:rPr>
          <w:rFonts w:ascii="Garamond" w:hAnsi="Garamond"/>
        </w:rPr>
        <w:t>menegaskan</w:t>
      </w:r>
      <w:r w:rsidRPr="00265635">
        <w:rPr>
          <w:rFonts w:ascii="Garamond" w:hAnsi="Garamond"/>
        </w:rPr>
        <w:t xml:space="preserve"> peringatan tentang</w:t>
      </w:r>
      <w:r w:rsidR="00BC2D30">
        <w:rPr>
          <w:rFonts w:ascii="Garamond" w:hAnsi="Garamond"/>
        </w:rPr>
        <w:t xml:space="preserve"> ukuran dan kekuatan penduduk</w:t>
      </w:r>
      <w:r w:rsidRPr="00265635">
        <w:rPr>
          <w:rFonts w:ascii="Garamond" w:hAnsi="Garamond"/>
        </w:rPr>
        <w:t xml:space="preserve"> dan kota </w:t>
      </w:r>
      <w:r w:rsidR="00BC2D30">
        <w:rPr>
          <w:rFonts w:ascii="Garamond" w:hAnsi="Garamond"/>
        </w:rPr>
        <w:t>yang mereka telah lihat; mereka meyakini bahwa</w:t>
      </w:r>
      <w:r w:rsidRPr="00265635">
        <w:rPr>
          <w:rFonts w:ascii="Garamond" w:hAnsi="Garamond"/>
        </w:rPr>
        <w:t xml:space="preserve"> </w:t>
      </w:r>
      <w:r w:rsidR="00BC2D30">
        <w:rPr>
          <w:rFonts w:ascii="Garamond" w:hAnsi="Garamond"/>
        </w:rPr>
        <w:t xml:space="preserve">umat </w:t>
      </w:r>
      <w:r w:rsidRPr="00265635">
        <w:rPr>
          <w:rFonts w:ascii="Garamond" w:hAnsi="Garamond"/>
        </w:rPr>
        <w:t>Israel akan dikalahkan.</w:t>
      </w:r>
      <w:r w:rsidR="00581CB1">
        <w:rPr>
          <w:rFonts w:ascii="Garamond" w:hAnsi="Garamond"/>
        </w:rPr>
        <w:t xml:space="preserve"> Oleh Fretheim</w:t>
      </w:r>
      <w:r w:rsidR="00BC2D30">
        <w:rPr>
          <w:rFonts w:ascii="Garamond" w:hAnsi="Garamond"/>
        </w:rPr>
        <w:t>, laporan yang demikian merupakan rekayasa yang</w:t>
      </w:r>
      <w:r w:rsidRPr="00265635">
        <w:rPr>
          <w:rFonts w:ascii="Garamond" w:hAnsi="Garamond"/>
        </w:rPr>
        <w:t xml:space="preserve"> dibesar-besarkan</w:t>
      </w:r>
      <w:r w:rsidR="00BC2D30">
        <w:rPr>
          <w:rFonts w:ascii="Garamond" w:hAnsi="Garamond"/>
        </w:rPr>
        <w:t xml:space="preserve">, </w:t>
      </w:r>
      <w:r w:rsidR="00B90A4B">
        <w:rPr>
          <w:rFonts w:ascii="Garamond" w:hAnsi="Garamond"/>
        </w:rPr>
        <w:t>namun</w:t>
      </w:r>
      <w:r w:rsidR="00BC2D30">
        <w:rPr>
          <w:rFonts w:ascii="Garamond" w:hAnsi="Garamond"/>
        </w:rPr>
        <w:t xml:space="preserve"> hasilnya laporan yang telah dibumbui tersebut pun </w:t>
      </w:r>
      <w:r w:rsidRPr="00265635">
        <w:rPr>
          <w:rFonts w:ascii="Garamond" w:hAnsi="Garamond"/>
        </w:rPr>
        <w:t>berhasil.</w:t>
      </w:r>
      <w:r w:rsidR="00581CB1">
        <w:rPr>
          <w:rStyle w:val="FootnoteReference"/>
          <w:rFonts w:ascii="Garamond" w:hAnsi="Garamond"/>
        </w:rPr>
        <w:footnoteReference w:id="30"/>
      </w:r>
      <w:r w:rsidRPr="00265635">
        <w:rPr>
          <w:rFonts w:ascii="Garamond" w:hAnsi="Garamond"/>
        </w:rPr>
        <w:t xml:space="preserve"> </w:t>
      </w:r>
      <w:r w:rsidR="00BC2D30">
        <w:rPr>
          <w:rFonts w:ascii="Garamond" w:hAnsi="Garamond"/>
        </w:rPr>
        <w:t xml:space="preserve">Di sini, umat Israel </w:t>
      </w:r>
      <w:r w:rsidRPr="00265635">
        <w:rPr>
          <w:rFonts w:ascii="Garamond" w:hAnsi="Garamond"/>
        </w:rPr>
        <w:t xml:space="preserve">tergoda </w:t>
      </w:r>
      <w:r w:rsidR="00BC2D30">
        <w:rPr>
          <w:rFonts w:ascii="Garamond" w:hAnsi="Garamond"/>
        </w:rPr>
        <w:t xml:space="preserve">dengan </w:t>
      </w:r>
      <w:r w:rsidRPr="00265635">
        <w:rPr>
          <w:rFonts w:ascii="Garamond" w:hAnsi="Garamond"/>
        </w:rPr>
        <w:t>hal-hal negatif</w:t>
      </w:r>
      <w:r w:rsidR="00BC2D30">
        <w:rPr>
          <w:rFonts w:ascii="Garamond" w:hAnsi="Garamond"/>
        </w:rPr>
        <w:t xml:space="preserve"> dalam</w:t>
      </w:r>
      <w:r w:rsidRPr="00265635">
        <w:rPr>
          <w:rFonts w:ascii="Garamond" w:hAnsi="Garamond"/>
        </w:rPr>
        <w:t xml:space="preserve"> laporan</w:t>
      </w:r>
      <w:r w:rsidR="00BC2D30">
        <w:rPr>
          <w:rFonts w:ascii="Garamond" w:hAnsi="Garamond"/>
        </w:rPr>
        <w:t xml:space="preserve"> mata-mata (14:36); mereka (umat Israel) </w:t>
      </w:r>
      <w:r w:rsidRPr="00265635">
        <w:rPr>
          <w:rFonts w:ascii="Garamond" w:hAnsi="Garamond"/>
        </w:rPr>
        <w:t>meremehkan janji Tuhan atas tanah (14:31), dan mengeluh terhadap Musa dan Harun karena takut</w:t>
      </w:r>
      <w:r w:rsidR="00B90A4B">
        <w:rPr>
          <w:rFonts w:ascii="Garamond" w:hAnsi="Garamond"/>
        </w:rPr>
        <w:t xml:space="preserve"> kehilangan</w:t>
      </w:r>
      <w:r w:rsidRPr="00265635">
        <w:rPr>
          <w:rFonts w:ascii="Garamond" w:hAnsi="Garamond"/>
        </w:rPr>
        <w:t xml:space="preserve"> nyawa dan</w:t>
      </w:r>
      <w:r w:rsidR="00B90A4B">
        <w:rPr>
          <w:rFonts w:ascii="Garamond" w:hAnsi="Garamond"/>
        </w:rPr>
        <w:t xml:space="preserve"> tanggungan mereka.</w:t>
      </w:r>
      <w:r w:rsidR="00100852">
        <w:rPr>
          <w:rFonts w:ascii="Garamond" w:hAnsi="Garamond"/>
        </w:rPr>
        <w:t xml:space="preserve"> Untuk itu, m</w:t>
      </w:r>
      <w:r w:rsidRPr="00265635">
        <w:rPr>
          <w:rFonts w:ascii="Garamond" w:hAnsi="Garamond"/>
        </w:rPr>
        <w:t xml:space="preserve">ereka merencanakan untuk memilih pemimpin baru dan </w:t>
      </w:r>
      <w:r w:rsidR="00100852">
        <w:rPr>
          <w:rFonts w:ascii="Garamond" w:hAnsi="Garamond"/>
        </w:rPr>
        <w:t>berbalik kembali ke Mesir</w:t>
      </w:r>
      <w:r w:rsidRPr="00265635">
        <w:rPr>
          <w:rFonts w:ascii="Garamond" w:hAnsi="Garamond"/>
        </w:rPr>
        <w:t xml:space="preserve"> </w:t>
      </w:r>
      <w:r w:rsidR="00100852">
        <w:rPr>
          <w:rFonts w:ascii="Garamond" w:hAnsi="Garamond"/>
        </w:rPr>
        <w:t>(14:4).</w:t>
      </w:r>
      <w:r w:rsidRPr="00265635">
        <w:rPr>
          <w:rFonts w:ascii="Garamond" w:hAnsi="Garamond"/>
        </w:rPr>
        <w:t xml:space="preserve"> </w:t>
      </w:r>
      <w:r w:rsidR="00100852">
        <w:rPr>
          <w:rFonts w:ascii="Garamond" w:hAnsi="Garamond"/>
        </w:rPr>
        <w:t xml:space="preserve">Meski Musa dan Harun </w:t>
      </w:r>
      <w:r w:rsidRPr="00265635">
        <w:rPr>
          <w:rFonts w:ascii="Garamond" w:hAnsi="Garamond"/>
        </w:rPr>
        <w:t>mendesak</w:t>
      </w:r>
      <w:r w:rsidR="00100852">
        <w:rPr>
          <w:rFonts w:ascii="Garamond" w:hAnsi="Garamond"/>
        </w:rPr>
        <w:t xml:space="preserve"> mereka, umat Israel tersebut tetap bertahan dengan keinginannya.</w:t>
      </w:r>
      <w:r w:rsidRPr="00265635">
        <w:rPr>
          <w:rFonts w:ascii="Garamond" w:hAnsi="Garamond"/>
        </w:rPr>
        <w:t xml:space="preserve"> </w:t>
      </w:r>
      <w:r w:rsidR="00100852">
        <w:rPr>
          <w:rFonts w:ascii="Garamond" w:hAnsi="Garamond"/>
        </w:rPr>
        <w:t>Dengan dalih “d</w:t>
      </w:r>
      <w:r w:rsidRPr="00265635">
        <w:rPr>
          <w:rFonts w:ascii="Garamond" w:hAnsi="Garamond"/>
        </w:rPr>
        <w:t>ari</w:t>
      </w:r>
      <w:r w:rsidR="00100852">
        <w:rPr>
          <w:rFonts w:ascii="Garamond" w:hAnsi="Garamond"/>
        </w:rPr>
        <w:t xml:space="preserve">pada bersukacita dalam laporan </w:t>
      </w:r>
      <w:r w:rsidRPr="00265635">
        <w:rPr>
          <w:rFonts w:ascii="Garamond" w:hAnsi="Garamond"/>
        </w:rPr>
        <w:t xml:space="preserve">tanah </w:t>
      </w:r>
      <w:r w:rsidR="00100852">
        <w:rPr>
          <w:rFonts w:ascii="Garamond" w:hAnsi="Garamond"/>
        </w:rPr>
        <w:t xml:space="preserve">tersebut amatlah baik” </w:t>
      </w:r>
      <w:r w:rsidRPr="00265635">
        <w:rPr>
          <w:rFonts w:ascii="Garamond" w:hAnsi="Garamond"/>
        </w:rPr>
        <w:t>dan percaya bahwa Tuhan</w:t>
      </w:r>
      <w:r w:rsidR="00100852">
        <w:rPr>
          <w:rFonts w:ascii="Garamond" w:hAnsi="Garamond"/>
        </w:rPr>
        <w:t xml:space="preserve"> yang</w:t>
      </w:r>
      <w:r w:rsidRPr="00265635">
        <w:rPr>
          <w:rFonts w:ascii="Garamond" w:hAnsi="Garamond"/>
        </w:rPr>
        <w:t xml:space="preserve"> akan memenuhi janji</w:t>
      </w:r>
      <w:r w:rsidR="00100852">
        <w:rPr>
          <w:rFonts w:ascii="Garamond" w:hAnsi="Garamond"/>
        </w:rPr>
        <w:t>-Nya</w:t>
      </w:r>
      <w:r w:rsidRPr="00265635">
        <w:rPr>
          <w:rFonts w:ascii="Garamond" w:hAnsi="Garamond"/>
        </w:rPr>
        <w:t xml:space="preserve">, </w:t>
      </w:r>
      <w:r w:rsidR="00100852">
        <w:rPr>
          <w:rFonts w:ascii="Garamond" w:hAnsi="Garamond"/>
        </w:rPr>
        <w:t xml:space="preserve">umat Israel lebih memilih </w:t>
      </w:r>
      <w:r w:rsidRPr="00265635">
        <w:rPr>
          <w:rFonts w:ascii="Garamond" w:hAnsi="Garamond"/>
        </w:rPr>
        <w:t>memberontak melawan T</w:t>
      </w:r>
      <w:r w:rsidR="00100852">
        <w:rPr>
          <w:rFonts w:ascii="Garamond" w:hAnsi="Garamond"/>
        </w:rPr>
        <w:t>uhan</w:t>
      </w:r>
      <w:r w:rsidRPr="00265635">
        <w:rPr>
          <w:rFonts w:ascii="Garamond" w:hAnsi="Garamond"/>
        </w:rPr>
        <w:t xml:space="preserve"> dan</w:t>
      </w:r>
      <w:r w:rsidR="00100852">
        <w:rPr>
          <w:rFonts w:ascii="Garamond" w:hAnsi="Garamond"/>
        </w:rPr>
        <w:t xml:space="preserve"> bahkan</w:t>
      </w:r>
      <w:r w:rsidRPr="00265635">
        <w:rPr>
          <w:rFonts w:ascii="Garamond" w:hAnsi="Garamond"/>
        </w:rPr>
        <w:t xml:space="preserve"> mengancam akan melempari Kaleb</w:t>
      </w:r>
      <w:r w:rsidR="00100852">
        <w:rPr>
          <w:rFonts w:ascii="Garamond" w:hAnsi="Garamond"/>
        </w:rPr>
        <w:t xml:space="preserve"> dan Yosua</w:t>
      </w:r>
      <w:r w:rsidRPr="00265635">
        <w:rPr>
          <w:rFonts w:ascii="Garamond" w:hAnsi="Garamond"/>
        </w:rPr>
        <w:t xml:space="preserve"> dengan batu sampai mati.</w:t>
      </w:r>
      <w:r w:rsidR="00232C21">
        <w:rPr>
          <w:rFonts w:ascii="Garamond" w:hAnsi="Garamond"/>
        </w:rPr>
        <w:t xml:space="preserve"> Levine dan Fretheim</w:t>
      </w:r>
      <w:r w:rsidR="00014BCB">
        <w:rPr>
          <w:rFonts w:ascii="Garamond" w:hAnsi="Garamond"/>
        </w:rPr>
        <w:t xml:space="preserve"> melihat bahwa n</w:t>
      </w:r>
      <w:r w:rsidR="009A7191" w:rsidRPr="00014BCB">
        <w:rPr>
          <w:rFonts w:ascii="Garamond" w:hAnsi="Garamond"/>
        </w:rPr>
        <w:t xml:space="preserve">egativisme semacam itu </w:t>
      </w:r>
      <w:r w:rsidR="00014BCB">
        <w:rPr>
          <w:rFonts w:ascii="Garamond" w:hAnsi="Garamond"/>
        </w:rPr>
        <w:t>merupakan pertanda</w:t>
      </w:r>
      <w:r w:rsidR="009A7191" w:rsidRPr="00014BCB">
        <w:rPr>
          <w:rFonts w:ascii="Garamond" w:hAnsi="Garamond"/>
        </w:rPr>
        <w:t xml:space="preserve"> kurangnya kepercayaan pada kekuatan Tuhan, dan itu</w:t>
      </w:r>
      <w:r w:rsidR="00014BCB">
        <w:rPr>
          <w:rFonts w:ascii="Garamond" w:hAnsi="Garamond"/>
        </w:rPr>
        <w:t xml:space="preserve"> tentu saja menimbulkan kemarahan-Nya</w:t>
      </w:r>
      <w:r w:rsidR="009A7191" w:rsidRPr="00014BCB">
        <w:rPr>
          <w:rFonts w:ascii="Garamond" w:hAnsi="Garamond"/>
        </w:rPr>
        <w:t>.</w:t>
      </w:r>
      <w:r w:rsidR="00014BCB">
        <w:rPr>
          <w:rFonts w:ascii="Garamond" w:hAnsi="Garamond"/>
        </w:rPr>
        <w:t xml:space="preserve"> </w:t>
      </w:r>
      <w:r w:rsidR="009A7191" w:rsidRPr="00014BCB">
        <w:rPr>
          <w:rFonts w:ascii="Garamond" w:hAnsi="Garamond"/>
        </w:rPr>
        <w:t>Tuhan</w:t>
      </w:r>
      <w:r w:rsidR="00014BCB">
        <w:rPr>
          <w:rFonts w:ascii="Garamond" w:hAnsi="Garamond"/>
        </w:rPr>
        <w:t xml:space="preserve"> pun</w:t>
      </w:r>
      <w:r w:rsidR="009A7191" w:rsidRPr="00014BCB">
        <w:rPr>
          <w:rFonts w:ascii="Garamond" w:hAnsi="Garamond"/>
        </w:rPr>
        <w:t xml:space="preserve"> bersumpah bahwa tidak satupun dari mereka</w:t>
      </w:r>
      <w:r w:rsidR="00014BCB">
        <w:rPr>
          <w:rFonts w:ascii="Garamond" w:hAnsi="Garamond"/>
        </w:rPr>
        <w:t xml:space="preserve"> (umat Israel)</w:t>
      </w:r>
      <w:r w:rsidR="009A7191" w:rsidRPr="00014BCB">
        <w:rPr>
          <w:rFonts w:ascii="Garamond" w:hAnsi="Garamond"/>
        </w:rPr>
        <w:t xml:space="preserve"> yang saat ini meragukan </w:t>
      </w:r>
      <w:r w:rsidR="009A7191" w:rsidRPr="00014BCB">
        <w:rPr>
          <w:rFonts w:ascii="Garamond" w:hAnsi="Garamond"/>
        </w:rPr>
        <w:lastRenderedPageBreak/>
        <w:t>kekuatan</w:t>
      </w:r>
      <w:r w:rsidR="00014BCB">
        <w:rPr>
          <w:rFonts w:ascii="Garamond" w:hAnsi="Garamond"/>
        </w:rPr>
        <w:t>-N</w:t>
      </w:r>
      <w:r w:rsidR="009A7191" w:rsidRPr="00014BCB">
        <w:rPr>
          <w:rFonts w:ascii="Garamond" w:hAnsi="Garamond"/>
        </w:rPr>
        <w:t>ya akan melihat Tanah Perjanjian.</w:t>
      </w:r>
      <w:r w:rsidR="00014BCB">
        <w:rPr>
          <w:rFonts w:ascii="Garamond" w:hAnsi="Garamond"/>
        </w:rPr>
        <w:t xml:space="preserve"> </w:t>
      </w:r>
      <w:r w:rsidR="005D4F7B" w:rsidRPr="00014BCB">
        <w:rPr>
          <w:rFonts w:ascii="Garamond" w:hAnsi="Garamond"/>
        </w:rPr>
        <w:t xml:space="preserve">Hanya Kaleb </w:t>
      </w:r>
      <w:r w:rsidR="005E6D48">
        <w:rPr>
          <w:rFonts w:ascii="Garamond" w:hAnsi="Garamond"/>
        </w:rPr>
        <w:t xml:space="preserve">(dan </w:t>
      </w:r>
      <w:r w:rsidR="005D4F7B" w:rsidRPr="00014BCB">
        <w:rPr>
          <w:rFonts w:ascii="Garamond" w:hAnsi="Garamond"/>
        </w:rPr>
        <w:t>Yosua</w:t>
      </w:r>
      <w:r w:rsidR="005E6D48">
        <w:rPr>
          <w:rFonts w:ascii="Garamond" w:hAnsi="Garamond"/>
        </w:rPr>
        <w:t>)</w:t>
      </w:r>
      <w:r w:rsidR="005D4F7B" w:rsidRPr="00014BCB">
        <w:rPr>
          <w:rFonts w:ascii="Garamond" w:hAnsi="Garamond"/>
        </w:rPr>
        <w:t xml:space="preserve"> yang akan h</w:t>
      </w:r>
      <w:r w:rsidR="005E6D48">
        <w:rPr>
          <w:rFonts w:ascii="Garamond" w:hAnsi="Garamond"/>
        </w:rPr>
        <w:t>idup untuk memasuki negeri itu.</w:t>
      </w:r>
      <w:r w:rsidR="00E806FF">
        <w:rPr>
          <w:rStyle w:val="FootnoteReference"/>
          <w:rFonts w:ascii="Garamond" w:hAnsi="Garamond"/>
        </w:rPr>
        <w:footnoteReference w:id="31"/>
      </w:r>
      <w:r w:rsidR="005E6D48">
        <w:rPr>
          <w:rFonts w:ascii="Garamond" w:hAnsi="Garamond"/>
        </w:rPr>
        <w:t xml:space="preserve"> </w:t>
      </w:r>
    </w:p>
    <w:p w:rsidR="00E61830" w:rsidRDefault="00E61830" w:rsidP="00E61830">
      <w:pPr>
        <w:spacing w:line="360" w:lineRule="auto"/>
        <w:jc w:val="both"/>
        <w:rPr>
          <w:rFonts w:ascii="Garamond" w:hAnsi="Garamond"/>
          <w:b/>
        </w:rPr>
      </w:pPr>
      <w:r>
        <w:rPr>
          <w:rFonts w:ascii="Garamond" w:hAnsi="Garamond"/>
          <w:b/>
        </w:rPr>
        <w:t>Jejak Iman Kaleb</w:t>
      </w:r>
    </w:p>
    <w:p w:rsidR="0051693F" w:rsidRDefault="0051693F" w:rsidP="0032098A">
      <w:pPr>
        <w:spacing w:line="360" w:lineRule="auto"/>
        <w:ind w:firstLine="720"/>
        <w:jc w:val="both"/>
        <w:rPr>
          <w:rFonts w:ascii="Garamond" w:hAnsi="Garamond"/>
        </w:rPr>
      </w:pPr>
      <w:r>
        <w:rPr>
          <w:rFonts w:ascii="Garamond" w:hAnsi="Garamond"/>
        </w:rPr>
        <w:t>Jejak iman Kaleb yang akan ditelusuri berangkat dari teks Bilangan 14:24 itu sendiri</w:t>
      </w:r>
      <w:r w:rsidR="002B2C79">
        <w:rPr>
          <w:rFonts w:ascii="Garamond" w:hAnsi="Garamond"/>
        </w:rPr>
        <w:t>; daripadanya akan dikaji dua poin yang tampak sebagai alasan Tuhan berkenan kepada Kaleb</w:t>
      </w:r>
      <w:r>
        <w:rPr>
          <w:rFonts w:ascii="Garamond" w:hAnsi="Garamond"/>
        </w:rPr>
        <w:t>, begini bunyinya:</w:t>
      </w:r>
    </w:p>
    <w:p w:rsidR="00C91B23" w:rsidRDefault="0051693F" w:rsidP="00C91B23">
      <w:pPr>
        <w:spacing w:line="360" w:lineRule="auto"/>
        <w:ind w:left="720"/>
        <w:jc w:val="both"/>
        <w:rPr>
          <w:rFonts w:ascii="Garamond" w:hAnsi="Garamond"/>
        </w:rPr>
      </w:pPr>
      <w:r w:rsidRPr="0051693F">
        <w:rPr>
          <w:rFonts w:ascii="Garamond" w:hAnsi="Garamond"/>
          <w:b/>
        </w:rPr>
        <w:t>TB-</w:t>
      </w:r>
      <w:r w:rsidR="00C91B23" w:rsidRPr="00BB0050">
        <w:rPr>
          <w:rFonts w:ascii="Garamond" w:hAnsi="Garamond"/>
          <w:b/>
        </w:rPr>
        <w:t>LAI</w:t>
      </w:r>
      <w:r>
        <w:rPr>
          <w:rFonts w:ascii="Garamond" w:hAnsi="Garamond"/>
          <w:b/>
        </w:rPr>
        <w:t>:</w:t>
      </w:r>
      <w:r w:rsidR="00C91B23">
        <w:rPr>
          <w:rFonts w:ascii="Garamond" w:hAnsi="Garamond"/>
        </w:rPr>
        <w:t xml:space="preserve"> </w:t>
      </w:r>
      <w:r w:rsidR="00A35925">
        <w:rPr>
          <w:rFonts w:ascii="Garamond" w:hAnsi="Garamond"/>
        </w:rPr>
        <w:t>“</w:t>
      </w:r>
      <w:r w:rsidR="00A35925" w:rsidRPr="00BB0050">
        <w:rPr>
          <w:rFonts w:ascii="Garamond" w:hAnsi="Garamond"/>
        </w:rPr>
        <w:t xml:space="preserve">Tetapi hamba-Ku Kaleb, </w:t>
      </w:r>
      <w:r w:rsidR="00A35925" w:rsidRPr="00BB0050">
        <w:rPr>
          <w:rFonts w:ascii="Garamond" w:hAnsi="Garamond"/>
          <w:b/>
        </w:rPr>
        <w:t>karena</w:t>
      </w:r>
      <w:r w:rsidR="00A35925" w:rsidRPr="00BB0050">
        <w:rPr>
          <w:rFonts w:ascii="Garamond" w:hAnsi="Garamond"/>
        </w:rPr>
        <w:t xml:space="preserve"> </w:t>
      </w:r>
      <w:r w:rsidR="00A35925" w:rsidRPr="00BB0050">
        <w:rPr>
          <w:rFonts w:ascii="Garamond" w:hAnsi="Garamond"/>
          <w:u w:val="single"/>
        </w:rPr>
        <w:t>lain jiwa yang ada padanya</w:t>
      </w:r>
      <w:r w:rsidR="00A35925" w:rsidRPr="00BB0050">
        <w:rPr>
          <w:rFonts w:ascii="Garamond" w:hAnsi="Garamond"/>
        </w:rPr>
        <w:t xml:space="preserve"> </w:t>
      </w:r>
      <w:r w:rsidR="00A35925" w:rsidRPr="00BB0050">
        <w:rPr>
          <w:rFonts w:ascii="Garamond" w:hAnsi="Garamond"/>
          <w:b/>
        </w:rPr>
        <w:t>dan</w:t>
      </w:r>
      <w:r w:rsidR="00A35925" w:rsidRPr="00BB0050">
        <w:rPr>
          <w:rFonts w:ascii="Garamond" w:hAnsi="Garamond"/>
        </w:rPr>
        <w:t xml:space="preserve"> </w:t>
      </w:r>
      <w:r w:rsidR="00A35925" w:rsidRPr="00BB0050">
        <w:rPr>
          <w:rFonts w:ascii="Garamond" w:hAnsi="Garamond"/>
          <w:u w:val="single"/>
        </w:rPr>
        <w:t>ia mengikut Aku dengan sepenuhnya</w:t>
      </w:r>
      <w:r w:rsidR="00A35925" w:rsidRPr="00BB0050">
        <w:rPr>
          <w:rFonts w:ascii="Garamond" w:hAnsi="Garamond"/>
        </w:rPr>
        <w:t>, akan Kubawa masuk ke negeri yang telah dimasukinya itu, dan keturunannya akan memilikinya</w:t>
      </w:r>
      <w:r w:rsidR="00A35925">
        <w:rPr>
          <w:rFonts w:ascii="Garamond" w:hAnsi="Garamond"/>
        </w:rPr>
        <w:t>.”</w:t>
      </w:r>
      <w:r w:rsidR="00C91B23">
        <w:rPr>
          <w:rFonts w:ascii="Garamond" w:hAnsi="Garamond"/>
        </w:rPr>
        <w:t xml:space="preserve"> </w:t>
      </w:r>
    </w:p>
    <w:p w:rsidR="0051693F" w:rsidRPr="0051693F" w:rsidRDefault="0051693F" w:rsidP="0051693F">
      <w:pPr>
        <w:autoSpaceDE w:val="0"/>
        <w:autoSpaceDN w:val="0"/>
        <w:bidi/>
        <w:adjustRightInd w:val="0"/>
        <w:spacing w:after="0" w:line="240" w:lineRule="auto"/>
        <w:rPr>
          <w:rFonts w:ascii="Arial" w:hAnsi="Arial" w:cs="Arial"/>
          <w:sz w:val="20"/>
          <w:lang w:val="en-US" w:bidi="he-IL"/>
        </w:rPr>
      </w:pPr>
      <w:r>
        <w:rPr>
          <w:rFonts w:ascii="Arial" w:hAnsi="Arial" w:cs="Arial"/>
          <w:sz w:val="20"/>
          <w:vertAlign w:val="superscript"/>
          <w:lang w:val="en-US" w:bidi="he-IL"/>
        </w:rPr>
        <w:t xml:space="preserve">  WTT</w:t>
      </w:r>
      <w:r>
        <w:rPr>
          <w:rFonts w:ascii="Arial" w:hAnsi="Arial" w:cs="Arial"/>
          <w:b/>
          <w:bCs/>
          <w:sz w:val="20"/>
          <w:lang w:val="en-US" w:bidi="he-IL"/>
        </w:rPr>
        <w:t xml:space="preserve"> Numbers 14:24 </w:t>
      </w:r>
      <w:r w:rsidRPr="004079D3">
        <w:rPr>
          <w:rFonts w:ascii="SBL Hebrew" w:hAnsi="SBL Hebrew" w:cs="SBL Hebrew"/>
          <w:szCs w:val="24"/>
          <w:rtl/>
          <w:lang w:val="en-US" w:bidi="he-IL"/>
        </w:rPr>
        <w:t>וְעַבְדִּ֣י כָלֵ֗ב עֵ֣קֶב הָֽיְתָ֞ה ר֤וּחַ אַחֶ֙רֶת֙ עִמּ֔וֹ וַיְמַלֵּ֖א אַחֲרָ֑י וַהֲבִֽיאֹתִ֗יו אֶל־הָאָ֙רֶץ֙ אֲשֶׁר־בָּ֣א שָׁ֔מָּה וְזַרְע֖וֹ יוֹרִשֶֽׁנָּה׃</w:t>
      </w:r>
    </w:p>
    <w:p w:rsidR="0051693F" w:rsidRDefault="0051693F" w:rsidP="00BB0050">
      <w:pPr>
        <w:spacing w:line="360" w:lineRule="auto"/>
        <w:ind w:left="720"/>
        <w:jc w:val="both"/>
        <w:rPr>
          <w:rFonts w:ascii="Garamond" w:hAnsi="Garamond"/>
        </w:rPr>
      </w:pPr>
      <w:r>
        <w:rPr>
          <w:rFonts w:ascii="Garamond" w:hAnsi="Garamond"/>
          <w:b/>
        </w:rPr>
        <w:t>Transliterasi</w:t>
      </w:r>
    </w:p>
    <w:p w:rsidR="00BB0050" w:rsidRDefault="00BB0050" w:rsidP="00BB0050">
      <w:pPr>
        <w:spacing w:line="360" w:lineRule="auto"/>
        <w:ind w:left="720"/>
        <w:jc w:val="both"/>
        <w:rPr>
          <w:rFonts w:ascii="Garamond" w:hAnsi="Garamond"/>
        </w:rPr>
      </w:pPr>
      <w:r w:rsidRPr="007F07A0">
        <w:rPr>
          <w:rFonts w:ascii="Garamond" w:hAnsi="Garamond"/>
          <w:i/>
        </w:rPr>
        <w:t>wĕ</w:t>
      </w:r>
      <w:r w:rsidRPr="007F07A0">
        <w:rPr>
          <w:i/>
        </w:rPr>
        <w:t>ʿ</w:t>
      </w:r>
      <w:r w:rsidRPr="007F07A0">
        <w:rPr>
          <w:rFonts w:ascii="Garamond" w:hAnsi="Garamond"/>
          <w:i/>
        </w:rPr>
        <w:t>abd</w:t>
      </w:r>
      <w:r w:rsidRPr="007F07A0">
        <w:rPr>
          <w:rFonts w:ascii="Garamond" w:hAnsi="Garamond" w:cs="Garamond"/>
          <w:i/>
        </w:rPr>
        <w:t>î</w:t>
      </w:r>
      <w:r w:rsidRPr="007F07A0">
        <w:rPr>
          <w:rFonts w:ascii="Garamond" w:hAnsi="Garamond"/>
          <w:i/>
        </w:rPr>
        <w:t xml:space="preserve"> k</w:t>
      </w:r>
      <w:r w:rsidRPr="007F07A0">
        <w:rPr>
          <w:rFonts w:ascii="Garamond" w:hAnsi="Garamond" w:cs="Garamond"/>
          <w:i/>
        </w:rPr>
        <w:t>ā</w:t>
      </w:r>
      <w:r w:rsidRPr="007F07A0">
        <w:rPr>
          <w:rFonts w:ascii="Garamond" w:hAnsi="Garamond"/>
          <w:i/>
        </w:rPr>
        <w:t>l</w:t>
      </w:r>
      <w:r w:rsidRPr="007F07A0">
        <w:rPr>
          <w:rFonts w:ascii="Garamond" w:hAnsi="Garamond" w:cs="Garamond"/>
          <w:i/>
        </w:rPr>
        <w:t>ē</w:t>
      </w:r>
      <w:r w:rsidRPr="007F07A0">
        <w:rPr>
          <w:rFonts w:ascii="Garamond" w:hAnsi="Garamond"/>
          <w:i/>
        </w:rPr>
        <w:t xml:space="preserve">b </w:t>
      </w:r>
      <w:r w:rsidRPr="007F07A0">
        <w:rPr>
          <w:i/>
        </w:rPr>
        <w:t>ʿ</w:t>
      </w:r>
      <w:r w:rsidRPr="007F07A0">
        <w:rPr>
          <w:rFonts w:ascii="Garamond" w:hAnsi="Garamond" w:cs="Garamond"/>
          <w:i/>
        </w:rPr>
        <w:t>ē</w:t>
      </w:r>
      <w:r w:rsidRPr="007F07A0">
        <w:rPr>
          <w:rFonts w:ascii="Garamond" w:hAnsi="Garamond"/>
          <w:i/>
        </w:rPr>
        <w:t>qeb h</w:t>
      </w:r>
      <w:r w:rsidRPr="007F07A0">
        <w:rPr>
          <w:rFonts w:ascii="Garamond" w:hAnsi="Garamond" w:cs="Garamond"/>
          <w:i/>
        </w:rPr>
        <w:t>ā</w:t>
      </w:r>
      <w:r w:rsidRPr="007F07A0">
        <w:rPr>
          <w:rFonts w:ascii="Garamond" w:hAnsi="Garamond"/>
          <w:i/>
        </w:rPr>
        <w:t>y</w:t>
      </w:r>
      <w:r w:rsidRPr="007F07A0">
        <w:rPr>
          <w:rFonts w:ascii="Garamond" w:hAnsi="Garamond" w:cs="Garamond"/>
          <w:i/>
        </w:rPr>
        <w:t>ĕ</w:t>
      </w:r>
      <w:r w:rsidRPr="007F07A0">
        <w:rPr>
          <w:rFonts w:ascii="Garamond" w:hAnsi="Garamond"/>
          <w:i/>
        </w:rPr>
        <w:t>t</w:t>
      </w:r>
      <w:r w:rsidRPr="007F07A0">
        <w:rPr>
          <w:rFonts w:ascii="Garamond" w:hAnsi="Garamond" w:cs="Garamond"/>
          <w:i/>
        </w:rPr>
        <w:t>â</w:t>
      </w:r>
      <w:r w:rsidRPr="007F07A0">
        <w:rPr>
          <w:rFonts w:ascii="Garamond" w:hAnsi="Garamond"/>
          <w:i/>
        </w:rPr>
        <w:t xml:space="preserve"> r</w:t>
      </w:r>
      <w:r w:rsidRPr="007F07A0">
        <w:rPr>
          <w:rFonts w:ascii="Garamond" w:hAnsi="Garamond" w:cs="Garamond"/>
          <w:i/>
        </w:rPr>
        <w:t>û</w:t>
      </w:r>
      <w:r w:rsidRPr="007F07A0">
        <w:rPr>
          <w:rFonts w:ascii="Garamond" w:hAnsi="Garamond"/>
          <w:i/>
        </w:rPr>
        <w:t>a</w:t>
      </w:r>
      <w:r w:rsidRPr="007F07A0">
        <w:rPr>
          <w:i/>
        </w:rPr>
        <w:t>ḥ</w:t>
      </w:r>
      <w:r w:rsidRPr="007F07A0">
        <w:rPr>
          <w:rFonts w:ascii="Garamond" w:hAnsi="Garamond"/>
          <w:i/>
        </w:rPr>
        <w:t xml:space="preserve"> </w:t>
      </w:r>
      <w:r w:rsidRPr="007F07A0">
        <w:rPr>
          <w:i/>
        </w:rPr>
        <w:t>ʾ</w:t>
      </w:r>
      <w:r w:rsidRPr="007F07A0">
        <w:rPr>
          <w:rFonts w:ascii="Garamond" w:hAnsi="Garamond"/>
          <w:i/>
        </w:rPr>
        <w:t>a</w:t>
      </w:r>
      <w:r w:rsidRPr="007F07A0">
        <w:rPr>
          <w:i/>
        </w:rPr>
        <w:t>ḥ</w:t>
      </w:r>
      <w:r w:rsidRPr="007F07A0">
        <w:rPr>
          <w:rFonts w:ascii="Garamond" w:hAnsi="Garamond"/>
          <w:i/>
        </w:rPr>
        <w:t xml:space="preserve">eret </w:t>
      </w:r>
      <w:r w:rsidRPr="007F07A0">
        <w:rPr>
          <w:i/>
        </w:rPr>
        <w:t>ʿ</w:t>
      </w:r>
      <w:r w:rsidRPr="007F07A0">
        <w:rPr>
          <w:rFonts w:ascii="Garamond" w:hAnsi="Garamond"/>
          <w:i/>
        </w:rPr>
        <w:t>imm</w:t>
      </w:r>
      <w:r w:rsidRPr="007F07A0">
        <w:rPr>
          <w:rFonts w:ascii="Garamond" w:hAnsi="Garamond" w:cs="Garamond"/>
          <w:i/>
        </w:rPr>
        <w:t>ô</w:t>
      </w:r>
      <w:r w:rsidRPr="007F07A0">
        <w:rPr>
          <w:rFonts w:ascii="Garamond" w:hAnsi="Garamond"/>
          <w:i/>
        </w:rPr>
        <w:t xml:space="preserve"> waymall</w:t>
      </w:r>
      <w:r w:rsidRPr="007F07A0">
        <w:rPr>
          <w:rFonts w:ascii="Garamond" w:hAnsi="Garamond" w:cs="Garamond"/>
          <w:i/>
        </w:rPr>
        <w:t>ē</w:t>
      </w:r>
      <w:r w:rsidRPr="007F07A0">
        <w:rPr>
          <w:i/>
        </w:rPr>
        <w:t>ʾ</w:t>
      </w:r>
      <w:r w:rsidRPr="007F07A0">
        <w:rPr>
          <w:rFonts w:ascii="Garamond" w:hAnsi="Garamond"/>
          <w:i/>
        </w:rPr>
        <w:t xml:space="preserve"> </w:t>
      </w:r>
      <w:r w:rsidRPr="007F07A0">
        <w:rPr>
          <w:i/>
        </w:rPr>
        <w:t>ʾ</w:t>
      </w:r>
      <w:r w:rsidRPr="007F07A0">
        <w:rPr>
          <w:rFonts w:ascii="Garamond" w:hAnsi="Garamond"/>
          <w:i/>
        </w:rPr>
        <w:t>a</w:t>
      </w:r>
      <w:r w:rsidRPr="007F07A0">
        <w:rPr>
          <w:i/>
        </w:rPr>
        <w:t>ḥ</w:t>
      </w:r>
      <w:r w:rsidRPr="007F07A0">
        <w:rPr>
          <w:rFonts w:ascii="Garamond" w:hAnsi="Garamond"/>
          <w:i/>
        </w:rPr>
        <w:t>ărāy wahăbî</w:t>
      </w:r>
      <w:r w:rsidRPr="007F07A0">
        <w:rPr>
          <w:i/>
        </w:rPr>
        <w:t>ʾ</w:t>
      </w:r>
      <w:r w:rsidRPr="007F07A0">
        <w:rPr>
          <w:rFonts w:ascii="Garamond" w:hAnsi="Garamond" w:cs="Garamond"/>
          <w:i/>
        </w:rPr>
        <w:t>ō</w:t>
      </w:r>
      <w:r w:rsidRPr="007F07A0">
        <w:rPr>
          <w:rFonts w:ascii="Garamond" w:hAnsi="Garamond"/>
          <w:i/>
        </w:rPr>
        <w:t>t</w:t>
      </w:r>
      <w:r w:rsidRPr="007F07A0">
        <w:rPr>
          <w:rFonts w:ascii="Garamond" w:hAnsi="Garamond" w:cs="Garamond"/>
          <w:i/>
        </w:rPr>
        <w:t>î</w:t>
      </w:r>
      <w:r w:rsidRPr="007F07A0">
        <w:rPr>
          <w:rFonts w:ascii="Garamond" w:hAnsi="Garamond"/>
          <w:i/>
        </w:rPr>
        <w:t xml:space="preserve">w </w:t>
      </w:r>
      <w:r w:rsidRPr="007F07A0">
        <w:rPr>
          <w:i/>
        </w:rPr>
        <w:t>ʾ</w:t>
      </w:r>
      <w:r w:rsidRPr="007F07A0">
        <w:rPr>
          <w:rFonts w:ascii="Garamond" w:hAnsi="Garamond"/>
          <w:i/>
        </w:rPr>
        <w:t>el-h</w:t>
      </w:r>
      <w:r w:rsidRPr="007F07A0">
        <w:rPr>
          <w:rFonts w:ascii="Garamond" w:hAnsi="Garamond" w:cs="Garamond"/>
          <w:i/>
        </w:rPr>
        <w:t>ā</w:t>
      </w:r>
      <w:r w:rsidRPr="007F07A0">
        <w:rPr>
          <w:i/>
        </w:rPr>
        <w:t>ʾ</w:t>
      </w:r>
      <w:r w:rsidRPr="007F07A0">
        <w:rPr>
          <w:rFonts w:ascii="Garamond" w:hAnsi="Garamond" w:cs="Garamond"/>
          <w:i/>
        </w:rPr>
        <w:t>ā</w:t>
      </w:r>
      <w:r w:rsidRPr="007F07A0">
        <w:rPr>
          <w:rFonts w:ascii="Garamond" w:hAnsi="Garamond"/>
          <w:i/>
        </w:rPr>
        <w:t>re</w:t>
      </w:r>
      <w:r w:rsidRPr="007F07A0">
        <w:rPr>
          <w:i/>
        </w:rPr>
        <w:t>ṣ</w:t>
      </w:r>
      <w:r w:rsidRPr="007F07A0">
        <w:rPr>
          <w:rFonts w:ascii="Garamond" w:hAnsi="Garamond"/>
          <w:i/>
        </w:rPr>
        <w:t xml:space="preserve"> </w:t>
      </w:r>
      <w:r w:rsidRPr="007F07A0">
        <w:rPr>
          <w:i/>
        </w:rPr>
        <w:t>ʾ</w:t>
      </w:r>
      <w:r w:rsidRPr="007F07A0">
        <w:rPr>
          <w:rFonts w:ascii="Garamond" w:hAnsi="Garamond" w:cs="Garamond"/>
          <w:i/>
        </w:rPr>
        <w:t>ăš</w:t>
      </w:r>
      <w:r w:rsidRPr="007F07A0">
        <w:rPr>
          <w:rFonts w:ascii="Garamond" w:hAnsi="Garamond"/>
          <w:i/>
        </w:rPr>
        <w:t>er-b</w:t>
      </w:r>
      <w:r w:rsidRPr="007F07A0">
        <w:rPr>
          <w:rFonts w:ascii="Garamond" w:hAnsi="Garamond" w:cs="Garamond"/>
          <w:i/>
        </w:rPr>
        <w:t>ā</w:t>
      </w:r>
      <w:r w:rsidRPr="007F07A0">
        <w:rPr>
          <w:i/>
        </w:rPr>
        <w:t>ʾ</w:t>
      </w:r>
      <w:r w:rsidRPr="007F07A0">
        <w:rPr>
          <w:rFonts w:ascii="Garamond" w:hAnsi="Garamond"/>
          <w:i/>
        </w:rPr>
        <w:t xml:space="preserve"> </w:t>
      </w:r>
      <w:r w:rsidRPr="007F07A0">
        <w:rPr>
          <w:rFonts w:ascii="Garamond" w:hAnsi="Garamond" w:cs="Garamond"/>
          <w:i/>
        </w:rPr>
        <w:t>šā</w:t>
      </w:r>
      <w:r w:rsidRPr="007F07A0">
        <w:rPr>
          <w:rFonts w:ascii="Garamond" w:hAnsi="Garamond"/>
          <w:i/>
        </w:rPr>
        <w:t>mm</w:t>
      </w:r>
      <w:r w:rsidRPr="007F07A0">
        <w:rPr>
          <w:rFonts w:ascii="Garamond" w:hAnsi="Garamond" w:cs="Garamond"/>
          <w:i/>
        </w:rPr>
        <w:t>â</w:t>
      </w:r>
      <w:r w:rsidRPr="007F07A0">
        <w:rPr>
          <w:rFonts w:ascii="Garamond" w:hAnsi="Garamond"/>
          <w:i/>
        </w:rPr>
        <w:t xml:space="preserve"> w</w:t>
      </w:r>
      <w:r w:rsidRPr="007F07A0">
        <w:rPr>
          <w:rFonts w:ascii="Garamond" w:hAnsi="Garamond" w:cs="Garamond"/>
          <w:i/>
        </w:rPr>
        <w:t>ĕ</w:t>
      </w:r>
      <w:r w:rsidRPr="007F07A0">
        <w:rPr>
          <w:rFonts w:ascii="Garamond" w:hAnsi="Garamond"/>
          <w:i/>
        </w:rPr>
        <w:t>zar</w:t>
      </w:r>
      <w:r w:rsidRPr="007F07A0">
        <w:rPr>
          <w:i/>
        </w:rPr>
        <w:t>ʿ</w:t>
      </w:r>
      <w:r w:rsidRPr="007F07A0">
        <w:rPr>
          <w:rFonts w:ascii="Garamond" w:hAnsi="Garamond" w:cs="Garamond"/>
          <w:i/>
        </w:rPr>
        <w:t>ô</w:t>
      </w:r>
      <w:r w:rsidRPr="007F07A0">
        <w:rPr>
          <w:rFonts w:ascii="Garamond" w:hAnsi="Garamond"/>
          <w:i/>
        </w:rPr>
        <w:t xml:space="preserve"> y</w:t>
      </w:r>
      <w:r w:rsidRPr="007F07A0">
        <w:rPr>
          <w:rFonts w:ascii="Garamond" w:hAnsi="Garamond" w:cs="Garamond"/>
          <w:i/>
        </w:rPr>
        <w:t>ô</w:t>
      </w:r>
      <w:r w:rsidRPr="007F07A0">
        <w:rPr>
          <w:rFonts w:ascii="Garamond" w:hAnsi="Garamond"/>
          <w:i/>
        </w:rPr>
        <w:t>ri</w:t>
      </w:r>
      <w:r w:rsidRPr="007F07A0">
        <w:rPr>
          <w:rFonts w:ascii="Garamond" w:hAnsi="Garamond" w:cs="Garamond"/>
          <w:i/>
        </w:rPr>
        <w:t>š</w:t>
      </w:r>
      <w:r w:rsidRPr="007F07A0">
        <w:rPr>
          <w:rFonts w:ascii="Garamond" w:hAnsi="Garamond"/>
          <w:i/>
        </w:rPr>
        <w:t>enn</w:t>
      </w:r>
      <w:r w:rsidRPr="007F07A0">
        <w:rPr>
          <w:rFonts w:ascii="Garamond" w:hAnsi="Garamond" w:cs="Garamond"/>
          <w:i/>
        </w:rPr>
        <w:t>â</w:t>
      </w:r>
      <w:r w:rsidR="0051693F" w:rsidRPr="007F07A0">
        <w:rPr>
          <w:rFonts w:ascii="Garamond" w:hAnsi="Garamond" w:cs="Garamond"/>
        </w:rPr>
        <w:t>.</w:t>
      </w:r>
      <w:r w:rsidR="002B2C79">
        <w:rPr>
          <w:rStyle w:val="FootnoteReference"/>
          <w:rFonts w:ascii="Garamond" w:hAnsi="Garamond" w:cs="Garamond"/>
        </w:rPr>
        <w:footnoteReference w:id="32"/>
      </w:r>
    </w:p>
    <w:p w:rsidR="005C5C27" w:rsidRPr="00BB0050" w:rsidRDefault="000D313C" w:rsidP="005C5C27">
      <w:pPr>
        <w:pStyle w:val="ListParagraph"/>
        <w:numPr>
          <w:ilvl w:val="0"/>
          <w:numId w:val="2"/>
        </w:numPr>
        <w:spacing w:line="360" w:lineRule="auto"/>
        <w:jc w:val="both"/>
        <w:rPr>
          <w:rFonts w:ascii="Garamond" w:hAnsi="Garamond"/>
          <w:b/>
        </w:rPr>
      </w:pPr>
      <w:r>
        <w:rPr>
          <w:rFonts w:ascii="Garamond" w:hAnsi="Garamond"/>
          <w:b/>
        </w:rPr>
        <w:t xml:space="preserve">Lain jiwa atau </w:t>
      </w:r>
      <w:r>
        <w:rPr>
          <w:rFonts w:ascii="Garamond" w:hAnsi="Garamond"/>
          <w:b/>
          <w:i/>
        </w:rPr>
        <w:t>a different spirit</w:t>
      </w:r>
    </w:p>
    <w:p w:rsidR="00A2420B" w:rsidRDefault="00BB0050" w:rsidP="002D7513">
      <w:pPr>
        <w:spacing w:line="360" w:lineRule="auto"/>
        <w:ind w:firstLine="720"/>
        <w:jc w:val="both"/>
        <w:rPr>
          <w:rFonts w:ascii="Garamond" w:hAnsi="Garamond"/>
        </w:rPr>
      </w:pPr>
      <w:r>
        <w:rPr>
          <w:rFonts w:ascii="Garamond" w:hAnsi="Garamond"/>
        </w:rPr>
        <w:t>Kata Ibrani yang menerangkan kalimat “lain jiwa” adalah</w:t>
      </w:r>
      <w:r w:rsidR="006264E6">
        <w:rPr>
          <w:rFonts w:ascii="Garamond" w:hAnsi="Garamond"/>
        </w:rPr>
        <w:t xml:space="preserve"> </w:t>
      </w:r>
      <w:r w:rsidR="0093375A" w:rsidRPr="0093375A">
        <w:rPr>
          <w:rFonts w:ascii="SBL Hebrew" w:hAnsi="SBL Hebrew" w:cs="SBL Hebrew"/>
          <w:szCs w:val="24"/>
          <w:rtl/>
          <w:lang w:val="en-US" w:bidi="he-IL"/>
        </w:rPr>
        <w:t>ר֤וּחַ אַחֶ֙רֶת֙</w:t>
      </w:r>
      <w:r w:rsidR="007F07A0">
        <w:rPr>
          <w:rFonts w:ascii="Garamond" w:hAnsi="Garamond"/>
        </w:rPr>
        <w:t xml:space="preserve"> (dibaca: </w:t>
      </w:r>
      <w:r w:rsidR="007F07A0" w:rsidRPr="007F07A0">
        <w:rPr>
          <w:rFonts w:ascii="Garamond" w:hAnsi="Garamond"/>
          <w:i/>
        </w:rPr>
        <w:t>r</w:t>
      </w:r>
      <w:r w:rsidR="007F07A0" w:rsidRPr="007F07A0">
        <w:rPr>
          <w:rFonts w:ascii="Garamond" w:hAnsi="Garamond" w:cs="Garamond"/>
          <w:i/>
        </w:rPr>
        <w:t>û</w:t>
      </w:r>
      <w:r w:rsidR="007F07A0" w:rsidRPr="007F07A0">
        <w:rPr>
          <w:rFonts w:ascii="Garamond" w:hAnsi="Garamond"/>
          <w:i/>
        </w:rPr>
        <w:t>a</w:t>
      </w:r>
      <w:r w:rsidR="007F07A0" w:rsidRPr="007F07A0">
        <w:rPr>
          <w:i/>
        </w:rPr>
        <w:t>ḥ</w:t>
      </w:r>
      <w:r w:rsidR="007F07A0" w:rsidRPr="007F07A0">
        <w:rPr>
          <w:rFonts w:ascii="Garamond" w:hAnsi="Garamond"/>
          <w:i/>
        </w:rPr>
        <w:t xml:space="preserve"> </w:t>
      </w:r>
      <w:r w:rsidR="007F07A0" w:rsidRPr="007F07A0">
        <w:rPr>
          <w:i/>
        </w:rPr>
        <w:t>ʾ</w:t>
      </w:r>
      <w:r w:rsidR="007F07A0" w:rsidRPr="007F07A0">
        <w:rPr>
          <w:rFonts w:ascii="Garamond" w:hAnsi="Garamond"/>
          <w:i/>
        </w:rPr>
        <w:t>a</w:t>
      </w:r>
      <w:r w:rsidR="007F07A0" w:rsidRPr="007F07A0">
        <w:rPr>
          <w:i/>
        </w:rPr>
        <w:t>ḥ</w:t>
      </w:r>
      <w:r w:rsidR="007F07A0" w:rsidRPr="007F07A0">
        <w:rPr>
          <w:rFonts w:ascii="Garamond" w:hAnsi="Garamond"/>
          <w:i/>
        </w:rPr>
        <w:t>eret</w:t>
      </w:r>
      <w:r w:rsidR="007F07A0">
        <w:rPr>
          <w:rFonts w:ascii="Garamond" w:hAnsi="Garamond"/>
        </w:rPr>
        <w:t>)</w:t>
      </w:r>
      <w:r w:rsidR="0044757A">
        <w:rPr>
          <w:rFonts w:ascii="Garamond" w:hAnsi="Garamond"/>
        </w:rPr>
        <w:t>;</w:t>
      </w:r>
      <w:r w:rsidR="002D7513">
        <w:rPr>
          <w:rFonts w:ascii="Garamond" w:hAnsi="Garamond"/>
        </w:rPr>
        <w:t xml:space="preserve"> </w:t>
      </w:r>
      <w:r w:rsidR="00D239C0">
        <w:rPr>
          <w:rFonts w:ascii="Garamond" w:hAnsi="Garamond" w:cs="Garamond"/>
        </w:rPr>
        <w:t>dalam</w:t>
      </w:r>
      <w:r w:rsidR="002D7513">
        <w:rPr>
          <w:rFonts w:ascii="Garamond" w:hAnsi="Garamond" w:cs="Garamond"/>
        </w:rPr>
        <w:t xml:space="preserve"> </w:t>
      </w:r>
      <w:r w:rsidR="00485575" w:rsidRPr="0054184E">
        <w:rPr>
          <w:rFonts w:ascii="Garamond" w:hAnsi="Garamond" w:cs="Garamond"/>
          <w:i/>
        </w:rPr>
        <w:t>T</w:t>
      </w:r>
      <w:r w:rsidR="0054184E">
        <w:rPr>
          <w:rFonts w:ascii="Garamond" w:hAnsi="Garamond" w:cs="Garamond"/>
          <w:i/>
        </w:rPr>
        <w:t xml:space="preserve">heological </w:t>
      </w:r>
      <w:r w:rsidR="00485575" w:rsidRPr="0054184E">
        <w:rPr>
          <w:rFonts w:ascii="Garamond" w:hAnsi="Garamond" w:cs="Garamond"/>
          <w:i/>
        </w:rPr>
        <w:t>W</w:t>
      </w:r>
      <w:r w:rsidR="0054184E">
        <w:rPr>
          <w:rFonts w:ascii="Garamond" w:hAnsi="Garamond" w:cs="Garamond"/>
          <w:i/>
        </w:rPr>
        <w:t xml:space="preserve">oordbook of the </w:t>
      </w:r>
      <w:r w:rsidR="00485575" w:rsidRPr="0054184E">
        <w:rPr>
          <w:rFonts w:ascii="Garamond" w:hAnsi="Garamond" w:cs="Garamond"/>
          <w:i/>
        </w:rPr>
        <w:t>O</w:t>
      </w:r>
      <w:r w:rsidR="0054184E">
        <w:rPr>
          <w:rFonts w:ascii="Garamond" w:hAnsi="Garamond" w:cs="Garamond"/>
          <w:i/>
        </w:rPr>
        <w:t xml:space="preserve">old </w:t>
      </w:r>
      <w:r w:rsidR="00485575" w:rsidRPr="0054184E">
        <w:rPr>
          <w:rFonts w:ascii="Garamond" w:hAnsi="Garamond" w:cs="Garamond"/>
          <w:i/>
        </w:rPr>
        <w:t>T</w:t>
      </w:r>
      <w:r w:rsidR="0054184E">
        <w:rPr>
          <w:rFonts w:ascii="Garamond" w:hAnsi="Garamond" w:cs="Garamond"/>
          <w:i/>
        </w:rPr>
        <w:t>estament</w:t>
      </w:r>
      <w:r w:rsidR="00485575">
        <w:rPr>
          <w:rFonts w:ascii="Garamond" w:hAnsi="Garamond" w:cs="Garamond"/>
        </w:rPr>
        <w:t xml:space="preserve">, secara etimologi kata </w:t>
      </w:r>
      <w:r w:rsidR="00485575" w:rsidRPr="007F07A0">
        <w:rPr>
          <w:rFonts w:ascii="Garamond" w:hAnsi="Garamond"/>
          <w:i/>
        </w:rPr>
        <w:t>r</w:t>
      </w:r>
      <w:r w:rsidR="00485575" w:rsidRPr="007F07A0">
        <w:rPr>
          <w:rFonts w:ascii="Garamond" w:hAnsi="Garamond" w:cs="Garamond"/>
          <w:i/>
        </w:rPr>
        <w:t>û</w:t>
      </w:r>
      <w:r w:rsidR="00485575" w:rsidRPr="007F07A0">
        <w:rPr>
          <w:rFonts w:ascii="Garamond" w:hAnsi="Garamond"/>
          <w:i/>
        </w:rPr>
        <w:t>a</w:t>
      </w:r>
      <w:r w:rsidR="00485575" w:rsidRPr="007F07A0">
        <w:rPr>
          <w:i/>
        </w:rPr>
        <w:t>ḥ</w:t>
      </w:r>
      <w:r w:rsidR="00485575">
        <w:rPr>
          <w:rFonts w:ascii="Garamond" w:hAnsi="Garamond" w:cs="Garamond"/>
        </w:rPr>
        <w:t xml:space="preserve"> memiliki arti a</w:t>
      </w:r>
      <w:r w:rsidR="00485575">
        <w:rPr>
          <w:rFonts w:ascii="Garamond" w:hAnsi="Garamond"/>
        </w:rPr>
        <w:t xml:space="preserve">ngin, nafas, pikiran, jiwa; sebagai kata benda </w:t>
      </w:r>
      <w:r w:rsidR="00485575" w:rsidRPr="007F07A0">
        <w:rPr>
          <w:rFonts w:ascii="Garamond" w:hAnsi="Garamond"/>
          <w:i/>
        </w:rPr>
        <w:t>r</w:t>
      </w:r>
      <w:r w:rsidR="00485575" w:rsidRPr="007F07A0">
        <w:rPr>
          <w:rFonts w:ascii="Garamond" w:hAnsi="Garamond" w:cs="Garamond"/>
          <w:i/>
        </w:rPr>
        <w:t>û</w:t>
      </w:r>
      <w:r w:rsidR="00485575" w:rsidRPr="007F07A0">
        <w:rPr>
          <w:rFonts w:ascii="Garamond" w:hAnsi="Garamond"/>
          <w:i/>
        </w:rPr>
        <w:t>a</w:t>
      </w:r>
      <w:r w:rsidR="00485575" w:rsidRPr="007F07A0">
        <w:rPr>
          <w:i/>
        </w:rPr>
        <w:t>ḥ</w:t>
      </w:r>
      <w:r w:rsidR="00485575" w:rsidRPr="00485575">
        <w:rPr>
          <w:rFonts w:ascii="Garamond" w:hAnsi="Garamond"/>
        </w:rPr>
        <w:t xml:space="preserve"> muncul</w:t>
      </w:r>
      <w:r w:rsidR="00485575">
        <w:rPr>
          <w:rFonts w:ascii="Garamond" w:hAnsi="Garamond"/>
        </w:rPr>
        <w:t xml:space="preserve"> sebanyak 387 kali dalam PL dan</w:t>
      </w:r>
      <w:r w:rsidR="00485575" w:rsidRPr="00485575">
        <w:rPr>
          <w:rFonts w:ascii="Garamond" w:hAnsi="Garamond"/>
        </w:rPr>
        <w:t xml:space="preserve"> biasanya</w:t>
      </w:r>
      <w:r w:rsidR="00485575">
        <w:rPr>
          <w:rFonts w:ascii="Garamond" w:hAnsi="Garamond"/>
        </w:rPr>
        <w:t xml:space="preserve"> dalam bentuk</w:t>
      </w:r>
      <w:r w:rsidR="00485575" w:rsidRPr="00485575">
        <w:rPr>
          <w:rFonts w:ascii="Garamond" w:hAnsi="Garamond"/>
        </w:rPr>
        <w:t xml:space="preserve"> feminin.</w:t>
      </w:r>
      <w:r w:rsidR="00485575">
        <w:rPr>
          <w:rFonts w:ascii="Garamond" w:hAnsi="Garamond"/>
        </w:rPr>
        <w:t xml:space="preserve"> </w:t>
      </w:r>
      <w:r w:rsidR="00485575" w:rsidRPr="007F07A0">
        <w:rPr>
          <w:rFonts w:ascii="Garamond" w:hAnsi="Garamond"/>
          <w:i/>
        </w:rPr>
        <w:t>r</w:t>
      </w:r>
      <w:r w:rsidR="00485575" w:rsidRPr="007F07A0">
        <w:rPr>
          <w:rFonts w:ascii="Garamond" w:hAnsi="Garamond" w:cs="Garamond"/>
          <w:i/>
        </w:rPr>
        <w:t>û</w:t>
      </w:r>
      <w:r w:rsidR="00485575" w:rsidRPr="007F07A0">
        <w:rPr>
          <w:rFonts w:ascii="Garamond" w:hAnsi="Garamond"/>
          <w:i/>
        </w:rPr>
        <w:t>a</w:t>
      </w:r>
      <w:r w:rsidR="00485575" w:rsidRPr="007F07A0">
        <w:rPr>
          <w:i/>
        </w:rPr>
        <w:t>ḥ</w:t>
      </w:r>
      <w:r w:rsidR="00485575">
        <w:rPr>
          <w:i/>
        </w:rPr>
        <w:t xml:space="preserve"> </w:t>
      </w:r>
      <w:r w:rsidR="00485575">
        <w:rPr>
          <w:rFonts w:ascii="Garamond" w:hAnsi="Garamond"/>
        </w:rPr>
        <w:t>secara esensi merujuk kepada udara yang bergerak bahkan</w:t>
      </w:r>
      <w:r w:rsidR="00485575" w:rsidRPr="00485575">
        <w:rPr>
          <w:rFonts w:ascii="Garamond" w:hAnsi="Garamond"/>
        </w:rPr>
        <w:t xml:space="preserve"> </w:t>
      </w:r>
      <w:r w:rsidR="00485575">
        <w:rPr>
          <w:rFonts w:ascii="Garamond" w:hAnsi="Garamond"/>
        </w:rPr>
        <w:t>udara yang mengarah membentuk ledakan badai (Yes. 25:</w:t>
      </w:r>
      <w:r w:rsidR="00485575" w:rsidRPr="00485575">
        <w:rPr>
          <w:rFonts w:ascii="Garamond" w:hAnsi="Garamond"/>
        </w:rPr>
        <w:t>4; Hab</w:t>
      </w:r>
      <w:r w:rsidR="00485575">
        <w:rPr>
          <w:rFonts w:ascii="Garamond" w:hAnsi="Garamond"/>
        </w:rPr>
        <w:t>. 1:11).</w:t>
      </w:r>
      <w:r w:rsidR="00A2420B">
        <w:rPr>
          <w:rFonts w:ascii="Garamond" w:hAnsi="Garamond"/>
        </w:rPr>
        <w:t xml:space="preserve"> </w:t>
      </w:r>
      <w:r w:rsidR="00CE5968">
        <w:rPr>
          <w:rFonts w:ascii="Garamond" w:hAnsi="Garamond"/>
        </w:rPr>
        <w:t xml:space="preserve">Ada banyak sekali bentuk konotasi </w:t>
      </w:r>
      <w:r w:rsidR="00CE5968" w:rsidRPr="00CE5968">
        <w:rPr>
          <w:rFonts w:ascii="Garamond" w:hAnsi="Garamond"/>
          <w:i/>
        </w:rPr>
        <w:t>r</w:t>
      </w:r>
      <w:r w:rsidR="00CE5968" w:rsidRPr="00CE5968">
        <w:rPr>
          <w:rFonts w:ascii="Garamond" w:hAnsi="Garamond" w:cs="Garamond"/>
          <w:i/>
        </w:rPr>
        <w:t>û</w:t>
      </w:r>
      <w:r w:rsidR="00CE5968" w:rsidRPr="00CE5968">
        <w:rPr>
          <w:rFonts w:ascii="Garamond" w:hAnsi="Garamond"/>
          <w:i/>
        </w:rPr>
        <w:t>a</w:t>
      </w:r>
      <w:r w:rsidR="00CE5968" w:rsidRPr="00CE5968">
        <w:rPr>
          <w:i/>
        </w:rPr>
        <w:t>ḥ</w:t>
      </w:r>
      <w:r w:rsidR="00CE5968">
        <w:t xml:space="preserve"> </w:t>
      </w:r>
      <w:r w:rsidR="00CE5968">
        <w:rPr>
          <w:rFonts w:ascii="Garamond" w:hAnsi="Garamond"/>
        </w:rPr>
        <w:t xml:space="preserve">antara lain, </w:t>
      </w:r>
      <w:r w:rsidR="00CE5968" w:rsidRPr="00CE5968">
        <w:rPr>
          <w:rFonts w:ascii="Garamond" w:hAnsi="Garamond"/>
        </w:rPr>
        <w:t>sebagai</w:t>
      </w:r>
      <w:r w:rsidR="00CE5968">
        <w:rPr>
          <w:rFonts w:ascii="Garamond" w:hAnsi="Garamond"/>
        </w:rPr>
        <w:t xml:space="preserve"> </w:t>
      </w:r>
      <w:r w:rsidR="00485575" w:rsidRPr="00485575">
        <w:rPr>
          <w:rFonts w:ascii="Garamond" w:hAnsi="Garamond"/>
        </w:rPr>
        <w:t>nafas</w:t>
      </w:r>
      <w:r w:rsidR="00CE5968">
        <w:rPr>
          <w:rFonts w:ascii="Garamond" w:hAnsi="Garamond"/>
        </w:rPr>
        <w:t xml:space="preserve"> merujuk kepada</w:t>
      </w:r>
      <w:r w:rsidR="00485575" w:rsidRPr="00485575">
        <w:rPr>
          <w:rFonts w:ascii="Garamond" w:hAnsi="Garamond"/>
        </w:rPr>
        <w:t xml:space="preserve"> </w:t>
      </w:r>
      <w:r w:rsidR="00CE5968">
        <w:rPr>
          <w:rFonts w:ascii="Garamond" w:hAnsi="Garamond"/>
        </w:rPr>
        <w:t>kekuatan (1 Raj. 10:5), keberanian (Yos. 2:11; 5:</w:t>
      </w:r>
      <w:r w:rsidR="00485575" w:rsidRPr="00485575">
        <w:rPr>
          <w:rFonts w:ascii="Garamond" w:hAnsi="Garamond"/>
        </w:rPr>
        <w:t>1</w:t>
      </w:r>
      <w:r w:rsidR="00CE5968">
        <w:rPr>
          <w:rFonts w:ascii="Garamond" w:hAnsi="Garamond"/>
        </w:rPr>
        <w:t>) dan</w:t>
      </w:r>
      <w:r w:rsidR="00485575" w:rsidRPr="00485575">
        <w:rPr>
          <w:rFonts w:ascii="Garamond" w:hAnsi="Garamond"/>
        </w:rPr>
        <w:t xml:space="preserve"> nilai (Rat</w:t>
      </w:r>
      <w:r w:rsidR="00CE5968">
        <w:rPr>
          <w:rFonts w:ascii="Garamond" w:hAnsi="Garamond"/>
        </w:rPr>
        <w:t>.</w:t>
      </w:r>
      <w:r w:rsidR="00485575" w:rsidRPr="00485575">
        <w:rPr>
          <w:rFonts w:ascii="Garamond" w:hAnsi="Garamond"/>
        </w:rPr>
        <w:t xml:space="preserve"> 4:20</w:t>
      </w:r>
      <w:r w:rsidR="00CE5968">
        <w:rPr>
          <w:rFonts w:ascii="Garamond" w:hAnsi="Garamond"/>
        </w:rPr>
        <w:t xml:space="preserve">); </w:t>
      </w:r>
      <w:r w:rsidR="00A2420B" w:rsidRPr="00485575">
        <w:rPr>
          <w:rFonts w:ascii="Garamond" w:hAnsi="Garamond"/>
        </w:rPr>
        <w:t xml:space="preserve">nafas menandakan aktivitas dan kehidupan. </w:t>
      </w:r>
      <w:r w:rsidR="00A2420B">
        <w:rPr>
          <w:rFonts w:ascii="Garamond" w:hAnsi="Garamond"/>
        </w:rPr>
        <w:t>Di tangan Tuhan ada nafas atau</w:t>
      </w:r>
      <w:r w:rsidR="00A2420B" w:rsidRPr="00A2420B">
        <w:rPr>
          <w:rFonts w:ascii="Garamond" w:hAnsi="Garamond"/>
          <w:i/>
        </w:rPr>
        <w:t xml:space="preserve"> </w:t>
      </w:r>
      <w:r w:rsidR="00A2420B" w:rsidRPr="00CE5968">
        <w:rPr>
          <w:rFonts w:ascii="Garamond" w:hAnsi="Garamond"/>
          <w:i/>
        </w:rPr>
        <w:t>r</w:t>
      </w:r>
      <w:r w:rsidR="00A2420B" w:rsidRPr="00CE5968">
        <w:rPr>
          <w:rFonts w:ascii="Garamond" w:hAnsi="Garamond" w:cs="Garamond"/>
          <w:i/>
        </w:rPr>
        <w:t>û</w:t>
      </w:r>
      <w:r w:rsidR="00A2420B" w:rsidRPr="00CE5968">
        <w:rPr>
          <w:rFonts w:ascii="Garamond" w:hAnsi="Garamond"/>
          <w:i/>
        </w:rPr>
        <w:t>a</w:t>
      </w:r>
      <w:r w:rsidR="00A2420B" w:rsidRPr="00CE5968">
        <w:rPr>
          <w:i/>
        </w:rPr>
        <w:t>ḥ</w:t>
      </w:r>
      <w:r w:rsidR="00A2420B" w:rsidRPr="00485575">
        <w:rPr>
          <w:rFonts w:ascii="Garamond" w:hAnsi="Garamond"/>
        </w:rPr>
        <w:t xml:space="preserve"> dari seluruh umat m</w:t>
      </w:r>
      <w:r w:rsidR="00A2420B">
        <w:rPr>
          <w:rFonts w:ascii="Garamond" w:hAnsi="Garamond"/>
        </w:rPr>
        <w:t xml:space="preserve">anusia (Ayb. 12:10; Yes. 42:5); </w:t>
      </w:r>
      <w:r w:rsidR="00CE5968">
        <w:rPr>
          <w:rFonts w:ascii="Garamond" w:hAnsi="Garamond"/>
        </w:rPr>
        <w:t>dalam cerita</w:t>
      </w:r>
      <w:r w:rsidR="00485575" w:rsidRPr="00485575">
        <w:rPr>
          <w:rFonts w:ascii="Garamond" w:hAnsi="Garamond"/>
        </w:rPr>
        <w:t xml:space="preserve"> nabi palsu </w:t>
      </w:r>
      <w:r w:rsidR="00CE5968" w:rsidRPr="007F07A0">
        <w:rPr>
          <w:rFonts w:ascii="Garamond" w:hAnsi="Garamond"/>
          <w:i/>
        </w:rPr>
        <w:t>r</w:t>
      </w:r>
      <w:r w:rsidR="00CE5968" w:rsidRPr="007F07A0">
        <w:rPr>
          <w:rFonts w:ascii="Garamond" w:hAnsi="Garamond" w:cs="Garamond"/>
          <w:i/>
        </w:rPr>
        <w:t>û</w:t>
      </w:r>
      <w:r w:rsidR="00CE5968" w:rsidRPr="007F07A0">
        <w:rPr>
          <w:rFonts w:ascii="Garamond" w:hAnsi="Garamond"/>
          <w:i/>
        </w:rPr>
        <w:t>a</w:t>
      </w:r>
      <w:r w:rsidR="00CE5968" w:rsidRPr="007F07A0">
        <w:rPr>
          <w:i/>
        </w:rPr>
        <w:t>ḥ</w:t>
      </w:r>
      <w:r w:rsidR="00CE5968" w:rsidRPr="007F07A0">
        <w:rPr>
          <w:rFonts w:ascii="Garamond" w:hAnsi="Garamond"/>
          <w:i/>
        </w:rPr>
        <w:t xml:space="preserve"> </w:t>
      </w:r>
      <w:r w:rsidR="00485575" w:rsidRPr="00485575">
        <w:rPr>
          <w:rFonts w:ascii="Garamond" w:hAnsi="Garamond"/>
        </w:rPr>
        <w:t>menjadi angin karena mereka tidak memiliki kata (Yer</w:t>
      </w:r>
      <w:r w:rsidR="00CE5968">
        <w:rPr>
          <w:rFonts w:ascii="Garamond" w:hAnsi="Garamond"/>
        </w:rPr>
        <w:t>.</w:t>
      </w:r>
      <w:r w:rsidR="00485575" w:rsidRPr="00485575">
        <w:rPr>
          <w:rFonts w:ascii="Garamond" w:hAnsi="Garamond"/>
        </w:rPr>
        <w:t xml:space="preserve"> 5:13),</w:t>
      </w:r>
      <w:r w:rsidR="00CE5968">
        <w:rPr>
          <w:rFonts w:ascii="Garamond" w:hAnsi="Garamond"/>
        </w:rPr>
        <w:t xml:space="preserve"> dari sini</w:t>
      </w:r>
      <w:r w:rsidR="00485575" w:rsidRPr="00485575">
        <w:rPr>
          <w:rFonts w:ascii="Garamond" w:hAnsi="Garamond"/>
        </w:rPr>
        <w:t xml:space="preserve"> konotasinya </w:t>
      </w:r>
      <w:r w:rsidR="00CE5968">
        <w:rPr>
          <w:rFonts w:ascii="Garamond" w:hAnsi="Garamond"/>
        </w:rPr>
        <w:t>merujuk kepada kekosongan, kesia-siaan dari nafas belaka (Ayub 7:</w:t>
      </w:r>
      <w:r w:rsidR="00485575" w:rsidRPr="00485575">
        <w:rPr>
          <w:rFonts w:ascii="Garamond" w:hAnsi="Garamond"/>
        </w:rPr>
        <w:t>7; Yes</w:t>
      </w:r>
      <w:r w:rsidR="00CE5968">
        <w:rPr>
          <w:rFonts w:ascii="Garamond" w:hAnsi="Garamond"/>
        </w:rPr>
        <w:t>.</w:t>
      </w:r>
      <w:r w:rsidR="00A2420B">
        <w:rPr>
          <w:rFonts w:ascii="Garamond" w:hAnsi="Garamond"/>
        </w:rPr>
        <w:t xml:space="preserve"> 41:29); sebagai</w:t>
      </w:r>
      <w:r w:rsidR="00485575" w:rsidRPr="00485575">
        <w:rPr>
          <w:rFonts w:ascii="Garamond" w:hAnsi="Garamond"/>
        </w:rPr>
        <w:t xml:space="preserve"> udara</w:t>
      </w:r>
      <w:r w:rsidR="00A2420B">
        <w:rPr>
          <w:rFonts w:ascii="Garamond" w:hAnsi="Garamond"/>
        </w:rPr>
        <w:t xml:space="preserve"> </w:t>
      </w:r>
      <w:r w:rsidR="00A2420B" w:rsidRPr="007F07A0">
        <w:rPr>
          <w:rFonts w:ascii="Garamond" w:hAnsi="Garamond"/>
          <w:i/>
        </w:rPr>
        <w:t>r</w:t>
      </w:r>
      <w:r w:rsidR="00A2420B" w:rsidRPr="007F07A0">
        <w:rPr>
          <w:rFonts w:ascii="Garamond" w:hAnsi="Garamond" w:cs="Garamond"/>
          <w:i/>
        </w:rPr>
        <w:t>û</w:t>
      </w:r>
      <w:r w:rsidR="00A2420B" w:rsidRPr="007F07A0">
        <w:rPr>
          <w:rFonts w:ascii="Garamond" w:hAnsi="Garamond"/>
          <w:i/>
        </w:rPr>
        <w:t>a</w:t>
      </w:r>
      <w:r w:rsidR="00A2420B" w:rsidRPr="007F07A0">
        <w:rPr>
          <w:i/>
        </w:rPr>
        <w:t>ḥ</w:t>
      </w:r>
      <w:r w:rsidR="00A2420B">
        <w:rPr>
          <w:rFonts w:ascii="Garamond" w:hAnsi="Garamond"/>
        </w:rPr>
        <w:t xml:space="preserve"> merujuk kepada </w:t>
      </w:r>
      <w:r w:rsidR="00485575" w:rsidRPr="00485575">
        <w:rPr>
          <w:rFonts w:ascii="Garamond" w:hAnsi="Garamond"/>
        </w:rPr>
        <w:t>dengusan melalui hidung</w:t>
      </w:r>
      <w:r w:rsidR="00A2420B">
        <w:rPr>
          <w:rFonts w:ascii="Garamond" w:hAnsi="Garamond"/>
        </w:rPr>
        <w:t xml:space="preserve"> yang</w:t>
      </w:r>
      <w:r w:rsidR="00485575" w:rsidRPr="00485575">
        <w:rPr>
          <w:rFonts w:ascii="Garamond" w:hAnsi="Garamond"/>
        </w:rPr>
        <w:t xml:space="preserve"> menggambarkan emosi</w:t>
      </w:r>
      <w:r w:rsidR="00A2420B">
        <w:rPr>
          <w:rFonts w:ascii="Garamond" w:hAnsi="Garamond"/>
        </w:rPr>
        <w:t xml:space="preserve">, </w:t>
      </w:r>
      <w:r w:rsidR="00485575" w:rsidRPr="00485575">
        <w:rPr>
          <w:rFonts w:ascii="Garamond" w:hAnsi="Garamond"/>
        </w:rPr>
        <w:t>agresivitas (Yes</w:t>
      </w:r>
      <w:r w:rsidR="00A2420B">
        <w:rPr>
          <w:rFonts w:ascii="Garamond" w:hAnsi="Garamond"/>
        </w:rPr>
        <w:t>. 25:</w:t>
      </w:r>
      <w:r w:rsidR="00485575" w:rsidRPr="00485575">
        <w:rPr>
          <w:rFonts w:ascii="Garamond" w:hAnsi="Garamond"/>
        </w:rPr>
        <w:t>4) atau kemarahan (</w:t>
      </w:r>
      <w:r w:rsidR="00A2420B">
        <w:rPr>
          <w:rFonts w:ascii="Garamond" w:hAnsi="Garamond"/>
        </w:rPr>
        <w:t>Hak. 8:</w:t>
      </w:r>
      <w:r w:rsidR="00485575" w:rsidRPr="00485575">
        <w:rPr>
          <w:rFonts w:ascii="Garamond" w:hAnsi="Garamond"/>
        </w:rPr>
        <w:t>3; Ams</w:t>
      </w:r>
      <w:r w:rsidR="00A2420B">
        <w:rPr>
          <w:rFonts w:ascii="Garamond" w:hAnsi="Garamond"/>
        </w:rPr>
        <w:t>.</w:t>
      </w:r>
      <w:r w:rsidR="00485575" w:rsidRPr="00485575">
        <w:rPr>
          <w:rFonts w:ascii="Garamond" w:hAnsi="Garamond"/>
        </w:rPr>
        <w:t xml:space="preserve"> 29:11</w:t>
      </w:r>
      <w:r w:rsidR="00A2420B">
        <w:rPr>
          <w:rFonts w:ascii="Garamond" w:hAnsi="Garamond"/>
        </w:rPr>
        <w:t xml:space="preserve">). Selain itu, </w:t>
      </w:r>
      <w:r w:rsidR="00A2420B" w:rsidRPr="00CE5968">
        <w:rPr>
          <w:rFonts w:ascii="Garamond" w:hAnsi="Garamond"/>
          <w:i/>
        </w:rPr>
        <w:lastRenderedPageBreak/>
        <w:t>r</w:t>
      </w:r>
      <w:r w:rsidR="00A2420B" w:rsidRPr="00CE5968">
        <w:rPr>
          <w:rFonts w:ascii="Garamond" w:hAnsi="Garamond" w:cs="Garamond"/>
          <w:i/>
        </w:rPr>
        <w:t>û</w:t>
      </w:r>
      <w:r w:rsidR="00A2420B" w:rsidRPr="00CE5968">
        <w:rPr>
          <w:rFonts w:ascii="Garamond" w:hAnsi="Garamond"/>
          <w:i/>
        </w:rPr>
        <w:t>a</w:t>
      </w:r>
      <w:r w:rsidR="00A2420B" w:rsidRPr="00CE5968">
        <w:rPr>
          <w:i/>
        </w:rPr>
        <w:t>ḥ</w:t>
      </w:r>
      <w:r w:rsidR="00A2420B">
        <w:rPr>
          <w:rFonts w:ascii="Garamond" w:hAnsi="Garamond"/>
        </w:rPr>
        <w:t xml:space="preserve"> juga </w:t>
      </w:r>
      <w:r w:rsidR="00485575" w:rsidRPr="00485575">
        <w:rPr>
          <w:rFonts w:ascii="Garamond" w:hAnsi="Garamond"/>
        </w:rPr>
        <w:t>menggam</w:t>
      </w:r>
      <w:r w:rsidR="00A2420B">
        <w:rPr>
          <w:rFonts w:ascii="Garamond" w:hAnsi="Garamond"/>
        </w:rPr>
        <w:t>barkan watak pikiran atau sikap, misalnya</w:t>
      </w:r>
      <w:r w:rsidR="00485575" w:rsidRPr="00485575">
        <w:rPr>
          <w:rFonts w:ascii="Garamond" w:hAnsi="Garamond"/>
        </w:rPr>
        <w:t xml:space="preserve"> </w:t>
      </w:r>
      <w:r w:rsidR="00A2420B">
        <w:rPr>
          <w:rFonts w:ascii="Garamond" w:hAnsi="Garamond"/>
        </w:rPr>
        <w:t>s</w:t>
      </w:r>
      <w:r w:rsidR="00485575" w:rsidRPr="00485575">
        <w:rPr>
          <w:rFonts w:ascii="Garamond" w:hAnsi="Garamond"/>
        </w:rPr>
        <w:t>emangat Kaleb berbeda dari semangat rekan-rekannya yang tidak setia (Bil</w:t>
      </w:r>
      <w:r w:rsidR="00A2420B">
        <w:rPr>
          <w:rFonts w:ascii="Garamond" w:hAnsi="Garamond"/>
        </w:rPr>
        <w:t xml:space="preserve">. </w:t>
      </w:r>
      <w:r w:rsidR="00485575" w:rsidRPr="00485575">
        <w:rPr>
          <w:rFonts w:ascii="Garamond" w:hAnsi="Garamond"/>
        </w:rPr>
        <w:t>14:24</w:t>
      </w:r>
      <w:r w:rsidR="00A2420B">
        <w:rPr>
          <w:rFonts w:ascii="Garamond" w:hAnsi="Garamond"/>
        </w:rPr>
        <w:t>),</w:t>
      </w:r>
      <w:r w:rsidR="00485575" w:rsidRPr="00485575">
        <w:rPr>
          <w:rFonts w:ascii="Garamond" w:hAnsi="Garamond"/>
        </w:rPr>
        <w:t xml:space="preserve"> </w:t>
      </w:r>
      <w:r w:rsidR="00A2420B">
        <w:rPr>
          <w:rFonts w:ascii="Garamond" w:hAnsi="Garamond"/>
        </w:rPr>
        <w:t xml:space="preserve">merujuk kepada </w:t>
      </w:r>
      <w:r w:rsidR="00485575" w:rsidRPr="00485575">
        <w:rPr>
          <w:rFonts w:ascii="Garamond" w:hAnsi="Garamond"/>
        </w:rPr>
        <w:t>seseorang mungkin sedih (1 Raj</w:t>
      </w:r>
      <w:r w:rsidR="00A2420B">
        <w:rPr>
          <w:rFonts w:ascii="Garamond" w:hAnsi="Garamond"/>
        </w:rPr>
        <w:t>.  21</w:t>
      </w:r>
      <w:r w:rsidR="00485575" w:rsidRPr="00485575">
        <w:rPr>
          <w:rFonts w:ascii="Garamond" w:hAnsi="Garamond"/>
        </w:rPr>
        <w:t>5), kewalahan (Mzm</w:t>
      </w:r>
      <w:r w:rsidR="00A2420B">
        <w:rPr>
          <w:rFonts w:ascii="Garamond" w:hAnsi="Garamond"/>
        </w:rPr>
        <w:t>. 77:</w:t>
      </w:r>
      <w:r w:rsidR="00485575" w:rsidRPr="00485575">
        <w:rPr>
          <w:rFonts w:ascii="Garamond" w:hAnsi="Garamond"/>
        </w:rPr>
        <w:t>3), atau menyesal (Yes</w:t>
      </w:r>
      <w:r w:rsidR="00A2420B">
        <w:rPr>
          <w:rFonts w:ascii="Garamond" w:hAnsi="Garamond"/>
        </w:rPr>
        <w:t xml:space="preserve">. </w:t>
      </w:r>
      <w:r w:rsidR="00485575" w:rsidRPr="00485575">
        <w:rPr>
          <w:rFonts w:ascii="Garamond" w:hAnsi="Garamond"/>
        </w:rPr>
        <w:t>57:15).</w:t>
      </w:r>
      <w:r w:rsidR="00CD49BD">
        <w:rPr>
          <w:rStyle w:val="FootnoteReference"/>
          <w:rFonts w:ascii="Garamond" w:hAnsi="Garamond"/>
        </w:rPr>
        <w:footnoteReference w:id="33"/>
      </w:r>
      <w:r w:rsidR="002D7513">
        <w:rPr>
          <w:rFonts w:ascii="Garamond" w:hAnsi="Garamond"/>
        </w:rPr>
        <w:t xml:space="preserve"> </w:t>
      </w:r>
      <w:r w:rsidR="00A2420B">
        <w:rPr>
          <w:rFonts w:ascii="Garamond" w:hAnsi="Garamond"/>
        </w:rPr>
        <w:t xml:space="preserve">Sementara itu, untuk kata </w:t>
      </w:r>
      <w:r w:rsidR="00A2420B" w:rsidRPr="007F07A0">
        <w:rPr>
          <w:i/>
        </w:rPr>
        <w:t>ʾ</w:t>
      </w:r>
      <w:r w:rsidR="00A2420B" w:rsidRPr="007F07A0">
        <w:rPr>
          <w:rFonts w:ascii="Garamond" w:hAnsi="Garamond"/>
          <w:i/>
        </w:rPr>
        <w:t>a</w:t>
      </w:r>
      <w:r w:rsidR="00A2420B" w:rsidRPr="007F07A0">
        <w:rPr>
          <w:i/>
        </w:rPr>
        <w:t>ḥ</w:t>
      </w:r>
      <w:r w:rsidR="00A2420B" w:rsidRPr="007F07A0">
        <w:rPr>
          <w:rFonts w:ascii="Garamond" w:hAnsi="Garamond"/>
          <w:i/>
        </w:rPr>
        <w:t>eret</w:t>
      </w:r>
      <w:r w:rsidR="00A2420B">
        <w:rPr>
          <w:rFonts w:ascii="Garamond" w:hAnsi="Garamond"/>
        </w:rPr>
        <w:t xml:space="preserve">, </w:t>
      </w:r>
      <w:r w:rsidR="00A2420B" w:rsidRPr="00A81CE3">
        <w:rPr>
          <w:rFonts w:ascii="Garamond" w:hAnsi="Garamond"/>
          <w:i/>
        </w:rPr>
        <w:t>T</w:t>
      </w:r>
      <w:r w:rsidR="00A81CE3">
        <w:rPr>
          <w:rFonts w:ascii="Garamond" w:hAnsi="Garamond"/>
          <w:i/>
        </w:rPr>
        <w:t xml:space="preserve">heological </w:t>
      </w:r>
      <w:r w:rsidR="00A2420B" w:rsidRPr="00A81CE3">
        <w:rPr>
          <w:rFonts w:ascii="Garamond" w:hAnsi="Garamond"/>
          <w:i/>
        </w:rPr>
        <w:t>W</w:t>
      </w:r>
      <w:r w:rsidR="00A81CE3">
        <w:rPr>
          <w:rFonts w:ascii="Garamond" w:hAnsi="Garamond"/>
          <w:i/>
        </w:rPr>
        <w:t xml:space="preserve">oordbook of the </w:t>
      </w:r>
      <w:r w:rsidR="00A2420B" w:rsidRPr="00A81CE3">
        <w:rPr>
          <w:rFonts w:ascii="Garamond" w:hAnsi="Garamond"/>
          <w:i/>
        </w:rPr>
        <w:t>O</w:t>
      </w:r>
      <w:r w:rsidR="00A81CE3">
        <w:rPr>
          <w:rFonts w:ascii="Garamond" w:hAnsi="Garamond"/>
          <w:i/>
        </w:rPr>
        <w:t xml:space="preserve">ld </w:t>
      </w:r>
      <w:r w:rsidR="00A2420B" w:rsidRPr="00A81CE3">
        <w:rPr>
          <w:rFonts w:ascii="Garamond" w:hAnsi="Garamond"/>
          <w:i/>
        </w:rPr>
        <w:t>T</w:t>
      </w:r>
      <w:r w:rsidR="00A81CE3">
        <w:rPr>
          <w:rFonts w:ascii="Garamond" w:hAnsi="Garamond"/>
          <w:i/>
        </w:rPr>
        <w:t>estament</w:t>
      </w:r>
      <w:r w:rsidR="00A2420B">
        <w:rPr>
          <w:rFonts w:ascii="Garamond" w:hAnsi="Garamond"/>
        </w:rPr>
        <w:t xml:space="preserve"> menerangkan bahwa kata tersebut memiliki arti lain (</w:t>
      </w:r>
      <w:r w:rsidR="00A2420B">
        <w:rPr>
          <w:rFonts w:ascii="Garamond" w:hAnsi="Garamond"/>
          <w:i/>
        </w:rPr>
        <w:t>another</w:t>
      </w:r>
      <w:r w:rsidR="00A2420B">
        <w:rPr>
          <w:rFonts w:ascii="Garamond" w:hAnsi="Garamond"/>
        </w:rPr>
        <w:t>)</w:t>
      </w:r>
      <w:r w:rsidR="00A2420B" w:rsidRPr="00A2420B">
        <w:rPr>
          <w:rFonts w:ascii="Garamond" w:hAnsi="Garamond"/>
        </w:rPr>
        <w:t>. Kata ini sering digunakan dala</w:t>
      </w:r>
      <w:r w:rsidR="00A2420B">
        <w:rPr>
          <w:rFonts w:ascii="Garamond" w:hAnsi="Garamond"/>
        </w:rPr>
        <w:t>m situasi normal seperti tempat lain, tujuh tahun lain</w:t>
      </w:r>
      <w:r w:rsidR="00A2420B" w:rsidRPr="00A2420B">
        <w:rPr>
          <w:rFonts w:ascii="Garamond" w:hAnsi="Garamond"/>
        </w:rPr>
        <w:t>.</w:t>
      </w:r>
      <w:r w:rsidR="002D7513">
        <w:rPr>
          <w:rFonts w:ascii="Garamond" w:hAnsi="Garamond"/>
        </w:rPr>
        <w:t xml:space="preserve"> Bahkan kata tersebut juga </w:t>
      </w:r>
      <w:r w:rsidR="00A2420B" w:rsidRPr="00A2420B">
        <w:rPr>
          <w:rFonts w:ascii="Garamond" w:hAnsi="Garamond"/>
        </w:rPr>
        <w:t>serin</w:t>
      </w:r>
      <w:r w:rsidR="002D7513">
        <w:rPr>
          <w:rFonts w:ascii="Garamond" w:hAnsi="Garamond"/>
        </w:rPr>
        <w:t>g digunakan dalam bentuk jamak ketika menyebut allah lain (Kel. 20:3;</w:t>
      </w:r>
      <w:r w:rsidR="00A2420B" w:rsidRPr="00A2420B">
        <w:rPr>
          <w:rFonts w:ascii="Garamond" w:hAnsi="Garamond"/>
        </w:rPr>
        <w:t xml:space="preserve"> Ul</w:t>
      </w:r>
      <w:r w:rsidR="002D7513">
        <w:rPr>
          <w:rFonts w:ascii="Garamond" w:hAnsi="Garamond"/>
        </w:rPr>
        <w:t>.</w:t>
      </w:r>
      <w:r w:rsidR="00A2420B" w:rsidRPr="00A2420B">
        <w:rPr>
          <w:rFonts w:ascii="Garamond" w:hAnsi="Garamond"/>
        </w:rPr>
        <w:t xml:space="preserve"> 13: 2</w:t>
      </w:r>
      <w:r w:rsidR="002D7513">
        <w:rPr>
          <w:rFonts w:ascii="Garamond" w:hAnsi="Garamond"/>
        </w:rPr>
        <w:t xml:space="preserve">; </w:t>
      </w:r>
      <w:r w:rsidR="00A2420B" w:rsidRPr="00A2420B">
        <w:rPr>
          <w:rFonts w:ascii="Garamond" w:hAnsi="Garamond"/>
        </w:rPr>
        <w:t>Yer</w:t>
      </w:r>
      <w:r w:rsidR="002D7513">
        <w:rPr>
          <w:rFonts w:ascii="Garamond" w:hAnsi="Garamond"/>
        </w:rPr>
        <w:t>. 7:</w:t>
      </w:r>
      <w:r w:rsidR="00A2420B" w:rsidRPr="00A2420B">
        <w:rPr>
          <w:rFonts w:ascii="Garamond" w:hAnsi="Garamond"/>
        </w:rPr>
        <w:t>6)</w:t>
      </w:r>
      <w:r w:rsidR="002D7513">
        <w:rPr>
          <w:rFonts w:ascii="Garamond" w:hAnsi="Garamond"/>
        </w:rPr>
        <w:t xml:space="preserve">, menurut BDB dalam bentuk tersebut muncul sebanyak </w:t>
      </w:r>
      <w:r w:rsidR="00A2420B" w:rsidRPr="00A2420B">
        <w:rPr>
          <w:rFonts w:ascii="Garamond" w:hAnsi="Garamond"/>
        </w:rPr>
        <w:t>enam puluh tiga kali</w:t>
      </w:r>
      <w:r w:rsidR="002D7513">
        <w:rPr>
          <w:rFonts w:ascii="Garamond" w:hAnsi="Garamond"/>
        </w:rPr>
        <w:t>.</w:t>
      </w:r>
      <w:r w:rsidR="00CD49BD">
        <w:rPr>
          <w:rStyle w:val="FootnoteReference"/>
          <w:rFonts w:ascii="Garamond" w:hAnsi="Garamond"/>
        </w:rPr>
        <w:footnoteReference w:id="34"/>
      </w:r>
      <w:r w:rsidR="00CD49BD">
        <w:rPr>
          <w:rFonts w:ascii="Garamond" w:hAnsi="Garamond"/>
        </w:rPr>
        <w:t xml:space="preserve"> Dari etimologi di atas, dapat dilihat bahwa </w:t>
      </w:r>
      <w:r w:rsidR="00CD49BD">
        <w:rPr>
          <w:rFonts w:ascii="Garamond" w:hAnsi="Garamond"/>
          <w:i/>
        </w:rPr>
        <w:t>a different</w:t>
      </w:r>
      <w:r w:rsidR="00CD49BD">
        <w:rPr>
          <w:rFonts w:ascii="Garamond" w:hAnsi="Garamond"/>
        </w:rPr>
        <w:t xml:space="preserve"> </w:t>
      </w:r>
      <w:r w:rsidR="00CD49BD">
        <w:rPr>
          <w:rFonts w:ascii="Garamond" w:hAnsi="Garamond"/>
          <w:i/>
        </w:rPr>
        <w:t>spirit</w:t>
      </w:r>
      <w:r w:rsidR="00CD49BD">
        <w:rPr>
          <w:rFonts w:ascii="Garamond" w:hAnsi="Garamond"/>
        </w:rPr>
        <w:t xml:space="preserve"> yang dimiliki Kaleb merujuk kepada watak atau sikap</w:t>
      </w:r>
      <w:r w:rsidR="004B5F69">
        <w:rPr>
          <w:rFonts w:ascii="Garamond" w:hAnsi="Garamond"/>
        </w:rPr>
        <w:t xml:space="preserve"> yang</w:t>
      </w:r>
      <w:bookmarkStart w:id="0" w:name="_GoBack"/>
      <w:bookmarkEnd w:id="0"/>
      <w:r w:rsidR="00CD49BD">
        <w:rPr>
          <w:rFonts w:ascii="Garamond" w:hAnsi="Garamond"/>
        </w:rPr>
        <w:t xml:space="preserve"> arif. </w:t>
      </w:r>
      <w:r w:rsidR="00A2420B" w:rsidRPr="00A2420B">
        <w:rPr>
          <w:rFonts w:ascii="Garamond" w:hAnsi="Garamond"/>
        </w:rPr>
        <w:t xml:space="preserve"> </w:t>
      </w:r>
    </w:p>
    <w:p w:rsidR="00262732" w:rsidRDefault="002D7513" w:rsidP="002D7513">
      <w:pPr>
        <w:spacing w:line="360" w:lineRule="auto"/>
        <w:ind w:firstLine="720"/>
        <w:jc w:val="both"/>
        <w:rPr>
          <w:rFonts w:ascii="Garamond" w:hAnsi="Garamond"/>
        </w:rPr>
      </w:pPr>
      <w:r>
        <w:rPr>
          <w:rFonts w:ascii="Garamond" w:hAnsi="Garamond"/>
        </w:rPr>
        <w:t xml:space="preserve">Menurut Levine dua kata tersebut merujuk kepada </w:t>
      </w:r>
      <w:r>
        <w:rPr>
          <w:rFonts w:ascii="Garamond" w:hAnsi="Garamond"/>
          <w:i/>
        </w:rPr>
        <w:t xml:space="preserve">a feeling </w:t>
      </w:r>
      <w:r>
        <w:rPr>
          <w:rFonts w:ascii="Garamond" w:hAnsi="Garamond"/>
        </w:rPr>
        <w:t>dan</w:t>
      </w:r>
      <w:r>
        <w:rPr>
          <w:rFonts w:ascii="Garamond" w:hAnsi="Garamond"/>
          <w:i/>
        </w:rPr>
        <w:t xml:space="preserve"> frame of mind</w:t>
      </w:r>
      <w:r>
        <w:rPr>
          <w:rFonts w:ascii="Garamond" w:hAnsi="Garamond"/>
        </w:rPr>
        <w:t xml:space="preserve">. Dua kata tersebut bermaksud menerangkan Kaleb sebagai satu-satunya tokoh yang memiliki </w:t>
      </w:r>
      <w:r>
        <w:rPr>
          <w:rFonts w:ascii="Garamond" w:hAnsi="Garamond"/>
          <w:i/>
        </w:rPr>
        <w:t>different spirit</w:t>
      </w:r>
      <w:r>
        <w:rPr>
          <w:rFonts w:ascii="Garamond" w:hAnsi="Garamond"/>
        </w:rPr>
        <w:t xml:space="preserve"> dalam kelompok mata-mata karena ia sangat menjaga imannya. Levine kemudian membandingkan </w:t>
      </w:r>
      <w:r w:rsidRPr="007F07A0">
        <w:rPr>
          <w:rFonts w:ascii="Garamond" w:hAnsi="Garamond"/>
          <w:i/>
        </w:rPr>
        <w:t>r</w:t>
      </w:r>
      <w:r w:rsidRPr="007F07A0">
        <w:rPr>
          <w:rFonts w:ascii="Garamond" w:hAnsi="Garamond" w:cs="Garamond"/>
          <w:i/>
        </w:rPr>
        <w:t>û</w:t>
      </w:r>
      <w:r w:rsidRPr="007F07A0">
        <w:rPr>
          <w:rFonts w:ascii="Garamond" w:hAnsi="Garamond"/>
          <w:i/>
        </w:rPr>
        <w:t>a</w:t>
      </w:r>
      <w:r w:rsidRPr="007F07A0">
        <w:rPr>
          <w:i/>
        </w:rPr>
        <w:t>ḥ</w:t>
      </w:r>
      <w:r w:rsidRPr="007F07A0">
        <w:rPr>
          <w:rFonts w:ascii="Garamond" w:hAnsi="Garamond"/>
          <w:i/>
        </w:rPr>
        <w:t xml:space="preserve"> </w:t>
      </w:r>
      <w:r w:rsidRPr="007F07A0">
        <w:rPr>
          <w:i/>
        </w:rPr>
        <w:t>ʾ</w:t>
      </w:r>
      <w:r w:rsidRPr="007F07A0">
        <w:rPr>
          <w:rFonts w:ascii="Garamond" w:hAnsi="Garamond"/>
          <w:i/>
        </w:rPr>
        <w:t>a</w:t>
      </w:r>
      <w:r w:rsidRPr="007F07A0">
        <w:rPr>
          <w:i/>
        </w:rPr>
        <w:t>ḥ</w:t>
      </w:r>
      <w:r w:rsidRPr="007F07A0">
        <w:rPr>
          <w:rFonts w:ascii="Garamond" w:hAnsi="Garamond"/>
          <w:i/>
        </w:rPr>
        <w:t>eret</w:t>
      </w:r>
      <w:r>
        <w:rPr>
          <w:rFonts w:ascii="Garamond" w:hAnsi="Garamond"/>
        </w:rPr>
        <w:t xml:space="preserve"> Kaleb dengan </w:t>
      </w:r>
      <w:r w:rsidRPr="0044757A">
        <w:rPr>
          <w:rFonts w:ascii="Garamond" w:hAnsi="Garamond"/>
          <w:i/>
        </w:rPr>
        <w:t>rûa</w:t>
      </w:r>
      <w:r w:rsidRPr="0044757A">
        <w:rPr>
          <w:i/>
        </w:rPr>
        <w:t>ḥ</w:t>
      </w:r>
      <w:r w:rsidRPr="0044757A">
        <w:rPr>
          <w:rFonts w:ascii="Garamond" w:hAnsi="Garamond"/>
          <w:i/>
        </w:rPr>
        <w:t>-qin</w:t>
      </w:r>
      <w:r w:rsidRPr="0044757A">
        <w:rPr>
          <w:i/>
        </w:rPr>
        <w:t>ʾ</w:t>
      </w:r>
      <w:r w:rsidRPr="0044757A">
        <w:rPr>
          <w:rFonts w:ascii="Garamond" w:hAnsi="Garamond" w:cs="Garamond"/>
          <w:i/>
        </w:rPr>
        <w:t>â</w:t>
      </w:r>
      <w:r>
        <w:rPr>
          <w:rFonts w:ascii="Garamond" w:hAnsi="Garamond" w:cs="Garamond"/>
        </w:rPr>
        <w:t xml:space="preserve"> yang berarti iri hati (Bil. 5:14; 30; 1 Sam. 19:9).</w:t>
      </w:r>
      <w:r>
        <w:rPr>
          <w:rStyle w:val="FootnoteReference"/>
          <w:rFonts w:ascii="Garamond" w:hAnsi="Garamond" w:cs="Garamond"/>
        </w:rPr>
        <w:footnoteReference w:id="35"/>
      </w:r>
      <w:r w:rsidR="00A9219B">
        <w:rPr>
          <w:rFonts w:ascii="Garamond" w:hAnsi="Garamond" w:cs="Garamond"/>
        </w:rPr>
        <w:t xml:space="preserve"> Selain Levine, Philip J. Budd</w:t>
      </w:r>
      <w:r w:rsidR="00DB5474">
        <w:rPr>
          <w:rStyle w:val="FootnoteReference"/>
          <w:rFonts w:ascii="Garamond" w:hAnsi="Garamond" w:cs="Garamond"/>
        </w:rPr>
        <w:footnoteReference w:id="36"/>
      </w:r>
      <w:r w:rsidR="00A9219B">
        <w:rPr>
          <w:rFonts w:ascii="Garamond" w:hAnsi="Garamond" w:cs="Garamond"/>
        </w:rPr>
        <w:t xml:space="preserve"> dan Timothy R. Ashley</w:t>
      </w:r>
      <w:r w:rsidR="00DB5474">
        <w:rPr>
          <w:rStyle w:val="FootnoteReference"/>
          <w:rFonts w:ascii="Garamond" w:hAnsi="Garamond" w:cs="Garamond"/>
        </w:rPr>
        <w:footnoteReference w:id="37"/>
      </w:r>
      <w:r w:rsidR="00A9219B">
        <w:rPr>
          <w:rFonts w:ascii="Garamond" w:hAnsi="Garamond" w:cs="Garamond"/>
        </w:rPr>
        <w:t xml:space="preserve"> juga melakukan komparasi antara </w:t>
      </w:r>
      <w:r w:rsidR="00A9219B" w:rsidRPr="00CE5968">
        <w:rPr>
          <w:rFonts w:ascii="Garamond" w:hAnsi="Garamond"/>
          <w:i/>
        </w:rPr>
        <w:t>r</w:t>
      </w:r>
      <w:r w:rsidR="00A9219B" w:rsidRPr="00CE5968">
        <w:rPr>
          <w:rFonts w:ascii="Garamond" w:hAnsi="Garamond" w:cs="Garamond"/>
          <w:i/>
        </w:rPr>
        <w:t>û</w:t>
      </w:r>
      <w:r w:rsidR="00A9219B" w:rsidRPr="00CE5968">
        <w:rPr>
          <w:rFonts w:ascii="Garamond" w:hAnsi="Garamond"/>
          <w:i/>
        </w:rPr>
        <w:t>a</w:t>
      </w:r>
      <w:r w:rsidR="00A9219B" w:rsidRPr="00CE5968">
        <w:rPr>
          <w:i/>
        </w:rPr>
        <w:t>ḥ</w:t>
      </w:r>
      <w:r w:rsidR="00A9219B">
        <w:t xml:space="preserve"> </w:t>
      </w:r>
      <w:r w:rsidR="00A9219B">
        <w:rPr>
          <w:rFonts w:ascii="Garamond" w:hAnsi="Garamond"/>
        </w:rPr>
        <w:t xml:space="preserve">yang dimiliki oleh Kaleb dengan </w:t>
      </w:r>
      <w:r w:rsidR="00A9219B" w:rsidRPr="00CE5968">
        <w:rPr>
          <w:rFonts w:ascii="Garamond" w:hAnsi="Garamond"/>
          <w:i/>
        </w:rPr>
        <w:t>r</w:t>
      </w:r>
      <w:r w:rsidR="00A9219B" w:rsidRPr="00CE5968">
        <w:rPr>
          <w:rFonts w:ascii="Garamond" w:hAnsi="Garamond" w:cs="Garamond"/>
          <w:i/>
        </w:rPr>
        <w:t>û</w:t>
      </w:r>
      <w:r w:rsidR="00A9219B" w:rsidRPr="00CE5968">
        <w:rPr>
          <w:rFonts w:ascii="Garamond" w:hAnsi="Garamond"/>
          <w:i/>
        </w:rPr>
        <w:t>a</w:t>
      </w:r>
      <w:r w:rsidR="00A9219B" w:rsidRPr="00CE5968">
        <w:rPr>
          <w:i/>
        </w:rPr>
        <w:t>ḥ</w:t>
      </w:r>
      <w:r w:rsidR="00A9219B">
        <w:rPr>
          <w:rFonts w:ascii="Garamond" w:hAnsi="Garamond"/>
        </w:rPr>
        <w:t xml:space="preserve"> yang terdapat dalam beberapa bagian teks PL yang lain, yaitu </w:t>
      </w:r>
      <w:r w:rsidR="00DB5474">
        <w:rPr>
          <w:rFonts w:ascii="Garamond" w:hAnsi="Garamond"/>
        </w:rPr>
        <w:t>Bilangan 11:17.</w:t>
      </w:r>
      <w:r w:rsidR="00262732">
        <w:rPr>
          <w:rFonts w:ascii="Garamond" w:hAnsi="Garamond"/>
        </w:rPr>
        <w:t xml:space="preserve"> Berikut tabel perbandingan dari teks-teks tersebut:</w:t>
      </w:r>
    </w:p>
    <w:tbl>
      <w:tblPr>
        <w:tblStyle w:val="TableGrid"/>
        <w:tblW w:w="0" w:type="auto"/>
        <w:tblLook w:val="04A0" w:firstRow="1" w:lastRow="0" w:firstColumn="1" w:lastColumn="0" w:noHBand="0" w:noVBand="1"/>
      </w:tblPr>
      <w:tblGrid>
        <w:gridCol w:w="1915"/>
        <w:gridCol w:w="1915"/>
        <w:gridCol w:w="1915"/>
        <w:gridCol w:w="1915"/>
        <w:gridCol w:w="1916"/>
      </w:tblGrid>
      <w:tr w:rsidR="00262732" w:rsidTr="00262732">
        <w:tc>
          <w:tcPr>
            <w:tcW w:w="1915" w:type="dxa"/>
            <w:vAlign w:val="center"/>
          </w:tcPr>
          <w:p w:rsidR="00262732" w:rsidRDefault="00262732" w:rsidP="00262732">
            <w:pPr>
              <w:spacing w:line="360" w:lineRule="auto"/>
              <w:jc w:val="center"/>
              <w:rPr>
                <w:rFonts w:ascii="Garamond" w:hAnsi="Garamond"/>
              </w:rPr>
            </w:pPr>
            <w:r>
              <w:rPr>
                <w:rFonts w:ascii="Garamond" w:hAnsi="Garamond"/>
              </w:rPr>
              <w:t>Bil. 14:24</w:t>
            </w:r>
          </w:p>
        </w:tc>
        <w:tc>
          <w:tcPr>
            <w:tcW w:w="1915" w:type="dxa"/>
            <w:vAlign w:val="center"/>
          </w:tcPr>
          <w:p w:rsidR="00262732" w:rsidRDefault="00262732" w:rsidP="00262732">
            <w:pPr>
              <w:spacing w:line="360" w:lineRule="auto"/>
              <w:jc w:val="center"/>
              <w:rPr>
                <w:rFonts w:ascii="Garamond" w:hAnsi="Garamond"/>
              </w:rPr>
            </w:pPr>
            <w:r>
              <w:rPr>
                <w:rFonts w:ascii="Garamond" w:hAnsi="Garamond"/>
              </w:rPr>
              <w:t>Bil. 11:17</w:t>
            </w:r>
          </w:p>
        </w:tc>
        <w:tc>
          <w:tcPr>
            <w:tcW w:w="1915" w:type="dxa"/>
            <w:vAlign w:val="center"/>
          </w:tcPr>
          <w:p w:rsidR="00262732" w:rsidRDefault="00262732" w:rsidP="00262732">
            <w:pPr>
              <w:spacing w:line="360" w:lineRule="auto"/>
              <w:jc w:val="center"/>
              <w:rPr>
                <w:rFonts w:ascii="Garamond" w:hAnsi="Garamond"/>
              </w:rPr>
            </w:pPr>
            <w:r>
              <w:rPr>
                <w:rFonts w:ascii="Garamond" w:hAnsi="Garamond"/>
              </w:rPr>
              <w:t>Bil. 5:14</w:t>
            </w:r>
          </w:p>
        </w:tc>
        <w:tc>
          <w:tcPr>
            <w:tcW w:w="1915" w:type="dxa"/>
            <w:vAlign w:val="center"/>
          </w:tcPr>
          <w:p w:rsidR="00262732" w:rsidRDefault="00262732" w:rsidP="00262732">
            <w:pPr>
              <w:spacing w:line="360" w:lineRule="auto"/>
              <w:jc w:val="center"/>
              <w:rPr>
                <w:rFonts w:ascii="Garamond" w:hAnsi="Garamond"/>
              </w:rPr>
            </w:pPr>
            <w:r>
              <w:rPr>
                <w:rFonts w:ascii="Garamond" w:hAnsi="Garamond"/>
              </w:rPr>
              <w:t>Bil. 5:30</w:t>
            </w:r>
          </w:p>
        </w:tc>
        <w:tc>
          <w:tcPr>
            <w:tcW w:w="1916" w:type="dxa"/>
            <w:vAlign w:val="center"/>
          </w:tcPr>
          <w:p w:rsidR="00262732" w:rsidRDefault="00262732" w:rsidP="00262732">
            <w:pPr>
              <w:spacing w:line="360" w:lineRule="auto"/>
              <w:jc w:val="center"/>
              <w:rPr>
                <w:rFonts w:ascii="Garamond" w:hAnsi="Garamond"/>
              </w:rPr>
            </w:pPr>
            <w:r>
              <w:rPr>
                <w:rFonts w:ascii="Garamond" w:hAnsi="Garamond"/>
              </w:rPr>
              <w:t>1 Sam. 19:9</w:t>
            </w:r>
          </w:p>
        </w:tc>
      </w:tr>
      <w:tr w:rsidR="00262732" w:rsidTr="00262732">
        <w:tc>
          <w:tcPr>
            <w:tcW w:w="1915" w:type="dxa"/>
            <w:vAlign w:val="center"/>
          </w:tcPr>
          <w:p w:rsidR="00262732" w:rsidRDefault="00262732" w:rsidP="00262732">
            <w:pPr>
              <w:spacing w:line="360" w:lineRule="auto"/>
              <w:jc w:val="both"/>
              <w:rPr>
                <w:rFonts w:ascii="Garamond" w:hAnsi="Garamond"/>
              </w:rPr>
            </w:pPr>
            <w:r>
              <w:rPr>
                <w:rFonts w:ascii="Garamond" w:hAnsi="Garamond"/>
              </w:rPr>
              <w:t>TB-LAI</w:t>
            </w:r>
          </w:p>
          <w:p w:rsidR="00262732" w:rsidRDefault="00262732" w:rsidP="00262732">
            <w:pPr>
              <w:spacing w:line="360" w:lineRule="auto"/>
              <w:jc w:val="both"/>
              <w:rPr>
                <w:rFonts w:ascii="Garamond" w:hAnsi="Garamond"/>
              </w:rPr>
            </w:pPr>
            <w:r>
              <w:rPr>
                <w:rFonts w:ascii="Garamond" w:hAnsi="Garamond"/>
              </w:rPr>
              <w:t xml:space="preserve">. . .karena </w:t>
            </w:r>
            <w:r w:rsidRPr="003A4252">
              <w:rPr>
                <w:rFonts w:ascii="Garamond" w:hAnsi="Garamond"/>
                <w:u w:val="single"/>
              </w:rPr>
              <w:t>lain jiwa</w:t>
            </w:r>
            <w:r>
              <w:rPr>
                <w:rFonts w:ascii="Garamond" w:hAnsi="Garamond"/>
              </w:rPr>
              <w:t xml:space="preserve"> yang ada padanya, . . .</w:t>
            </w:r>
          </w:p>
          <w:p w:rsidR="00262732" w:rsidRDefault="00262732" w:rsidP="00262732">
            <w:pPr>
              <w:spacing w:line="360" w:lineRule="auto"/>
              <w:jc w:val="both"/>
              <w:rPr>
                <w:rFonts w:ascii="Garamond" w:hAnsi="Garamond"/>
              </w:rPr>
            </w:pPr>
          </w:p>
          <w:p w:rsidR="00262732" w:rsidRDefault="00262732" w:rsidP="00262732">
            <w:pPr>
              <w:spacing w:line="360" w:lineRule="auto"/>
              <w:jc w:val="both"/>
              <w:rPr>
                <w:rFonts w:ascii="Garamond" w:hAnsi="Garamond"/>
              </w:rPr>
            </w:pPr>
            <w:r>
              <w:rPr>
                <w:rFonts w:ascii="Garamond" w:hAnsi="Garamond"/>
              </w:rPr>
              <w:t>BHS</w:t>
            </w:r>
          </w:p>
          <w:p w:rsidR="00262732" w:rsidRDefault="00262732" w:rsidP="00262732">
            <w:pPr>
              <w:spacing w:line="360" w:lineRule="auto"/>
              <w:jc w:val="both"/>
              <w:rPr>
                <w:rFonts w:ascii="Garamond" w:hAnsi="Garamond"/>
              </w:rPr>
            </w:pPr>
            <w:r>
              <w:rPr>
                <w:rFonts w:ascii="SBL Hebrew" w:hAnsi="SBL Hebrew" w:cs="SBL Hebrew"/>
                <w:sz w:val="28"/>
                <w:szCs w:val="28"/>
                <w:rtl/>
                <w:lang w:val="en-US" w:bidi="he-IL"/>
              </w:rPr>
              <w:t xml:space="preserve">עֵ֣קֶב הָֽיְתָ֞ה </w:t>
            </w:r>
            <w:r w:rsidRPr="00262732">
              <w:rPr>
                <w:rFonts w:ascii="SBL Hebrew" w:hAnsi="SBL Hebrew" w:cs="SBL Hebrew"/>
                <w:sz w:val="28"/>
                <w:szCs w:val="28"/>
                <w:u w:val="single"/>
                <w:rtl/>
                <w:lang w:val="en-US" w:bidi="he-IL"/>
              </w:rPr>
              <w:t>ר֤וּחַ</w:t>
            </w:r>
            <w:r>
              <w:rPr>
                <w:rFonts w:ascii="SBL Hebrew" w:hAnsi="SBL Hebrew" w:cs="SBL Hebrew"/>
                <w:sz w:val="28"/>
                <w:szCs w:val="28"/>
                <w:rtl/>
                <w:lang w:val="en-US" w:bidi="he-IL"/>
              </w:rPr>
              <w:t xml:space="preserve"> </w:t>
            </w:r>
            <w:r w:rsidRPr="00262732">
              <w:rPr>
                <w:rFonts w:ascii="SBL Hebrew" w:hAnsi="SBL Hebrew" w:cs="SBL Hebrew"/>
                <w:sz w:val="28"/>
                <w:szCs w:val="28"/>
                <w:u w:val="single"/>
                <w:rtl/>
                <w:lang w:val="en-US" w:bidi="he-IL"/>
              </w:rPr>
              <w:t>אַחֶ֙רֶת֙</w:t>
            </w:r>
          </w:p>
        </w:tc>
        <w:tc>
          <w:tcPr>
            <w:tcW w:w="1915" w:type="dxa"/>
            <w:vAlign w:val="center"/>
          </w:tcPr>
          <w:p w:rsidR="00262732" w:rsidRDefault="003A4252" w:rsidP="00262732">
            <w:pPr>
              <w:spacing w:line="360" w:lineRule="auto"/>
              <w:jc w:val="both"/>
              <w:rPr>
                <w:rFonts w:ascii="Garamond" w:hAnsi="Garamond"/>
              </w:rPr>
            </w:pPr>
            <w:r>
              <w:rPr>
                <w:rFonts w:ascii="Garamond" w:hAnsi="Garamond"/>
              </w:rPr>
              <w:t>TB-LAI</w:t>
            </w:r>
          </w:p>
          <w:p w:rsidR="003A4252" w:rsidRDefault="003A4252" w:rsidP="00262732">
            <w:pPr>
              <w:spacing w:line="360" w:lineRule="auto"/>
              <w:jc w:val="both"/>
              <w:rPr>
                <w:rFonts w:ascii="Garamond" w:hAnsi="Garamond"/>
              </w:rPr>
            </w:pPr>
            <w:r>
              <w:rPr>
                <w:rFonts w:ascii="Garamond" w:hAnsi="Garamond"/>
              </w:rPr>
              <w:t xml:space="preserve">. . . lalu sebagian dari </w:t>
            </w:r>
            <w:r w:rsidRPr="003A4252">
              <w:rPr>
                <w:rFonts w:ascii="Garamond" w:hAnsi="Garamond"/>
                <w:u w:val="single"/>
              </w:rPr>
              <w:t>Roh yang hinggap padamu itu</w:t>
            </w:r>
            <w:r>
              <w:rPr>
                <w:rFonts w:ascii="Garamond" w:hAnsi="Garamond"/>
              </w:rPr>
              <w:t xml:space="preserve"> akan Kuambil dan Kutaruh atas mereka, . . .</w:t>
            </w:r>
          </w:p>
          <w:p w:rsidR="003A4252" w:rsidRDefault="003A4252" w:rsidP="00262732">
            <w:pPr>
              <w:spacing w:line="360" w:lineRule="auto"/>
              <w:jc w:val="both"/>
              <w:rPr>
                <w:rFonts w:ascii="Garamond" w:hAnsi="Garamond"/>
              </w:rPr>
            </w:pPr>
          </w:p>
          <w:p w:rsidR="003A4252" w:rsidRDefault="003A4252" w:rsidP="00262732">
            <w:pPr>
              <w:spacing w:line="360" w:lineRule="auto"/>
              <w:jc w:val="both"/>
              <w:rPr>
                <w:rFonts w:ascii="Garamond" w:hAnsi="Garamond"/>
              </w:rPr>
            </w:pPr>
            <w:r>
              <w:rPr>
                <w:rFonts w:ascii="Garamond" w:hAnsi="Garamond"/>
              </w:rPr>
              <w:t>BHS</w:t>
            </w:r>
          </w:p>
          <w:p w:rsidR="003A4252" w:rsidRDefault="003A4252" w:rsidP="00262732">
            <w:pPr>
              <w:spacing w:line="360" w:lineRule="auto"/>
              <w:jc w:val="both"/>
              <w:rPr>
                <w:rFonts w:ascii="Garamond" w:hAnsi="Garamond"/>
              </w:rPr>
            </w:pPr>
            <w:r>
              <w:rPr>
                <w:rFonts w:ascii="SBL Hebrew" w:hAnsi="SBL Hebrew" w:cs="SBL Hebrew"/>
                <w:sz w:val="28"/>
                <w:szCs w:val="28"/>
                <w:rtl/>
                <w:lang w:val="en-US" w:bidi="he-IL"/>
              </w:rPr>
              <w:t xml:space="preserve">וְאָצַלְתִּ֗י </w:t>
            </w:r>
            <w:r w:rsidRPr="003A4252">
              <w:rPr>
                <w:rFonts w:ascii="SBL Hebrew" w:hAnsi="SBL Hebrew" w:cs="SBL Hebrew"/>
                <w:sz w:val="28"/>
                <w:szCs w:val="28"/>
                <w:u w:val="single"/>
                <w:rtl/>
                <w:lang w:val="en-US" w:bidi="he-IL"/>
              </w:rPr>
              <w:t>מִן־הָר֛וּחַ</w:t>
            </w:r>
            <w:r>
              <w:rPr>
                <w:rFonts w:ascii="SBL Hebrew" w:hAnsi="SBL Hebrew" w:cs="SBL Hebrew"/>
                <w:sz w:val="28"/>
                <w:szCs w:val="28"/>
                <w:rtl/>
                <w:lang w:val="en-US" w:bidi="he-IL"/>
              </w:rPr>
              <w:t xml:space="preserve"> </w:t>
            </w:r>
            <w:r w:rsidRPr="003A4252">
              <w:rPr>
                <w:rFonts w:ascii="SBL Hebrew" w:hAnsi="SBL Hebrew" w:cs="SBL Hebrew"/>
                <w:sz w:val="28"/>
                <w:szCs w:val="28"/>
                <w:u w:val="single"/>
                <w:rtl/>
                <w:lang w:val="en-US" w:bidi="he-IL"/>
              </w:rPr>
              <w:lastRenderedPageBreak/>
              <w:t>אֲשֶׁ֥ר</w:t>
            </w:r>
            <w:r>
              <w:rPr>
                <w:rFonts w:ascii="SBL Hebrew" w:hAnsi="SBL Hebrew" w:cs="SBL Hebrew"/>
                <w:sz w:val="28"/>
                <w:szCs w:val="28"/>
                <w:rtl/>
                <w:lang w:val="en-US" w:bidi="he-IL"/>
              </w:rPr>
              <w:t xml:space="preserve"> </w:t>
            </w:r>
            <w:r w:rsidRPr="003A4252">
              <w:rPr>
                <w:rFonts w:ascii="SBL Hebrew" w:hAnsi="SBL Hebrew" w:cs="SBL Hebrew"/>
                <w:sz w:val="28"/>
                <w:szCs w:val="28"/>
                <w:u w:val="single"/>
                <w:rtl/>
                <w:lang w:val="en-US" w:bidi="he-IL"/>
              </w:rPr>
              <w:t>עָלֶ֖יךָ</w:t>
            </w:r>
            <w:r>
              <w:rPr>
                <w:rFonts w:ascii="SBL Hebrew" w:hAnsi="SBL Hebrew" w:cs="SBL Hebrew"/>
                <w:sz w:val="28"/>
                <w:szCs w:val="28"/>
                <w:rtl/>
                <w:lang w:val="en-US" w:bidi="he-IL"/>
              </w:rPr>
              <w:t xml:space="preserve"> וְשַׂמְתִּ֣י</w:t>
            </w:r>
            <w:r>
              <w:rPr>
                <w:rFonts w:ascii="Arial" w:hAnsi="Arial" w:cs="Arial"/>
                <w:sz w:val="20"/>
                <w:rtl/>
                <w:lang w:val="en-US" w:bidi="he-IL"/>
              </w:rPr>
              <w:t xml:space="preserve"> </w:t>
            </w:r>
          </w:p>
        </w:tc>
        <w:tc>
          <w:tcPr>
            <w:tcW w:w="1915" w:type="dxa"/>
            <w:vAlign w:val="center"/>
          </w:tcPr>
          <w:p w:rsidR="00262732" w:rsidRDefault="003A4252" w:rsidP="00262732">
            <w:pPr>
              <w:spacing w:line="360" w:lineRule="auto"/>
              <w:jc w:val="both"/>
              <w:rPr>
                <w:rFonts w:ascii="Garamond" w:hAnsi="Garamond"/>
              </w:rPr>
            </w:pPr>
            <w:r>
              <w:rPr>
                <w:rFonts w:ascii="Garamond" w:hAnsi="Garamond"/>
              </w:rPr>
              <w:lastRenderedPageBreak/>
              <w:t>TB-LAI</w:t>
            </w:r>
          </w:p>
          <w:p w:rsidR="003A4252" w:rsidRDefault="003A4252" w:rsidP="00262732">
            <w:pPr>
              <w:spacing w:line="360" w:lineRule="auto"/>
              <w:jc w:val="both"/>
              <w:rPr>
                <w:rFonts w:ascii="Garamond" w:hAnsi="Garamond"/>
              </w:rPr>
            </w:pPr>
            <w:r>
              <w:rPr>
                <w:rFonts w:ascii="Garamond" w:hAnsi="Garamond"/>
              </w:rPr>
              <w:t xml:space="preserve">. . . dan apabila kemudian </w:t>
            </w:r>
            <w:r w:rsidRPr="003A4252">
              <w:rPr>
                <w:rFonts w:ascii="Garamond" w:hAnsi="Garamond"/>
                <w:u w:val="single"/>
              </w:rPr>
              <w:t xml:space="preserve">roh cemburu </w:t>
            </w:r>
            <w:r>
              <w:rPr>
                <w:rFonts w:ascii="Garamond" w:hAnsi="Garamond"/>
              </w:rPr>
              <w:t>menguasai suami itu, . . .</w:t>
            </w:r>
          </w:p>
          <w:p w:rsidR="003A4252" w:rsidRDefault="003A4252" w:rsidP="00262732">
            <w:pPr>
              <w:spacing w:line="360" w:lineRule="auto"/>
              <w:jc w:val="both"/>
              <w:rPr>
                <w:rFonts w:ascii="Garamond" w:hAnsi="Garamond"/>
              </w:rPr>
            </w:pPr>
          </w:p>
          <w:p w:rsidR="003A4252" w:rsidRDefault="003A4252" w:rsidP="00262732">
            <w:pPr>
              <w:spacing w:line="360" w:lineRule="auto"/>
              <w:jc w:val="both"/>
              <w:rPr>
                <w:rFonts w:ascii="Garamond" w:hAnsi="Garamond"/>
              </w:rPr>
            </w:pPr>
            <w:r>
              <w:rPr>
                <w:rFonts w:ascii="Garamond" w:hAnsi="Garamond"/>
              </w:rPr>
              <w:t>BHS</w:t>
            </w:r>
          </w:p>
          <w:p w:rsidR="003A4252" w:rsidRDefault="003A4252" w:rsidP="00262732">
            <w:pPr>
              <w:spacing w:line="360" w:lineRule="auto"/>
              <w:jc w:val="both"/>
              <w:rPr>
                <w:rFonts w:ascii="Garamond" w:hAnsi="Garamond"/>
              </w:rPr>
            </w:pPr>
            <w:r>
              <w:rPr>
                <w:rFonts w:ascii="SBL Hebrew" w:hAnsi="SBL Hebrew" w:cs="SBL Hebrew"/>
                <w:sz w:val="28"/>
                <w:szCs w:val="28"/>
                <w:rtl/>
                <w:lang w:val="en-US" w:bidi="he-IL"/>
              </w:rPr>
              <w:t xml:space="preserve">וְעָבַ֙ר עָלָ֧יו </w:t>
            </w:r>
            <w:r w:rsidRPr="003A4252">
              <w:rPr>
                <w:rFonts w:ascii="SBL Hebrew" w:hAnsi="SBL Hebrew" w:cs="SBL Hebrew"/>
                <w:sz w:val="28"/>
                <w:szCs w:val="28"/>
                <w:u w:val="single"/>
                <w:rtl/>
                <w:lang w:val="en-US" w:bidi="he-IL"/>
              </w:rPr>
              <w:t>רֽוּחַ־</w:t>
            </w:r>
            <w:r w:rsidRPr="003A4252">
              <w:rPr>
                <w:rFonts w:ascii="SBL Hebrew" w:hAnsi="SBL Hebrew" w:cs="SBL Hebrew"/>
                <w:sz w:val="28"/>
                <w:szCs w:val="28"/>
                <w:u w:val="single"/>
                <w:rtl/>
                <w:lang w:val="en-US" w:bidi="he-IL"/>
              </w:rPr>
              <w:lastRenderedPageBreak/>
              <w:t>קִנְאָ֛ה</w:t>
            </w:r>
            <w:r>
              <w:rPr>
                <w:rFonts w:ascii="SBL Hebrew" w:hAnsi="SBL Hebrew" w:cs="SBL Hebrew"/>
                <w:sz w:val="28"/>
                <w:szCs w:val="28"/>
                <w:rtl/>
                <w:lang w:val="en-US" w:bidi="he-IL"/>
              </w:rPr>
              <w:t xml:space="preserve"> וְקִנֵּ֥א אֶת־אִשְׁתּ֖וֹ</w:t>
            </w:r>
            <w:r>
              <w:rPr>
                <w:rFonts w:ascii="Arial" w:hAnsi="Arial" w:cs="Arial"/>
                <w:sz w:val="20"/>
                <w:rtl/>
                <w:lang w:val="en-US" w:bidi="he-IL"/>
              </w:rPr>
              <w:t xml:space="preserve"> </w:t>
            </w:r>
          </w:p>
        </w:tc>
        <w:tc>
          <w:tcPr>
            <w:tcW w:w="1915" w:type="dxa"/>
            <w:vAlign w:val="center"/>
          </w:tcPr>
          <w:p w:rsidR="00262732" w:rsidRDefault="003A4252" w:rsidP="00262732">
            <w:pPr>
              <w:spacing w:line="360" w:lineRule="auto"/>
              <w:jc w:val="both"/>
              <w:rPr>
                <w:rFonts w:ascii="Garamond" w:hAnsi="Garamond"/>
              </w:rPr>
            </w:pPr>
            <w:r>
              <w:rPr>
                <w:rFonts w:ascii="Garamond" w:hAnsi="Garamond"/>
              </w:rPr>
              <w:lastRenderedPageBreak/>
              <w:t>TB-LAI</w:t>
            </w:r>
          </w:p>
          <w:p w:rsidR="003A4252" w:rsidRDefault="003A4252" w:rsidP="00262732">
            <w:pPr>
              <w:spacing w:line="360" w:lineRule="auto"/>
              <w:jc w:val="both"/>
              <w:rPr>
                <w:rFonts w:ascii="Garamond" w:hAnsi="Garamond"/>
              </w:rPr>
            </w:pPr>
            <w:r>
              <w:rPr>
                <w:rFonts w:ascii="Garamond" w:hAnsi="Garamond"/>
              </w:rPr>
              <w:t xml:space="preserve">. . . atau kalau </w:t>
            </w:r>
            <w:r w:rsidRPr="003A4252">
              <w:rPr>
                <w:rFonts w:ascii="Garamond" w:hAnsi="Garamond"/>
                <w:u w:val="single"/>
              </w:rPr>
              <w:t xml:space="preserve">roh cemburu </w:t>
            </w:r>
            <w:r>
              <w:rPr>
                <w:rFonts w:ascii="Garamond" w:hAnsi="Garamond"/>
              </w:rPr>
              <w:t>menguasai seorang laki-laki, . . .</w:t>
            </w:r>
          </w:p>
          <w:p w:rsidR="003A4252" w:rsidRDefault="003A4252" w:rsidP="00262732">
            <w:pPr>
              <w:spacing w:line="360" w:lineRule="auto"/>
              <w:jc w:val="both"/>
              <w:rPr>
                <w:rFonts w:ascii="Garamond" w:hAnsi="Garamond"/>
              </w:rPr>
            </w:pPr>
          </w:p>
          <w:p w:rsidR="003A4252" w:rsidRDefault="003A4252" w:rsidP="00262732">
            <w:pPr>
              <w:spacing w:line="360" w:lineRule="auto"/>
              <w:jc w:val="both"/>
              <w:rPr>
                <w:rFonts w:ascii="Garamond" w:hAnsi="Garamond"/>
              </w:rPr>
            </w:pPr>
            <w:r>
              <w:rPr>
                <w:rFonts w:ascii="Garamond" w:hAnsi="Garamond"/>
              </w:rPr>
              <w:t>BHS</w:t>
            </w:r>
          </w:p>
          <w:p w:rsidR="003A4252" w:rsidRDefault="003A4252" w:rsidP="00262732">
            <w:pPr>
              <w:spacing w:line="360" w:lineRule="auto"/>
              <w:jc w:val="both"/>
              <w:rPr>
                <w:rFonts w:ascii="Garamond" w:hAnsi="Garamond"/>
              </w:rPr>
            </w:pPr>
            <w:r>
              <w:rPr>
                <w:rFonts w:ascii="SBL Hebrew" w:hAnsi="SBL Hebrew" w:cs="SBL Hebrew"/>
                <w:sz w:val="28"/>
                <w:szCs w:val="28"/>
                <w:rtl/>
                <w:lang w:val="en-US" w:bidi="he-IL"/>
              </w:rPr>
              <w:t xml:space="preserve">א֣וֹ אִ֗ישׁ אֲשֶׁ֙ר </w:t>
            </w:r>
            <w:r>
              <w:rPr>
                <w:rFonts w:ascii="SBL Hebrew" w:hAnsi="SBL Hebrew" w:cs="SBL Hebrew"/>
                <w:sz w:val="28"/>
                <w:szCs w:val="28"/>
                <w:rtl/>
                <w:lang w:val="en-US" w:bidi="he-IL"/>
              </w:rPr>
              <w:lastRenderedPageBreak/>
              <w:t xml:space="preserve">תַּעֲבֹ֥ר עָלָ֛יו </w:t>
            </w:r>
            <w:r w:rsidRPr="003A4252">
              <w:rPr>
                <w:rFonts w:ascii="SBL Hebrew" w:hAnsi="SBL Hebrew" w:cs="SBL Hebrew"/>
                <w:sz w:val="28"/>
                <w:szCs w:val="28"/>
                <w:u w:val="single"/>
                <w:rtl/>
                <w:lang w:val="en-US" w:bidi="he-IL"/>
              </w:rPr>
              <w:t>ר֥וּחַ</w:t>
            </w:r>
            <w:r>
              <w:rPr>
                <w:rFonts w:ascii="SBL Hebrew" w:hAnsi="SBL Hebrew" w:cs="SBL Hebrew"/>
                <w:sz w:val="28"/>
                <w:szCs w:val="28"/>
                <w:rtl/>
                <w:lang w:val="en-US" w:bidi="he-IL"/>
              </w:rPr>
              <w:t xml:space="preserve"> </w:t>
            </w:r>
            <w:r w:rsidRPr="003A4252">
              <w:rPr>
                <w:rFonts w:ascii="SBL Hebrew" w:hAnsi="SBL Hebrew" w:cs="SBL Hebrew"/>
                <w:sz w:val="28"/>
                <w:szCs w:val="28"/>
                <w:u w:val="single"/>
                <w:rtl/>
                <w:lang w:val="en-US" w:bidi="he-IL"/>
              </w:rPr>
              <w:t>קִנְאָ֖ה</w:t>
            </w:r>
            <w:r w:rsidRPr="003A4252">
              <w:rPr>
                <w:rFonts w:ascii="Arial" w:hAnsi="Arial" w:cs="Arial"/>
                <w:sz w:val="20"/>
                <w:u w:val="single"/>
                <w:rtl/>
                <w:lang w:val="en-US" w:bidi="he-IL"/>
              </w:rPr>
              <w:t xml:space="preserve"> </w:t>
            </w:r>
          </w:p>
        </w:tc>
        <w:tc>
          <w:tcPr>
            <w:tcW w:w="1916" w:type="dxa"/>
            <w:vAlign w:val="center"/>
          </w:tcPr>
          <w:p w:rsidR="00262732" w:rsidRDefault="003A4252" w:rsidP="00262732">
            <w:pPr>
              <w:spacing w:line="360" w:lineRule="auto"/>
              <w:jc w:val="both"/>
              <w:rPr>
                <w:rFonts w:ascii="Garamond" w:hAnsi="Garamond"/>
              </w:rPr>
            </w:pPr>
            <w:r>
              <w:rPr>
                <w:rFonts w:ascii="Garamond" w:hAnsi="Garamond"/>
              </w:rPr>
              <w:lastRenderedPageBreak/>
              <w:t>TB-LAI</w:t>
            </w:r>
          </w:p>
          <w:p w:rsidR="003A4252" w:rsidRDefault="003A4252" w:rsidP="00262732">
            <w:pPr>
              <w:spacing w:line="360" w:lineRule="auto"/>
              <w:jc w:val="both"/>
              <w:rPr>
                <w:rFonts w:ascii="Garamond" w:hAnsi="Garamond"/>
              </w:rPr>
            </w:pPr>
            <w:r>
              <w:rPr>
                <w:rFonts w:ascii="Garamond" w:hAnsi="Garamond"/>
              </w:rPr>
              <w:t xml:space="preserve">Tetapi </w:t>
            </w:r>
            <w:r w:rsidRPr="003A4252">
              <w:rPr>
                <w:rFonts w:ascii="Garamond" w:hAnsi="Garamond"/>
                <w:u w:val="single"/>
              </w:rPr>
              <w:t>roh jahat</w:t>
            </w:r>
            <w:r>
              <w:rPr>
                <w:rFonts w:ascii="Garamond" w:hAnsi="Garamond"/>
              </w:rPr>
              <w:t xml:space="preserve"> yang dari pada TUHAN hinggap pada Saul, . . .</w:t>
            </w:r>
          </w:p>
          <w:p w:rsidR="003A4252" w:rsidRDefault="003A4252" w:rsidP="00262732">
            <w:pPr>
              <w:spacing w:line="360" w:lineRule="auto"/>
              <w:jc w:val="both"/>
              <w:rPr>
                <w:rFonts w:ascii="Garamond" w:hAnsi="Garamond"/>
              </w:rPr>
            </w:pPr>
          </w:p>
          <w:p w:rsidR="003A4252" w:rsidRDefault="003A4252" w:rsidP="00262732">
            <w:pPr>
              <w:spacing w:line="360" w:lineRule="auto"/>
              <w:jc w:val="both"/>
              <w:rPr>
                <w:rFonts w:ascii="Garamond" w:hAnsi="Garamond"/>
              </w:rPr>
            </w:pPr>
            <w:r>
              <w:rPr>
                <w:rFonts w:ascii="Garamond" w:hAnsi="Garamond"/>
              </w:rPr>
              <w:t>BHS</w:t>
            </w:r>
          </w:p>
          <w:p w:rsidR="003A4252" w:rsidRDefault="003A4252" w:rsidP="00262732">
            <w:pPr>
              <w:spacing w:line="360" w:lineRule="auto"/>
              <w:jc w:val="both"/>
              <w:rPr>
                <w:rFonts w:ascii="Garamond" w:hAnsi="Garamond"/>
              </w:rPr>
            </w:pPr>
            <w:r>
              <w:rPr>
                <w:rFonts w:ascii="SBL Hebrew" w:hAnsi="SBL Hebrew" w:cs="SBL Hebrew"/>
                <w:sz w:val="28"/>
                <w:szCs w:val="28"/>
                <w:rtl/>
                <w:lang w:val="en-US" w:bidi="he-IL"/>
              </w:rPr>
              <w:t xml:space="preserve">וַתְּהִי֩ </w:t>
            </w:r>
            <w:r w:rsidRPr="00683321">
              <w:rPr>
                <w:rFonts w:ascii="SBL Hebrew" w:hAnsi="SBL Hebrew" w:cs="SBL Hebrew"/>
                <w:sz w:val="28"/>
                <w:szCs w:val="28"/>
                <w:u w:val="single"/>
                <w:rtl/>
                <w:lang w:val="en-US" w:bidi="he-IL"/>
              </w:rPr>
              <w:t>ר֙וּחַ יְהוָ֤ה</w:t>
            </w:r>
            <w:r>
              <w:rPr>
                <w:rFonts w:ascii="SBL Hebrew" w:hAnsi="SBL Hebrew" w:cs="SBL Hebrew"/>
                <w:sz w:val="28"/>
                <w:szCs w:val="28"/>
                <w:rtl/>
                <w:lang w:val="en-US" w:bidi="he-IL"/>
              </w:rPr>
              <w:t xml:space="preserve">׀ </w:t>
            </w:r>
            <w:r w:rsidRPr="00683321">
              <w:rPr>
                <w:rFonts w:ascii="SBL Hebrew" w:hAnsi="SBL Hebrew" w:cs="SBL Hebrew"/>
                <w:sz w:val="28"/>
                <w:szCs w:val="28"/>
                <w:u w:val="single"/>
                <w:rtl/>
                <w:lang w:val="en-US" w:bidi="he-IL"/>
              </w:rPr>
              <w:t>רָעָה֙</w:t>
            </w:r>
            <w:r>
              <w:rPr>
                <w:rFonts w:ascii="SBL Hebrew" w:hAnsi="SBL Hebrew" w:cs="SBL Hebrew"/>
                <w:sz w:val="28"/>
                <w:szCs w:val="28"/>
                <w:rtl/>
                <w:lang w:val="en-US" w:bidi="he-IL"/>
              </w:rPr>
              <w:t xml:space="preserve"> אֶל־שָׁא֔וּל</w:t>
            </w:r>
            <w:r>
              <w:rPr>
                <w:rFonts w:ascii="Arial" w:hAnsi="Arial" w:cs="Arial"/>
                <w:sz w:val="20"/>
                <w:rtl/>
                <w:lang w:val="en-US" w:bidi="he-IL"/>
              </w:rPr>
              <w:t xml:space="preserve"> </w:t>
            </w:r>
          </w:p>
        </w:tc>
      </w:tr>
    </w:tbl>
    <w:p w:rsidR="002D7513" w:rsidRDefault="00DB5474" w:rsidP="00262732">
      <w:pPr>
        <w:spacing w:line="360" w:lineRule="auto"/>
        <w:jc w:val="both"/>
        <w:rPr>
          <w:rFonts w:ascii="Garamond" w:hAnsi="Garamond" w:cs="Garamond"/>
        </w:rPr>
      </w:pPr>
      <w:r>
        <w:rPr>
          <w:rFonts w:ascii="Garamond" w:hAnsi="Garamond"/>
        </w:rPr>
        <w:lastRenderedPageBreak/>
        <w:t xml:space="preserve"> </w:t>
      </w:r>
      <w:r w:rsidR="00A9219B">
        <w:rPr>
          <w:rFonts w:ascii="Garamond" w:hAnsi="Garamond" w:cs="Garamond"/>
        </w:rPr>
        <w:t xml:space="preserve"> </w:t>
      </w:r>
      <w:r w:rsidR="002D7513">
        <w:rPr>
          <w:rFonts w:ascii="Garamond" w:hAnsi="Garamond" w:cs="Garamond"/>
        </w:rPr>
        <w:t xml:space="preserve"> </w:t>
      </w:r>
    </w:p>
    <w:p w:rsidR="00683321" w:rsidRPr="00683321" w:rsidRDefault="00683321" w:rsidP="00683321">
      <w:pPr>
        <w:spacing w:line="360" w:lineRule="auto"/>
        <w:ind w:firstLine="720"/>
        <w:jc w:val="both"/>
        <w:rPr>
          <w:rFonts w:ascii="Garamond" w:hAnsi="Garamond"/>
        </w:rPr>
      </w:pPr>
      <w:r>
        <w:rPr>
          <w:rFonts w:ascii="Garamond" w:hAnsi="Garamond"/>
        </w:rPr>
        <w:t xml:space="preserve">Lantas bagaimana memahami </w:t>
      </w:r>
      <w:r>
        <w:rPr>
          <w:rFonts w:ascii="Garamond" w:hAnsi="Garamond"/>
          <w:i/>
        </w:rPr>
        <w:t xml:space="preserve">a different spirit </w:t>
      </w:r>
      <w:r>
        <w:rPr>
          <w:rFonts w:ascii="Garamond" w:hAnsi="Garamond"/>
        </w:rPr>
        <w:t xml:space="preserve">yang terdapat dalam diri Kaleb? Dari perbandingan di atas, dapat dilihat bahwa </w:t>
      </w:r>
      <w:r>
        <w:rPr>
          <w:rFonts w:ascii="Garamond" w:hAnsi="Garamond"/>
          <w:i/>
        </w:rPr>
        <w:t>a different spirit</w:t>
      </w:r>
      <w:r>
        <w:rPr>
          <w:rFonts w:ascii="Garamond" w:hAnsi="Garamond"/>
        </w:rPr>
        <w:t xml:space="preserve"> yang terdapat dalam diri Kaleb</w:t>
      </w:r>
      <w:r w:rsidR="00A7339D">
        <w:rPr>
          <w:rFonts w:ascii="Garamond" w:hAnsi="Garamond"/>
        </w:rPr>
        <w:t xml:space="preserve"> jelas</w:t>
      </w:r>
      <w:r>
        <w:rPr>
          <w:rFonts w:ascii="Garamond" w:hAnsi="Garamond"/>
        </w:rPr>
        <w:t xml:space="preserve"> bukan merujuk kepada roh jahat dan bahkan roh cemburu. Bila merujuk kepada </w:t>
      </w:r>
      <w:r>
        <w:rPr>
          <w:rFonts w:ascii="Garamond" w:hAnsi="Garamond"/>
          <w:i/>
        </w:rPr>
        <w:t xml:space="preserve">setting </w:t>
      </w:r>
      <w:r>
        <w:rPr>
          <w:rFonts w:ascii="Garamond" w:hAnsi="Garamond"/>
        </w:rPr>
        <w:t xml:space="preserve">Bilangan 13-14 di atas, maka kontras yang diperoleh atas </w:t>
      </w:r>
      <w:r w:rsidRPr="007F07A0">
        <w:rPr>
          <w:rFonts w:ascii="Garamond" w:hAnsi="Garamond"/>
          <w:i/>
        </w:rPr>
        <w:t>r</w:t>
      </w:r>
      <w:r w:rsidRPr="007F07A0">
        <w:rPr>
          <w:rFonts w:ascii="Garamond" w:hAnsi="Garamond" w:cs="Garamond"/>
          <w:i/>
        </w:rPr>
        <w:t>û</w:t>
      </w:r>
      <w:r w:rsidRPr="007F07A0">
        <w:rPr>
          <w:rFonts w:ascii="Garamond" w:hAnsi="Garamond"/>
          <w:i/>
        </w:rPr>
        <w:t>a</w:t>
      </w:r>
      <w:r w:rsidRPr="007F07A0">
        <w:rPr>
          <w:i/>
        </w:rPr>
        <w:t>ḥ</w:t>
      </w:r>
      <w:r>
        <w:t xml:space="preserve"> </w:t>
      </w:r>
      <w:r>
        <w:rPr>
          <w:rFonts w:ascii="Garamond" w:hAnsi="Garamond"/>
        </w:rPr>
        <w:t xml:space="preserve">yang dimiliki oleh Kaleb adalah </w:t>
      </w:r>
      <w:r w:rsidRPr="007F07A0">
        <w:rPr>
          <w:rFonts w:ascii="Garamond" w:hAnsi="Garamond"/>
          <w:i/>
        </w:rPr>
        <w:t>r</w:t>
      </w:r>
      <w:r w:rsidRPr="007F07A0">
        <w:rPr>
          <w:rFonts w:ascii="Garamond" w:hAnsi="Garamond" w:cs="Garamond"/>
          <w:i/>
        </w:rPr>
        <w:t>û</w:t>
      </w:r>
      <w:r w:rsidRPr="007F07A0">
        <w:rPr>
          <w:rFonts w:ascii="Garamond" w:hAnsi="Garamond"/>
          <w:i/>
        </w:rPr>
        <w:t>a</w:t>
      </w:r>
      <w:r w:rsidRPr="007F07A0">
        <w:rPr>
          <w:i/>
        </w:rPr>
        <w:t>ḥ</w:t>
      </w:r>
      <w:r>
        <w:rPr>
          <w:i/>
        </w:rPr>
        <w:t xml:space="preserve"> </w:t>
      </w:r>
      <w:r>
        <w:rPr>
          <w:rFonts w:ascii="Garamond" w:hAnsi="Garamond"/>
        </w:rPr>
        <w:t xml:space="preserve">yang tidak menyesatkan umat Israel dengan kabar busuk, bukan </w:t>
      </w:r>
      <w:r w:rsidRPr="007F07A0">
        <w:rPr>
          <w:rFonts w:ascii="Garamond" w:hAnsi="Garamond"/>
          <w:i/>
        </w:rPr>
        <w:t>r</w:t>
      </w:r>
      <w:r w:rsidRPr="007F07A0">
        <w:rPr>
          <w:rFonts w:ascii="Garamond" w:hAnsi="Garamond" w:cs="Garamond"/>
          <w:i/>
        </w:rPr>
        <w:t>û</w:t>
      </w:r>
      <w:r w:rsidRPr="007F07A0">
        <w:rPr>
          <w:rFonts w:ascii="Garamond" w:hAnsi="Garamond"/>
          <w:i/>
        </w:rPr>
        <w:t>a</w:t>
      </w:r>
      <w:r w:rsidRPr="007F07A0">
        <w:rPr>
          <w:i/>
        </w:rPr>
        <w:t>ḥ</w:t>
      </w:r>
      <w:r>
        <w:t xml:space="preserve"> </w:t>
      </w:r>
      <w:r>
        <w:rPr>
          <w:rFonts w:ascii="Garamond" w:hAnsi="Garamond"/>
        </w:rPr>
        <w:t xml:space="preserve">yang memberontak kepada Tuhan oleh karena ketidakpercayaan terhadap kuasa Tuhan, </w:t>
      </w:r>
      <w:r w:rsidR="00A7339D">
        <w:rPr>
          <w:rFonts w:ascii="Garamond" w:hAnsi="Garamond"/>
        </w:rPr>
        <w:t>dan juga</w:t>
      </w:r>
      <w:r>
        <w:rPr>
          <w:rFonts w:ascii="Garamond" w:hAnsi="Garamond"/>
        </w:rPr>
        <w:t xml:space="preserve"> bukan </w:t>
      </w:r>
      <w:r w:rsidRPr="007F07A0">
        <w:rPr>
          <w:rFonts w:ascii="Garamond" w:hAnsi="Garamond"/>
          <w:i/>
        </w:rPr>
        <w:t>r</w:t>
      </w:r>
      <w:r w:rsidRPr="007F07A0">
        <w:rPr>
          <w:rFonts w:ascii="Garamond" w:hAnsi="Garamond" w:cs="Garamond"/>
          <w:i/>
        </w:rPr>
        <w:t>û</w:t>
      </w:r>
      <w:r w:rsidRPr="007F07A0">
        <w:rPr>
          <w:rFonts w:ascii="Garamond" w:hAnsi="Garamond"/>
          <w:i/>
        </w:rPr>
        <w:t>a</w:t>
      </w:r>
      <w:r w:rsidRPr="007F07A0">
        <w:rPr>
          <w:i/>
        </w:rPr>
        <w:t>ḥ</w:t>
      </w:r>
      <w:r>
        <w:t xml:space="preserve"> </w:t>
      </w:r>
      <w:r>
        <w:rPr>
          <w:rFonts w:ascii="Garamond" w:hAnsi="Garamond"/>
        </w:rPr>
        <w:t xml:space="preserve">yang tidak percaya kepada janji Tuhan terhadap umat Israel. </w:t>
      </w:r>
      <w:r w:rsidRPr="007F07A0">
        <w:rPr>
          <w:rFonts w:ascii="Garamond" w:hAnsi="Garamond"/>
          <w:i/>
        </w:rPr>
        <w:t>r</w:t>
      </w:r>
      <w:r w:rsidRPr="007F07A0">
        <w:rPr>
          <w:rFonts w:ascii="Garamond" w:hAnsi="Garamond" w:cs="Garamond"/>
          <w:i/>
        </w:rPr>
        <w:t>û</w:t>
      </w:r>
      <w:r w:rsidRPr="007F07A0">
        <w:rPr>
          <w:rFonts w:ascii="Garamond" w:hAnsi="Garamond"/>
          <w:i/>
        </w:rPr>
        <w:t>a</w:t>
      </w:r>
      <w:r w:rsidRPr="007F07A0">
        <w:rPr>
          <w:i/>
        </w:rPr>
        <w:t>ḥ</w:t>
      </w:r>
      <w:r>
        <w:t xml:space="preserve"> </w:t>
      </w:r>
      <w:r>
        <w:rPr>
          <w:rFonts w:ascii="Garamond" w:hAnsi="Garamond"/>
        </w:rPr>
        <w:t xml:space="preserve">Kaleb merupakan </w:t>
      </w:r>
      <w:r w:rsidRPr="007F07A0">
        <w:rPr>
          <w:rFonts w:ascii="Garamond" w:hAnsi="Garamond"/>
          <w:i/>
        </w:rPr>
        <w:t>r</w:t>
      </w:r>
      <w:r w:rsidRPr="007F07A0">
        <w:rPr>
          <w:rFonts w:ascii="Garamond" w:hAnsi="Garamond" w:cs="Garamond"/>
          <w:i/>
        </w:rPr>
        <w:t>û</w:t>
      </w:r>
      <w:r w:rsidRPr="007F07A0">
        <w:rPr>
          <w:rFonts w:ascii="Garamond" w:hAnsi="Garamond"/>
          <w:i/>
        </w:rPr>
        <w:t>a</w:t>
      </w:r>
      <w:r w:rsidRPr="007F07A0">
        <w:rPr>
          <w:i/>
        </w:rPr>
        <w:t>ḥ</w:t>
      </w:r>
      <w:r>
        <w:rPr>
          <w:i/>
        </w:rPr>
        <w:t xml:space="preserve"> </w:t>
      </w:r>
      <w:r>
        <w:rPr>
          <w:rFonts w:ascii="Garamond" w:hAnsi="Garamond"/>
        </w:rPr>
        <w:t xml:space="preserve">yang lain, yaitu </w:t>
      </w:r>
      <w:r w:rsidRPr="007F07A0">
        <w:rPr>
          <w:rFonts w:ascii="Garamond" w:hAnsi="Garamond"/>
          <w:i/>
        </w:rPr>
        <w:t>r</w:t>
      </w:r>
      <w:r w:rsidRPr="007F07A0">
        <w:rPr>
          <w:rFonts w:ascii="Garamond" w:hAnsi="Garamond" w:cs="Garamond"/>
          <w:i/>
        </w:rPr>
        <w:t>û</w:t>
      </w:r>
      <w:r w:rsidRPr="007F07A0">
        <w:rPr>
          <w:rFonts w:ascii="Garamond" w:hAnsi="Garamond"/>
          <w:i/>
        </w:rPr>
        <w:t>a</w:t>
      </w:r>
      <w:r w:rsidRPr="007F07A0">
        <w:rPr>
          <w:i/>
        </w:rPr>
        <w:t>ḥ</w:t>
      </w:r>
      <w:r>
        <w:rPr>
          <w:i/>
        </w:rPr>
        <w:t xml:space="preserve"> </w:t>
      </w:r>
      <w:r>
        <w:rPr>
          <w:rFonts w:ascii="Garamond" w:hAnsi="Garamond"/>
        </w:rPr>
        <w:t>teguh percaya kepada Tuhan dan janji yang telah Ia berikan kepada umat Israel.</w:t>
      </w:r>
      <w:r w:rsidR="00394ED5">
        <w:rPr>
          <w:rFonts w:ascii="Garamond" w:hAnsi="Garamond"/>
        </w:rPr>
        <w:t xml:space="preserve"> Itulah </w:t>
      </w:r>
      <w:r w:rsidR="00394ED5">
        <w:rPr>
          <w:rFonts w:ascii="Garamond" w:hAnsi="Garamond"/>
          <w:i/>
        </w:rPr>
        <w:t>a different spirit</w:t>
      </w:r>
      <w:r w:rsidR="00394ED5">
        <w:rPr>
          <w:rFonts w:ascii="Garamond" w:hAnsi="Garamond"/>
        </w:rPr>
        <w:t xml:space="preserve"> dalam diri Kaleb. </w:t>
      </w:r>
      <w:r>
        <w:rPr>
          <w:rFonts w:ascii="Garamond" w:hAnsi="Garamond"/>
        </w:rPr>
        <w:t xml:space="preserve"> </w:t>
      </w:r>
      <w:r>
        <w:t xml:space="preserve"> </w:t>
      </w:r>
      <w:r>
        <w:rPr>
          <w:rFonts w:ascii="Garamond" w:hAnsi="Garamond"/>
        </w:rPr>
        <w:t xml:space="preserve">    </w:t>
      </w:r>
    </w:p>
    <w:p w:rsidR="00F554B4" w:rsidRPr="000D313C" w:rsidRDefault="00BB0050" w:rsidP="00F554B4">
      <w:pPr>
        <w:pStyle w:val="ListParagraph"/>
        <w:numPr>
          <w:ilvl w:val="0"/>
          <w:numId w:val="2"/>
        </w:numPr>
        <w:spacing w:line="360" w:lineRule="auto"/>
        <w:jc w:val="both"/>
        <w:rPr>
          <w:rFonts w:ascii="Garamond" w:hAnsi="Garamond"/>
          <w:b/>
        </w:rPr>
      </w:pPr>
      <w:r w:rsidRPr="000D313C">
        <w:rPr>
          <w:rFonts w:ascii="Garamond" w:hAnsi="Garamond"/>
          <w:b/>
        </w:rPr>
        <w:t>M</w:t>
      </w:r>
      <w:r w:rsidR="00CE1860" w:rsidRPr="000D313C">
        <w:rPr>
          <w:rFonts w:ascii="Garamond" w:hAnsi="Garamond"/>
          <w:b/>
        </w:rPr>
        <w:t>engikut Aku dengan sepenuhnya</w:t>
      </w:r>
    </w:p>
    <w:p w:rsidR="008E72A4" w:rsidRDefault="00710B93" w:rsidP="00710B93">
      <w:pPr>
        <w:spacing w:line="360" w:lineRule="auto"/>
        <w:ind w:firstLine="720"/>
        <w:jc w:val="both"/>
        <w:rPr>
          <w:rFonts w:ascii="Garamond" w:hAnsi="Garamond"/>
        </w:rPr>
      </w:pPr>
      <w:r>
        <w:rPr>
          <w:rFonts w:ascii="Garamond" w:hAnsi="Garamond"/>
        </w:rPr>
        <w:t xml:space="preserve">Kata yang digunakan untuk menerangkan poin ini adalah </w:t>
      </w:r>
      <w:r w:rsidR="006264E6" w:rsidRPr="006264E6">
        <w:rPr>
          <w:rFonts w:ascii="SBL Hebrew" w:hAnsi="SBL Hebrew" w:cs="SBL Hebrew"/>
          <w:szCs w:val="24"/>
          <w:rtl/>
          <w:lang w:val="en-US" w:bidi="he-IL"/>
        </w:rPr>
        <w:t>וַיְמַלֵּ֖א אַחֲרָ֑י</w:t>
      </w:r>
      <w:r w:rsidR="006264E6" w:rsidRPr="006264E6">
        <w:rPr>
          <w:rFonts w:ascii="Bwhebb" w:hAnsi="Bwhebb"/>
          <w:sz w:val="28"/>
        </w:rPr>
        <w:t xml:space="preserve"> </w:t>
      </w:r>
      <w:r>
        <w:rPr>
          <w:rFonts w:ascii="Garamond" w:hAnsi="Garamond"/>
        </w:rPr>
        <w:t xml:space="preserve">(dibaca: </w:t>
      </w:r>
      <w:r w:rsidRPr="007F07A0">
        <w:rPr>
          <w:rFonts w:ascii="Garamond" w:hAnsi="Garamond"/>
          <w:i/>
        </w:rPr>
        <w:t>waymall</w:t>
      </w:r>
      <w:r w:rsidRPr="007F07A0">
        <w:rPr>
          <w:rFonts w:ascii="Garamond" w:hAnsi="Garamond" w:cs="Garamond"/>
          <w:i/>
        </w:rPr>
        <w:t>ē</w:t>
      </w:r>
      <w:r w:rsidRPr="007F07A0">
        <w:rPr>
          <w:i/>
        </w:rPr>
        <w:t>ʾ</w:t>
      </w:r>
      <w:r w:rsidRPr="007F07A0">
        <w:rPr>
          <w:rFonts w:ascii="Garamond" w:hAnsi="Garamond"/>
          <w:i/>
        </w:rPr>
        <w:t xml:space="preserve"> </w:t>
      </w:r>
      <w:r w:rsidRPr="007F07A0">
        <w:rPr>
          <w:i/>
        </w:rPr>
        <w:t>ʾ</w:t>
      </w:r>
      <w:r w:rsidRPr="007F07A0">
        <w:rPr>
          <w:rFonts w:ascii="Garamond" w:hAnsi="Garamond"/>
          <w:i/>
        </w:rPr>
        <w:t>a</w:t>
      </w:r>
      <w:r w:rsidRPr="007F07A0">
        <w:rPr>
          <w:i/>
        </w:rPr>
        <w:t>ḥ</w:t>
      </w:r>
      <w:r w:rsidRPr="007F07A0">
        <w:rPr>
          <w:rFonts w:ascii="Garamond" w:hAnsi="Garamond"/>
          <w:i/>
        </w:rPr>
        <w:t>ărāy</w:t>
      </w:r>
      <w:r>
        <w:rPr>
          <w:rFonts w:ascii="Garamond" w:hAnsi="Garamond"/>
        </w:rPr>
        <w:t xml:space="preserve">). </w:t>
      </w:r>
      <w:r w:rsidR="006264E6">
        <w:rPr>
          <w:rFonts w:ascii="Garamond" w:hAnsi="Garamond"/>
        </w:rPr>
        <w:t>Levine mengartikan dua frasa tersebut dengan arti “</w:t>
      </w:r>
      <w:r w:rsidR="006264E6">
        <w:rPr>
          <w:rFonts w:ascii="Garamond" w:hAnsi="Garamond"/>
          <w:i/>
        </w:rPr>
        <w:t>he followed after me</w:t>
      </w:r>
      <w:r w:rsidR="006264E6">
        <w:rPr>
          <w:rFonts w:ascii="Garamond" w:hAnsi="Garamond"/>
        </w:rPr>
        <w:t>” dalam pengertian satu-satunya yang tersisa/tertinggal atau yang tetap setia ketika mayoritas telah berbalik meninggalkan Tuhan (bdk. Bil. 32:11-12; Ul. 1:36). Misalnya ketika Salomo tidak mengikuti jejak Daud ayahnya (1 Raj. 11:6).</w:t>
      </w:r>
      <w:r w:rsidR="006B79C8">
        <w:rPr>
          <w:rStyle w:val="FootnoteReference"/>
          <w:rFonts w:ascii="Garamond" w:hAnsi="Garamond"/>
        </w:rPr>
        <w:footnoteReference w:id="38"/>
      </w:r>
      <w:r w:rsidR="006264E6">
        <w:rPr>
          <w:rFonts w:ascii="Garamond" w:hAnsi="Garamond"/>
        </w:rPr>
        <w:t xml:space="preserve"> Budd mengartikan dua frasa tersebut dengan arti “</w:t>
      </w:r>
      <w:r w:rsidR="006264E6">
        <w:rPr>
          <w:rFonts w:ascii="Garamond" w:hAnsi="Garamond"/>
          <w:i/>
        </w:rPr>
        <w:t>he has followed me wholeheartedly</w:t>
      </w:r>
      <w:r w:rsidR="006264E6">
        <w:rPr>
          <w:rFonts w:ascii="Garamond" w:hAnsi="Garamond"/>
        </w:rPr>
        <w:t>” dalam kerangka komparasi dengan teks Ulangan 1:36 dan Yosua 14:8.</w:t>
      </w:r>
      <w:r w:rsidR="006B79C8">
        <w:rPr>
          <w:rStyle w:val="FootnoteReference"/>
          <w:rFonts w:ascii="Garamond" w:hAnsi="Garamond"/>
        </w:rPr>
        <w:footnoteReference w:id="39"/>
      </w:r>
    </w:p>
    <w:p w:rsidR="004C1D5A" w:rsidRDefault="00D239C0" w:rsidP="00412D22">
      <w:pPr>
        <w:spacing w:line="360" w:lineRule="auto"/>
        <w:ind w:firstLine="720"/>
        <w:jc w:val="both"/>
        <w:rPr>
          <w:rFonts w:ascii="Garamond" w:hAnsi="Garamond"/>
        </w:rPr>
      </w:pPr>
      <w:r>
        <w:rPr>
          <w:rFonts w:ascii="Garamond" w:hAnsi="Garamond"/>
        </w:rPr>
        <w:t>Dalam</w:t>
      </w:r>
      <w:r w:rsidR="008E72A4">
        <w:rPr>
          <w:rFonts w:ascii="Garamond" w:hAnsi="Garamond"/>
        </w:rPr>
        <w:t xml:space="preserve"> TDOT, secara etimologi kata </w:t>
      </w:r>
      <w:r w:rsidR="009E16C4" w:rsidRPr="007F07A0">
        <w:rPr>
          <w:rFonts w:ascii="Garamond" w:hAnsi="Garamond"/>
          <w:i/>
        </w:rPr>
        <w:t>waymall</w:t>
      </w:r>
      <w:r w:rsidR="009E16C4" w:rsidRPr="007F07A0">
        <w:rPr>
          <w:rFonts w:ascii="Garamond" w:hAnsi="Garamond" w:cs="Garamond"/>
          <w:i/>
        </w:rPr>
        <w:t>ē</w:t>
      </w:r>
      <w:r w:rsidR="009E16C4" w:rsidRPr="007F07A0">
        <w:rPr>
          <w:i/>
        </w:rPr>
        <w:t>ʾ</w:t>
      </w:r>
      <w:r w:rsidR="009E16C4">
        <w:rPr>
          <w:rFonts w:ascii="Garamond" w:hAnsi="Garamond"/>
        </w:rPr>
        <w:t xml:space="preserve"> </w:t>
      </w:r>
      <w:r w:rsidR="008E72A4">
        <w:rPr>
          <w:rFonts w:ascii="Garamond" w:hAnsi="Garamond"/>
        </w:rPr>
        <w:t xml:space="preserve">berasal dari kata </w:t>
      </w:r>
      <w:r w:rsidR="008E72A4">
        <w:rPr>
          <w:rFonts w:ascii="Bwhebb" w:hAnsi="Bwhebb"/>
        </w:rPr>
        <w:t xml:space="preserve">alm </w:t>
      </w:r>
      <w:r w:rsidR="008E72A4">
        <w:rPr>
          <w:rFonts w:ascii="Garamond" w:hAnsi="Garamond"/>
        </w:rPr>
        <w:t xml:space="preserve">yang berarti penuh, secara penuh, genap dan berisi. Kata </w:t>
      </w:r>
      <w:r w:rsidR="009E16C4" w:rsidRPr="007F07A0">
        <w:rPr>
          <w:rFonts w:ascii="Garamond" w:hAnsi="Garamond"/>
          <w:i/>
        </w:rPr>
        <w:t>waymall</w:t>
      </w:r>
      <w:r w:rsidR="009E16C4" w:rsidRPr="007F07A0">
        <w:rPr>
          <w:rFonts w:ascii="Garamond" w:hAnsi="Garamond" w:cs="Garamond"/>
          <w:i/>
        </w:rPr>
        <w:t>ē</w:t>
      </w:r>
      <w:r w:rsidR="009E16C4" w:rsidRPr="007F07A0">
        <w:rPr>
          <w:i/>
        </w:rPr>
        <w:t>ʾ</w:t>
      </w:r>
      <w:r w:rsidR="009E16C4">
        <w:rPr>
          <w:rFonts w:ascii="Garamond" w:hAnsi="Garamond"/>
        </w:rPr>
        <w:t xml:space="preserve"> </w:t>
      </w:r>
      <w:r w:rsidR="008E72A4">
        <w:rPr>
          <w:rFonts w:ascii="Garamond" w:hAnsi="Garamond"/>
        </w:rPr>
        <w:t xml:space="preserve">di sini merupakan kata yang berbentuk </w:t>
      </w:r>
      <w:r w:rsidR="008E72A4">
        <w:rPr>
          <w:rFonts w:ascii="Garamond" w:hAnsi="Garamond"/>
          <w:i/>
        </w:rPr>
        <w:t>piel</w:t>
      </w:r>
      <w:r w:rsidR="008E72A4">
        <w:rPr>
          <w:rFonts w:ascii="Garamond" w:hAnsi="Garamond"/>
        </w:rPr>
        <w:t xml:space="preserve">, yakni mempertegas arti dasar dari kata kerja </w:t>
      </w:r>
      <w:r w:rsidR="008E72A4">
        <w:rPr>
          <w:rFonts w:ascii="Garamond" w:hAnsi="Garamond"/>
          <w:i/>
        </w:rPr>
        <w:t>qal</w:t>
      </w:r>
      <w:r w:rsidR="008E72A4">
        <w:rPr>
          <w:rFonts w:ascii="Garamond" w:hAnsi="Garamond"/>
        </w:rPr>
        <w:t xml:space="preserve"> dan mempertegas suatu tindakan yang dilakukan secara berulang-ulang. </w:t>
      </w:r>
      <w:r w:rsidR="002247FB">
        <w:rPr>
          <w:rFonts w:ascii="Garamond" w:hAnsi="Garamond"/>
        </w:rPr>
        <w:t>Dari prinsip tersebut,</w:t>
      </w:r>
      <w:r w:rsidR="008E72A4">
        <w:rPr>
          <w:rFonts w:ascii="Garamond" w:hAnsi="Garamond"/>
        </w:rPr>
        <w:t xml:space="preserve"> maka kata </w:t>
      </w:r>
      <w:r w:rsidR="009E16C4" w:rsidRPr="007F07A0">
        <w:rPr>
          <w:rFonts w:ascii="Garamond" w:hAnsi="Garamond"/>
          <w:i/>
        </w:rPr>
        <w:t>waymall</w:t>
      </w:r>
      <w:r w:rsidR="009E16C4" w:rsidRPr="007F07A0">
        <w:rPr>
          <w:rFonts w:ascii="Garamond" w:hAnsi="Garamond" w:cs="Garamond"/>
          <w:i/>
        </w:rPr>
        <w:t>ē</w:t>
      </w:r>
      <w:r w:rsidR="009E16C4" w:rsidRPr="007F07A0">
        <w:rPr>
          <w:i/>
        </w:rPr>
        <w:t>ʾ</w:t>
      </w:r>
      <w:r w:rsidR="009E16C4">
        <w:rPr>
          <w:rFonts w:ascii="Garamond" w:hAnsi="Garamond"/>
        </w:rPr>
        <w:t xml:space="preserve"> </w:t>
      </w:r>
      <w:r w:rsidR="008E72A4">
        <w:rPr>
          <w:rFonts w:ascii="Garamond" w:hAnsi="Garamond"/>
        </w:rPr>
        <w:t xml:space="preserve">memiliki arti </w:t>
      </w:r>
      <w:r w:rsidR="008E72A4">
        <w:rPr>
          <w:rFonts w:ascii="Garamond" w:hAnsi="Garamond"/>
          <w:i/>
        </w:rPr>
        <w:t>to fill</w:t>
      </w:r>
      <w:r w:rsidR="008E72A4">
        <w:rPr>
          <w:rFonts w:ascii="Garamond" w:hAnsi="Garamond"/>
        </w:rPr>
        <w:t xml:space="preserve"> – sepenuhnya, benar-benar penuh atau sungguh-sungguh penuh.</w:t>
      </w:r>
      <w:r w:rsidR="009E16C4">
        <w:rPr>
          <w:rFonts w:ascii="Garamond" w:hAnsi="Garamond"/>
        </w:rPr>
        <w:t xml:space="preserve"> </w:t>
      </w:r>
      <w:r w:rsidR="00AE47F5">
        <w:rPr>
          <w:rFonts w:ascii="Garamond" w:hAnsi="Garamond"/>
        </w:rPr>
        <w:t xml:space="preserve">Lantas apakah kepenuhan yang diulangi dalam hal ini? </w:t>
      </w:r>
      <w:r w:rsidR="00514BE9">
        <w:rPr>
          <w:rFonts w:ascii="Garamond" w:hAnsi="Garamond"/>
        </w:rPr>
        <w:t xml:space="preserve">Pengulangan atau kata yang dipertegas dengan status </w:t>
      </w:r>
      <w:r w:rsidR="00514BE9">
        <w:rPr>
          <w:rFonts w:ascii="Garamond" w:hAnsi="Garamond"/>
          <w:i/>
        </w:rPr>
        <w:t xml:space="preserve">piel </w:t>
      </w:r>
      <w:r w:rsidR="00514BE9">
        <w:rPr>
          <w:rFonts w:ascii="Garamond" w:hAnsi="Garamond"/>
        </w:rPr>
        <w:t xml:space="preserve">di sini merujuk kepada kata </w:t>
      </w:r>
      <w:r w:rsidR="00514BE9">
        <w:rPr>
          <w:rFonts w:ascii="Garamond" w:hAnsi="Garamond"/>
          <w:i/>
        </w:rPr>
        <w:t>a different spirit</w:t>
      </w:r>
      <w:r w:rsidR="00514BE9">
        <w:rPr>
          <w:rFonts w:ascii="Garamond" w:hAnsi="Garamond"/>
        </w:rPr>
        <w:t xml:space="preserve"> yang telah dijel</w:t>
      </w:r>
      <w:r w:rsidR="00696C70">
        <w:rPr>
          <w:rFonts w:ascii="Garamond" w:hAnsi="Garamond"/>
        </w:rPr>
        <w:t xml:space="preserve">askan di atas; kepenuhan tersebut merupakan kepenuhan </w:t>
      </w:r>
      <w:r w:rsidR="00696C70" w:rsidRPr="007F07A0">
        <w:rPr>
          <w:rFonts w:ascii="Garamond" w:hAnsi="Garamond"/>
          <w:i/>
        </w:rPr>
        <w:t>r</w:t>
      </w:r>
      <w:r w:rsidR="00696C70" w:rsidRPr="007F07A0">
        <w:rPr>
          <w:rFonts w:ascii="Garamond" w:hAnsi="Garamond" w:cs="Garamond"/>
          <w:i/>
        </w:rPr>
        <w:t>û</w:t>
      </w:r>
      <w:r w:rsidR="00696C70" w:rsidRPr="007F07A0">
        <w:rPr>
          <w:rFonts w:ascii="Garamond" w:hAnsi="Garamond"/>
          <w:i/>
        </w:rPr>
        <w:t>a</w:t>
      </w:r>
      <w:r w:rsidR="00696C70" w:rsidRPr="007F07A0">
        <w:rPr>
          <w:i/>
        </w:rPr>
        <w:t>ḥ</w:t>
      </w:r>
      <w:r w:rsidR="00696C70">
        <w:rPr>
          <w:i/>
        </w:rPr>
        <w:t xml:space="preserve"> </w:t>
      </w:r>
      <w:r w:rsidR="00696C70" w:rsidRPr="00696C70">
        <w:rPr>
          <w:rFonts w:ascii="Garamond" w:hAnsi="Garamond"/>
        </w:rPr>
        <w:t>Kaleb</w:t>
      </w:r>
      <w:r w:rsidR="00696C70">
        <w:rPr>
          <w:rFonts w:ascii="Garamond" w:hAnsi="Garamond"/>
        </w:rPr>
        <w:t xml:space="preserve"> yang teguh </w:t>
      </w:r>
      <w:r w:rsidR="00696C70">
        <w:rPr>
          <w:rFonts w:ascii="Garamond" w:hAnsi="Garamond"/>
        </w:rPr>
        <w:lastRenderedPageBreak/>
        <w:t>percaya kepada Tuhan dan janji-Nya.</w:t>
      </w:r>
      <w:r w:rsidR="000067A2">
        <w:rPr>
          <w:rStyle w:val="FootnoteReference"/>
          <w:rFonts w:ascii="Garamond" w:hAnsi="Garamond"/>
        </w:rPr>
        <w:footnoteReference w:id="40"/>
      </w:r>
      <w:r w:rsidR="00412D22">
        <w:rPr>
          <w:rFonts w:ascii="Garamond" w:hAnsi="Garamond"/>
        </w:rPr>
        <w:t xml:space="preserve"> Setelah kata </w:t>
      </w:r>
      <w:r w:rsidR="00412D22" w:rsidRPr="007F07A0">
        <w:rPr>
          <w:rFonts w:ascii="Garamond" w:hAnsi="Garamond"/>
          <w:i/>
        </w:rPr>
        <w:t>waymall</w:t>
      </w:r>
      <w:r w:rsidR="00412D22" w:rsidRPr="007F07A0">
        <w:rPr>
          <w:rFonts w:ascii="Garamond" w:hAnsi="Garamond" w:cs="Garamond"/>
          <w:i/>
        </w:rPr>
        <w:t>ē</w:t>
      </w:r>
      <w:r w:rsidR="00412D22" w:rsidRPr="007F07A0">
        <w:rPr>
          <w:i/>
        </w:rPr>
        <w:t>ʾ</w:t>
      </w:r>
      <w:r w:rsidR="00412D22">
        <w:rPr>
          <w:rFonts w:ascii="Garamond" w:hAnsi="Garamond"/>
        </w:rPr>
        <w:t xml:space="preserve">, kemudian disusul oleh kata </w:t>
      </w:r>
      <w:r w:rsidR="00412D22" w:rsidRPr="007F07A0">
        <w:rPr>
          <w:i/>
        </w:rPr>
        <w:t>ʾ</w:t>
      </w:r>
      <w:r w:rsidR="00412D22" w:rsidRPr="007F07A0">
        <w:rPr>
          <w:rFonts w:ascii="Garamond" w:hAnsi="Garamond"/>
          <w:i/>
        </w:rPr>
        <w:t>a</w:t>
      </w:r>
      <w:r w:rsidR="00412D22" w:rsidRPr="007F07A0">
        <w:rPr>
          <w:i/>
        </w:rPr>
        <w:t>ḥ</w:t>
      </w:r>
      <w:r w:rsidR="00412D22" w:rsidRPr="007F07A0">
        <w:rPr>
          <w:rFonts w:ascii="Garamond" w:hAnsi="Garamond"/>
          <w:i/>
        </w:rPr>
        <w:t>ărāy</w:t>
      </w:r>
      <w:r w:rsidR="00412D22">
        <w:rPr>
          <w:rFonts w:ascii="Garamond" w:hAnsi="Garamond"/>
        </w:rPr>
        <w:t xml:space="preserve">; dalam TDOT kata </w:t>
      </w:r>
      <w:r w:rsidR="00412D22" w:rsidRPr="007F07A0">
        <w:rPr>
          <w:i/>
        </w:rPr>
        <w:t>ʾ</w:t>
      </w:r>
      <w:r w:rsidR="00412D22" w:rsidRPr="007F07A0">
        <w:rPr>
          <w:rFonts w:ascii="Garamond" w:hAnsi="Garamond"/>
          <w:i/>
        </w:rPr>
        <w:t>a</w:t>
      </w:r>
      <w:r w:rsidR="00412D22" w:rsidRPr="007F07A0">
        <w:rPr>
          <w:i/>
        </w:rPr>
        <w:t>ḥ</w:t>
      </w:r>
      <w:r w:rsidR="00412D22" w:rsidRPr="007F07A0">
        <w:rPr>
          <w:rFonts w:ascii="Garamond" w:hAnsi="Garamond"/>
          <w:i/>
        </w:rPr>
        <w:t>ărāy</w:t>
      </w:r>
      <w:r w:rsidR="00412D22">
        <w:rPr>
          <w:rFonts w:ascii="Garamond" w:hAnsi="Garamond"/>
          <w:i/>
        </w:rPr>
        <w:t xml:space="preserve"> </w:t>
      </w:r>
      <w:r w:rsidR="00412D22">
        <w:rPr>
          <w:rFonts w:ascii="Garamond" w:hAnsi="Garamond"/>
        </w:rPr>
        <w:t xml:space="preserve">dijelaskan berakar pada kata </w:t>
      </w:r>
      <w:r w:rsidR="00412D22">
        <w:rPr>
          <w:rFonts w:ascii="Bwhebb" w:hAnsi="Bwhebb"/>
        </w:rPr>
        <w:t xml:space="preserve">rxa </w:t>
      </w:r>
      <w:r w:rsidR="00412D22">
        <w:rPr>
          <w:rFonts w:ascii="Garamond" w:hAnsi="Garamond"/>
        </w:rPr>
        <w:t xml:space="preserve">yang berarti di belakang, sesudah, setelah. Kata </w:t>
      </w:r>
      <w:r w:rsidR="00412D22" w:rsidRPr="007F07A0">
        <w:rPr>
          <w:i/>
        </w:rPr>
        <w:t>ʾ</w:t>
      </w:r>
      <w:r w:rsidR="00412D22" w:rsidRPr="007F07A0">
        <w:rPr>
          <w:rFonts w:ascii="Garamond" w:hAnsi="Garamond"/>
          <w:i/>
        </w:rPr>
        <w:t>a</w:t>
      </w:r>
      <w:r w:rsidR="00412D22" w:rsidRPr="007F07A0">
        <w:rPr>
          <w:i/>
        </w:rPr>
        <w:t>ḥ</w:t>
      </w:r>
      <w:r w:rsidR="00412D22" w:rsidRPr="007F07A0">
        <w:rPr>
          <w:rFonts w:ascii="Garamond" w:hAnsi="Garamond"/>
          <w:i/>
        </w:rPr>
        <w:t>ărāy</w:t>
      </w:r>
      <w:r w:rsidR="00412D22">
        <w:rPr>
          <w:rFonts w:ascii="Garamond" w:hAnsi="Garamond"/>
        </w:rPr>
        <w:t xml:space="preserve"> sendiri berbentuk </w:t>
      </w:r>
      <w:r w:rsidR="00412D22">
        <w:rPr>
          <w:rFonts w:ascii="Garamond" w:hAnsi="Garamond"/>
          <w:i/>
        </w:rPr>
        <w:t xml:space="preserve">particle preposition </w:t>
      </w:r>
      <w:r w:rsidR="00412D22" w:rsidRPr="00412D22">
        <w:rPr>
          <w:rFonts w:ascii="Garamond" w:hAnsi="Garamond"/>
        </w:rPr>
        <w:t>suffix</w:t>
      </w:r>
      <w:r w:rsidR="00412D22">
        <w:rPr>
          <w:rFonts w:ascii="Garamond" w:hAnsi="Garamond"/>
        </w:rPr>
        <w:t xml:space="preserve"> orang pertama tunggal yang berarti di belakang-Ku (dalam arti mengikuti).</w:t>
      </w:r>
      <w:r w:rsidR="002247FB">
        <w:rPr>
          <w:rFonts w:ascii="Garamond" w:hAnsi="Garamond"/>
        </w:rPr>
        <w:t xml:space="preserve"> Bila diterjemahkan secara utuh, maka </w:t>
      </w:r>
      <w:r w:rsidR="002247FB" w:rsidRPr="007F07A0">
        <w:rPr>
          <w:rFonts w:ascii="Garamond" w:hAnsi="Garamond"/>
          <w:i/>
        </w:rPr>
        <w:t>waymall</w:t>
      </w:r>
      <w:r w:rsidR="002247FB" w:rsidRPr="007F07A0">
        <w:rPr>
          <w:rFonts w:ascii="Garamond" w:hAnsi="Garamond" w:cs="Garamond"/>
          <w:i/>
        </w:rPr>
        <w:t>ē</w:t>
      </w:r>
      <w:r w:rsidR="002247FB" w:rsidRPr="007F07A0">
        <w:rPr>
          <w:i/>
        </w:rPr>
        <w:t>ʾ</w:t>
      </w:r>
      <w:r w:rsidR="002247FB" w:rsidRPr="007F07A0">
        <w:rPr>
          <w:rFonts w:ascii="Garamond" w:hAnsi="Garamond"/>
          <w:i/>
        </w:rPr>
        <w:t xml:space="preserve"> </w:t>
      </w:r>
      <w:r w:rsidR="002247FB" w:rsidRPr="007F07A0">
        <w:rPr>
          <w:i/>
        </w:rPr>
        <w:t>ʾ</w:t>
      </w:r>
      <w:r w:rsidR="002247FB" w:rsidRPr="007F07A0">
        <w:rPr>
          <w:rFonts w:ascii="Garamond" w:hAnsi="Garamond"/>
          <w:i/>
        </w:rPr>
        <w:t>a</w:t>
      </w:r>
      <w:r w:rsidR="002247FB" w:rsidRPr="007F07A0">
        <w:rPr>
          <w:i/>
        </w:rPr>
        <w:t>ḥ</w:t>
      </w:r>
      <w:r w:rsidR="002247FB" w:rsidRPr="007F07A0">
        <w:rPr>
          <w:rFonts w:ascii="Garamond" w:hAnsi="Garamond"/>
          <w:i/>
        </w:rPr>
        <w:t>ărāy</w:t>
      </w:r>
      <w:r w:rsidR="002247FB">
        <w:rPr>
          <w:rFonts w:ascii="Garamond" w:hAnsi="Garamond"/>
          <w:i/>
        </w:rPr>
        <w:t xml:space="preserve"> </w:t>
      </w:r>
      <w:r w:rsidR="002247FB">
        <w:rPr>
          <w:rFonts w:ascii="Garamond" w:hAnsi="Garamond"/>
        </w:rPr>
        <w:t>merujuk kepada pengertian akan kepatuhan secara sempurna yang menyeluruh, mengikuti dengan segenap hati.</w:t>
      </w:r>
      <w:r w:rsidR="000067A2">
        <w:rPr>
          <w:rStyle w:val="FootnoteReference"/>
          <w:rFonts w:ascii="Garamond" w:hAnsi="Garamond"/>
        </w:rPr>
        <w:footnoteReference w:id="41"/>
      </w:r>
      <w:r w:rsidR="002247FB">
        <w:rPr>
          <w:rFonts w:ascii="Garamond" w:hAnsi="Garamond"/>
        </w:rPr>
        <w:t xml:space="preserve"> Dengan demikian, dapat dilihat bahwa yang hendak ditegaskan oleh Tuhan yang membuat-Nya berkenan kepada Kaleb adalah karena kepenuhan hati dan kesungguh-sungguhan Kaleb dalam mengikuti Tuhan. </w:t>
      </w:r>
    </w:p>
    <w:p w:rsidR="00F554B4" w:rsidRPr="00710B93" w:rsidRDefault="004C1D5A" w:rsidP="00412D22">
      <w:pPr>
        <w:spacing w:line="360" w:lineRule="auto"/>
        <w:ind w:firstLine="720"/>
        <w:jc w:val="both"/>
        <w:rPr>
          <w:rFonts w:ascii="Garamond" w:hAnsi="Garamond"/>
        </w:rPr>
      </w:pPr>
      <w:r>
        <w:rPr>
          <w:rFonts w:ascii="Garamond" w:hAnsi="Garamond"/>
        </w:rPr>
        <w:t xml:space="preserve">Bila merujuk kembali kepada </w:t>
      </w:r>
      <w:r>
        <w:rPr>
          <w:rFonts w:ascii="Garamond" w:hAnsi="Garamond"/>
          <w:i/>
        </w:rPr>
        <w:t>setting</w:t>
      </w:r>
      <w:r>
        <w:t xml:space="preserve"> </w:t>
      </w:r>
      <w:r>
        <w:rPr>
          <w:rFonts w:ascii="Garamond" w:hAnsi="Garamond"/>
        </w:rPr>
        <w:t>di atas, di mana para pengintai yang lain menyampaikan kabar busuk kepada umat Israel dan meyakinkan mereka bahwa umat Israel tidak dapat maju berperang, maka yang terlihat dalam diri para pengintai tersebut dan umat Israel adalah adanya ketidakpenuhan/ketidaksungguhan mengikuti Tuhan. Berbeda hal dengan Kaleb; Bilangan 13:30 bahkan merekam moment di mana hanya Kaleb yang menenteramkan hati bangsa itu dengan menegaskan bahwa mereka akan berjuang dan pasti akan menang.</w:t>
      </w:r>
      <w:r w:rsidR="000067A2">
        <w:rPr>
          <w:rStyle w:val="FootnoteReference"/>
          <w:rFonts w:ascii="Garamond" w:hAnsi="Garamond"/>
        </w:rPr>
        <w:footnoteReference w:id="42"/>
      </w:r>
      <w:r>
        <w:rPr>
          <w:rFonts w:ascii="Garamond" w:hAnsi="Garamond"/>
        </w:rPr>
        <w:t xml:space="preserve"> Alhasil, dengan </w:t>
      </w:r>
      <w:r>
        <w:rPr>
          <w:rFonts w:ascii="Garamond" w:hAnsi="Garamond"/>
          <w:i/>
        </w:rPr>
        <w:t>a different spirit</w:t>
      </w:r>
      <w:r>
        <w:rPr>
          <w:rFonts w:ascii="Garamond" w:hAnsi="Garamond"/>
        </w:rPr>
        <w:t xml:space="preserve"> dan kesungguhan mengikut Tuhan, Kaleb pun mendapatkan janji Tuhan bahwa ia menerima Hebron menjadi milik pusakanya.</w:t>
      </w:r>
      <w:r w:rsidR="000067A2">
        <w:rPr>
          <w:rStyle w:val="FootnoteReference"/>
          <w:rFonts w:ascii="Garamond" w:hAnsi="Garamond"/>
        </w:rPr>
        <w:footnoteReference w:id="43"/>
      </w:r>
      <w:r>
        <w:rPr>
          <w:rFonts w:ascii="Garamond" w:hAnsi="Garamond"/>
        </w:rPr>
        <w:t xml:space="preserve"> Di sisi lain, para pengintai dan umat Israel yang menunjukkan kecondongan hati yang tidak sungguh-sungguh percaya</w:t>
      </w:r>
      <w:r w:rsidR="00E204EE">
        <w:rPr>
          <w:rFonts w:ascii="Garamond" w:hAnsi="Garamond"/>
        </w:rPr>
        <w:t xml:space="preserve"> dan malah berbalik berontak kepada Tuhan</w:t>
      </w:r>
      <w:r>
        <w:rPr>
          <w:rFonts w:ascii="Garamond" w:hAnsi="Garamond"/>
        </w:rPr>
        <w:t xml:space="preserve"> justru mendapatkan hukuman sebagai akibat dari</w:t>
      </w:r>
      <w:r w:rsidR="00E204EE">
        <w:rPr>
          <w:rFonts w:ascii="Garamond" w:hAnsi="Garamond"/>
        </w:rPr>
        <w:t xml:space="preserve"> perilaku mereka. </w:t>
      </w:r>
      <w:r>
        <w:rPr>
          <w:rFonts w:ascii="Garamond" w:hAnsi="Garamond"/>
        </w:rPr>
        <w:t xml:space="preserve">   </w:t>
      </w:r>
      <w:r w:rsidR="00412D22">
        <w:rPr>
          <w:rFonts w:ascii="Garamond" w:hAnsi="Garamond"/>
        </w:rPr>
        <w:t xml:space="preserve">  </w:t>
      </w:r>
      <w:r w:rsidR="00710B93">
        <w:rPr>
          <w:rFonts w:ascii="Garamond" w:hAnsi="Garamond"/>
        </w:rPr>
        <w:t xml:space="preserve"> </w:t>
      </w:r>
      <w:r w:rsidR="00710B93">
        <w:rPr>
          <w:rFonts w:ascii="Bwhebb" w:hAnsi="Bwhebb"/>
        </w:rPr>
        <w:t xml:space="preserve"> </w:t>
      </w:r>
    </w:p>
    <w:p w:rsidR="00530F38" w:rsidRDefault="006B21AC" w:rsidP="00530F38">
      <w:pPr>
        <w:spacing w:line="360" w:lineRule="auto"/>
        <w:jc w:val="both"/>
        <w:rPr>
          <w:rFonts w:ascii="Garamond" w:hAnsi="Garamond"/>
          <w:b/>
        </w:rPr>
      </w:pPr>
      <w:r>
        <w:rPr>
          <w:rFonts w:ascii="Garamond" w:hAnsi="Garamond"/>
          <w:b/>
        </w:rPr>
        <w:t>PENUTUP</w:t>
      </w:r>
    </w:p>
    <w:p w:rsidR="000067A2" w:rsidRPr="00A47212" w:rsidRDefault="00A47212" w:rsidP="00A47212">
      <w:pPr>
        <w:spacing w:line="360" w:lineRule="auto"/>
        <w:ind w:firstLine="720"/>
        <w:jc w:val="both"/>
        <w:rPr>
          <w:rFonts w:ascii="Garamond" w:hAnsi="Garamond"/>
        </w:rPr>
      </w:pPr>
      <w:r>
        <w:rPr>
          <w:rFonts w:ascii="Garamond" w:hAnsi="Garamond"/>
        </w:rPr>
        <w:t xml:space="preserve">Dari penelitian yang dilakukan di atas, maka sebagai penutup, penulis akan menyimpulkan hasil penelitian yang telah diperoleh di atas. Sebagaimana </w:t>
      </w:r>
      <w:r>
        <w:rPr>
          <w:rFonts w:ascii="Garamond" w:hAnsi="Garamond"/>
          <w:i/>
        </w:rPr>
        <w:t>research question</w:t>
      </w:r>
      <w:r>
        <w:rPr>
          <w:rFonts w:ascii="Garamond" w:hAnsi="Garamond"/>
        </w:rPr>
        <w:t xml:space="preserve"> pada bagian awal, dapat dilihat bahwa Kaleb merupakan figur yang “sejajar” dengan Yosua, hanya saja perlu berhati-hati untuk melihat relasi kedua tokoh tersebut karena masing-masing dari mereka mewakili atau merupakan representasi dari sumber dan tradisi yang berbeda. Jadi langkah sang pengkhotbah yang meninggalkan Kaleb dan lebih memandang Yosua jelas keliru. Begitu pun halnya dengan penelitian para ahli yang masih dalam kategori “sedikit sekali” tentang Kaleb. Dalam penelitian yang penulis telah tempuh, penulis menemukan kekayaan jejak iman yang terdapat dalam diri seorang Kaleb bin </w:t>
      </w:r>
      <w:r>
        <w:rPr>
          <w:rFonts w:ascii="Garamond" w:hAnsi="Garamond"/>
        </w:rPr>
        <w:lastRenderedPageBreak/>
        <w:t xml:space="preserve">Yefune, bahwa ia merupakan tokoh sekaligus </w:t>
      </w:r>
      <w:r>
        <w:rPr>
          <w:rFonts w:ascii="Garamond" w:hAnsi="Garamond"/>
          <w:i/>
        </w:rPr>
        <w:t>leader</w:t>
      </w:r>
      <w:r>
        <w:rPr>
          <w:rFonts w:ascii="Garamond" w:hAnsi="Garamond"/>
        </w:rPr>
        <w:t xml:space="preserve"> yang berkualitas; hal ini dibuktikan dengan kajian </w:t>
      </w:r>
      <w:r>
        <w:rPr>
          <w:rFonts w:ascii="Garamond" w:hAnsi="Garamond"/>
          <w:i/>
        </w:rPr>
        <w:t>grammatical analysis</w:t>
      </w:r>
      <w:r>
        <w:rPr>
          <w:rFonts w:ascii="Garamond" w:hAnsi="Garamond"/>
        </w:rPr>
        <w:t xml:space="preserve"> yang memperlihatkan bahwa Kaleb memiliki </w:t>
      </w:r>
      <w:r>
        <w:rPr>
          <w:rFonts w:ascii="Garamond" w:hAnsi="Garamond"/>
          <w:i/>
        </w:rPr>
        <w:t>a different spirit</w:t>
      </w:r>
      <w:r>
        <w:rPr>
          <w:rFonts w:ascii="Garamond" w:hAnsi="Garamond"/>
        </w:rPr>
        <w:t xml:space="preserve"> yang tak sama dengan para pengintai lainnya; </w:t>
      </w:r>
      <w:r w:rsidRPr="007F07A0">
        <w:rPr>
          <w:rFonts w:ascii="Garamond" w:hAnsi="Garamond"/>
          <w:i/>
        </w:rPr>
        <w:t>r</w:t>
      </w:r>
      <w:r w:rsidRPr="007F07A0">
        <w:rPr>
          <w:rFonts w:ascii="Garamond" w:hAnsi="Garamond" w:cs="Garamond"/>
          <w:i/>
        </w:rPr>
        <w:t>û</w:t>
      </w:r>
      <w:r w:rsidRPr="007F07A0">
        <w:rPr>
          <w:rFonts w:ascii="Garamond" w:hAnsi="Garamond"/>
          <w:i/>
        </w:rPr>
        <w:t>a</w:t>
      </w:r>
      <w:r w:rsidRPr="007F07A0">
        <w:rPr>
          <w:i/>
        </w:rPr>
        <w:t>ḥ</w:t>
      </w:r>
      <w:r>
        <w:rPr>
          <w:i/>
        </w:rPr>
        <w:t xml:space="preserve"> </w:t>
      </w:r>
      <w:r>
        <w:rPr>
          <w:rFonts w:ascii="Garamond" w:hAnsi="Garamond"/>
        </w:rPr>
        <w:t xml:space="preserve">seorang Kaleb merupakan </w:t>
      </w:r>
      <w:r w:rsidRPr="007F07A0">
        <w:rPr>
          <w:rFonts w:ascii="Garamond" w:hAnsi="Garamond"/>
          <w:i/>
        </w:rPr>
        <w:t>r</w:t>
      </w:r>
      <w:r w:rsidRPr="007F07A0">
        <w:rPr>
          <w:rFonts w:ascii="Garamond" w:hAnsi="Garamond" w:cs="Garamond"/>
          <w:i/>
        </w:rPr>
        <w:t>û</w:t>
      </w:r>
      <w:r w:rsidRPr="007F07A0">
        <w:rPr>
          <w:rFonts w:ascii="Garamond" w:hAnsi="Garamond"/>
          <w:i/>
        </w:rPr>
        <w:t>a</w:t>
      </w:r>
      <w:r w:rsidRPr="007F07A0">
        <w:rPr>
          <w:i/>
        </w:rPr>
        <w:t>ḥ</w:t>
      </w:r>
      <w:r>
        <w:rPr>
          <w:i/>
        </w:rPr>
        <w:t xml:space="preserve"> </w:t>
      </w:r>
      <w:r>
        <w:rPr>
          <w:rFonts w:ascii="Garamond" w:hAnsi="Garamond"/>
        </w:rPr>
        <w:t xml:space="preserve">yang totalitas percaya dan mengikut Tuhan dengan sungguh-sungguh tanpa ragu. Jadi mestinya, Kaleb janganlah dihiraukan begitu saja dalam ranah penelitian teoritis maupun kajian ilmiah. Kaleb memiliki jejak iman yang patut untuk dibicarakan. </w:t>
      </w:r>
    </w:p>
    <w:p w:rsidR="006B21AC" w:rsidRDefault="006B21AC" w:rsidP="00530F38">
      <w:pPr>
        <w:spacing w:line="360" w:lineRule="auto"/>
        <w:jc w:val="both"/>
        <w:rPr>
          <w:rFonts w:ascii="Garamond" w:hAnsi="Garamond"/>
          <w:b/>
        </w:rPr>
      </w:pPr>
      <w:r>
        <w:rPr>
          <w:rFonts w:ascii="Garamond" w:hAnsi="Garamond"/>
          <w:b/>
        </w:rPr>
        <w:t>BIBLIOGRAFI</w:t>
      </w:r>
    </w:p>
    <w:p w:rsidR="00760689" w:rsidRPr="00760689" w:rsidRDefault="00760689" w:rsidP="00760689">
      <w:pPr>
        <w:pStyle w:val="Bibliography"/>
        <w:rPr>
          <w:rFonts w:ascii="Garamond" w:hAnsi="Garamond"/>
        </w:rPr>
      </w:pPr>
      <w:r>
        <w:rPr>
          <w:rFonts w:ascii="Garamond" w:hAnsi="Garamond"/>
        </w:rPr>
        <w:fldChar w:fldCharType="begin"/>
      </w:r>
      <w:r>
        <w:rPr>
          <w:rFonts w:ascii="Garamond" w:hAnsi="Garamond"/>
        </w:rPr>
        <w:instrText xml:space="preserve"> ADDIN ZOTERO_BIBL {"uncited":[],"omitted":[],"custom":[]} CSL_BIBLIOGRAPHY </w:instrText>
      </w:r>
      <w:r>
        <w:rPr>
          <w:rFonts w:ascii="Garamond" w:hAnsi="Garamond"/>
        </w:rPr>
        <w:fldChar w:fldCharType="separate"/>
      </w:r>
      <w:r w:rsidRPr="00760689">
        <w:rPr>
          <w:rFonts w:ascii="Garamond" w:hAnsi="Garamond"/>
        </w:rPr>
        <w:t xml:space="preserve">Agus Santoso. </w:t>
      </w:r>
      <w:r w:rsidRPr="00760689">
        <w:rPr>
          <w:rFonts w:ascii="Garamond" w:hAnsi="Garamond"/>
          <w:i/>
          <w:iCs/>
        </w:rPr>
        <w:t>Satu Iota Tak Akan Ditiadakan: Pengantar Ke Dalam Perjanjian Lama</w:t>
      </w:r>
      <w:r w:rsidRPr="00760689">
        <w:rPr>
          <w:rFonts w:ascii="Garamond" w:hAnsi="Garamond"/>
        </w:rPr>
        <w:t>. Cipanas: STT Cipanas Press, 2014.</w:t>
      </w:r>
    </w:p>
    <w:p w:rsidR="00760689" w:rsidRPr="00760689" w:rsidRDefault="00760689" w:rsidP="00760689">
      <w:pPr>
        <w:pStyle w:val="Bibliography"/>
        <w:rPr>
          <w:rFonts w:ascii="Garamond" w:hAnsi="Garamond"/>
        </w:rPr>
      </w:pPr>
      <w:r w:rsidRPr="00760689">
        <w:rPr>
          <w:rFonts w:ascii="Garamond" w:hAnsi="Garamond"/>
        </w:rPr>
        <w:t xml:space="preserve">Aseng Yulias Samongilailai. ‘Ibadah Dan Keadilan-Kebenaran (Amos 5:21-24)’. </w:t>
      </w:r>
      <w:r w:rsidRPr="00760689">
        <w:rPr>
          <w:rFonts w:ascii="Garamond" w:hAnsi="Garamond"/>
          <w:i/>
          <w:iCs/>
        </w:rPr>
        <w:t>Te Deum: Jurnal Teologi Dan Pengembangan Pelayanan</w:t>
      </w:r>
      <w:r w:rsidRPr="00760689">
        <w:rPr>
          <w:rFonts w:ascii="Garamond" w:hAnsi="Garamond"/>
        </w:rPr>
        <w:t xml:space="preserve"> 9, no. 2 (2020): 193–213.</w:t>
      </w:r>
    </w:p>
    <w:p w:rsidR="00760689" w:rsidRPr="00760689" w:rsidRDefault="00760689" w:rsidP="00760689">
      <w:pPr>
        <w:pStyle w:val="Bibliography"/>
        <w:rPr>
          <w:rFonts w:ascii="Garamond" w:hAnsi="Garamond"/>
        </w:rPr>
      </w:pPr>
      <w:r w:rsidRPr="00760689">
        <w:rPr>
          <w:rFonts w:ascii="Garamond" w:hAnsi="Garamond"/>
        </w:rPr>
        <w:t xml:space="preserve">———. ‘Studi Gramatikal Galatia 2:11-14: Patutkah Menegur Pemimpin Rohani?’ </w:t>
      </w:r>
      <w:r w:rsidRPr="00760689">
        <w:rPr>
          <w:rFonts w:ascii="Garamond" w:hAnsi="Garamond"/>
          <w:i/>
          <w:iCs/>
        </w:rPr>
        <w:t>Dunamis: Jurnal Teologi Dan Pendidikan Kristiani</w:t>
      </w:r>
      <w:r w:rsidRPr="00760689">
        <w:rPr>
          <w:rFonts w:ascii="Garamond" w:hAnsi="Garamond"/>
        </w:rPr>
        <w:t xml:space="preserve"> 4, no. 2 (April 2020): 183–206. https://doi.org/10.30648/dun.v4i2.254.</w:t>
      </w:r>
    </w:p>
    <w:p w:rsidR="00760689" w:rsidRPr="00760689" w:rsidRDefault="00760689" w:rsidP="00760689">
      <w:pPr>
        <w:pStyle w:val="Bibliography"/>
        <w:rPr>
          <w:rFonts w:ascii="Garamond" w:hAnsi="Garamond"/>
        </w:rPr>
      </w:pPr>
      <w:r w:rsidRPr="00760689">
        <w:rPr>
          <w:rFonts w:ascii="Garamond" w:hAnsi="Garamond"/>
        </w:rPr>
        <w:t xml:space="preserve">Barnabas Ludji. </w:t>
      </w:r>
      <w:r w:rsidRPr="00760689">
        <w:rPr>
          <w:rFonts w:ascii="Garamond" w:hAnsi="Garamond"/>
          <w:i/>
          <w:iCs/>
        </w:rPr>
        <w:t>Pemahaman Dasar Perjanjian Lama 1: Untuk Studi Kritis</w:t>
      </w:r>
      <w:r w:rsidRPr="00760689">
        <w:rPr>
          <w:rFonts w:ascii="Garamond" w:hAnsi="Garamond"/>
        </w:rPr>
        <w:t>. Bandung: Bina Media Informasi, 2009.</w:t>
      </w:r>
    </w:p>
    <w:p w:rsidR="00760689" w:rsidRPr="00760689" w:rsidRDefault="00760689" w:rsidP="00760689">
      <w:pPr>
        <w:pStyle w:val="Bibliography"/>
        <w:rPr>
          <w:rFonts w:ascii="Garamond" w:hAnsi="Garamond"/>
        </w:rPr>
      </w:pPr>
      <w:r w:rsidRPr="00760689">
        <w:rPr>
          <w:rFonts w:ascii="Garamond" w:hAnsi="Garamond"/>
        </w:rPr>
        <w:t xml:space="preserve">Baruch A. Levine. </w:t>
      </w:r>
      <w:r w:rsidRPr="00760689">
        <w:rPr>
          <w:rFonts w:ascii="Garamond" w:hAnsi="Garamond"/>
          <w:i/>
          <w:iCs/>
        </w:rPr>
        <w:t>Numbers 1-20. A New Translation with Introduction and Commentary</w:t>
      </w:r>
      <w:r w:rsidRPr="00760689">
        <w:rPr>
          <w:rFonts w:ascii="Garamond" w:hAnsi="Garamond"/>
        </w:rPr>
        <w:t>. The Anchor Bible 4. New York: Doubleday, 1993.</w:t>
      </w:r>
    </w:p>
    <w:p w:rsidR="00760689" w:rsidRPr="00760689" w:rsidRDefault="00760689" w:rsidP="00760689">
      <w:pPr>
        <w:pStyle w:val="Bibliography"/>
        <w:rPr>
          <w:rFonts w:ascii="Garamond" w:hAnsi="Garamond"/>
        </w:rPr>
      </w:pPr>
      <w:r w:rsidRPr="00760689">
        <w:rPr>
          <w:rFonts w:ascii="Garamond" w:hAnsi="Garamond"/>
        </w:rPr>
        <w:t xml:space="preserve">Benjamin J Noonan. ‘High-Handed Sin and the Promised Land: The Rhetorical Relationship between Law and Narrative in Numbers 15’. </w:t>
      </w:r>
      <w:r w:rsidRPr="00760689">
        <w:rPr>
          <w:rFonts w:ascii="Garamond" w:hAnsi="Garamond"/>
          <w:i/>
          <w:iCs/>
        </w:rPr>
        <w:t>Journal for the Study of the Old Testament</w:t>
      </w:r>
      <w:r w:rsidRPr="00760689">
        <w:rPr>
          <w:rFonts w:ascii="Garamond" w:hAnsi="Garamond"/>
        </w:rPr>
        <w:t xml:space="preserve"> 45, no. 1 (2020): 1–14. https://doi.org/10.1177/0309089219862818.</w:t>
      </w:r>
    </w:p>
    <w:p w:rsidR="00760689" w:rsidRPr="00760689" w:rsidRDefault="00760689" w:rsidP="00760689">
      <w:pPr>
        <w:pStyle w:val="Bibliography"/>
        <w:rPr>
          <w:rFonts w:ascii="Garamond" w:hAnsi="Garamond"/>
        </w:rPr>
      </w:pPr>
      <w:r w:rsidRPr="00760689">
        <w:rPr>
          <w:rFonts w:ascii="Garamond" w:hAnsi="Garamond"/>
        </w:rPr>
        <w:t xml:space="preserve">Benny H. Hoed. </w:t>
      </w:r>
      <w:r w:rsidRPr="00760689">
        <w:rPr>
          <w:rFonts w:ascii="Garamond" w:hAnsi="Garamond"/>
          <w:i/>
          <w:iCs/>
        </w:rPr>
        <w:t>Semiotik &amp; Dinamika Sosial Budaya. Ferdinand de Saussure, Roland Barthes, Julia Kristeva, Jacques Derrida, Charles Sanders Peirce, Marcel Danesi &amp; Paul Perron, Dll</w:t>
      </w:r>
      <w:r w:rsidRPr="00760689">
        <w:rPr>
          <w:rFonts w:ascii="Garamond" w:hAnsi="Garamond"/>
        </w:rPr>
        <w:t>. Depok: Komunitas Bambu, 2014.</w:t>
      </w:r>
    </w:p>
    <w:p w:rsidR="00760689" w:rsidRPr="00760689" w:rsidRDefault="00760689" w:rsidP="00760689">
      <w:pPr>
        <w:pStyle w:val="Bibliography"/>
        <w:rPr>
          <w:rFonts w:ascii="Garamond" w:hAnsi="Garamond"/>
        </w:rPr>
      </w:pPr>
      <w:r w:rsidRPr="00760689">
        <w:rPr>
          <w:rFonts w:ascii="Garamond" w:hAnsi="Garamond"/>
          <w:i/>
          <w:iCs/>
        </w:rPr>
        <w:t>Biblia Hebraica Stuttgartensia</w:t>
      </w:r>
      <w:r w:rsidRPr="00760689">
        <w:rPr>
          <w:rFonts w:ascii="Garamond" w:hAnsi="Garamond"/>
        </w:rPr>
        <w:t>. Stuttgart: Deutsche Bibelgesellschaft, 1997.</w:t>
      </w:r>
    </w:p>
    <w:p w:rsidR="00760689" w:rsidRPr="00760689" w:rsidRDefault="00760689" w:rsidP="00760689">
      <w:pPr>
        <w:pStyle w:val="Bibliography"/>
        <w:rPr>
          <w:rFonts w:ascii="Garamond" w:hAnsi="Garamond"/>
        </w:rPr>
      </w:pPr>
      <w:r w:rsidRPr="00760689">
        <w:rPr>
          <w:rFonts w:ascii="Garamond" w:hAnsi="Garamond"/>
        </w:rPr>
        <w:t xml:space="preserve">D.F. Walker. </w:t>
      </w:r>
      <w:r w:rsidRPr="00760689">
        <w:rPr>
          <w:rFonts w:ascii="Garamond" w:hAnsi="Garamond"/>
          <w:i/>
          <w:iCs/>
        </w:rPr>
        <w:t>Konkordansi Alkitab</w:t>
      </w:r>
      <w:r w:rsidRPr="00760689">
        <w:rPr>
          <w:rFonts w:ascii="Garamond" w:hAnsi="Garamond"/>
        </w:rPr>
        <w:t>. Jakarta: BPK Gunung Mulia, 2015.</w:t>
      </w:r>
    </w:p>
    <w:p w:rsidR="00760689" w:rsidRPr="00760689" w:rsidRDefault="00760689" w:rsidP="00760689">
      <w:pPr>
        <w:pStyle w:val="Bibliography"/>
        <w:rPr>
          <w:rFonts w:ascii="Garamond" w:hAnsi="Garamond"/>
        </w:rPr>
      </w:pPr>
      <w:r w:rsidRPr="00760689">
        <w:rPr>
          <w:rFonts w:ascii="Garamond" w:hAnsi="Garamond"/>
        </w:rPr>
        <w:t xml:space="preserve">George Buchanan Gray. </w:t>
      </w:r>
      <w:r w:rsidRPr="00760689">
        <w:rPr>
          <w:rFonts w:ascii="Garamond" w:hAnsi="Garamond"/>
          <w:i/>
          <w:iCs/>
        </w:rPr>
        <w:t>Numbers</w:t>
      </w:r>
      <w:r w:rsidRPr="00760689">
        <w:rPr>
          <w:rFonts w:ascii="Garamond" w:hAnsi="Garamond"/>
        </w:rPr>
        <w:t>. Edinburgh: T &amp; T Clark, 1912.</w:t>
      </w:r>
    </w:p>
    <w:p w:rsidR="00760689" w:rsidRPr="00760689" w:rsidRDefault="00760689" w:rsidP="00760689">
      <w:pPr>
        <w:pStyle w:val="Bibliography"/>
        <w:rPr>
          <w:rFonts w:ascii="Garamond" w:hAnsi="Garamond"/>
        </w:rPr>
      </w:pPr>
      <w:r w:rsidRPr="00760689">
        <w:rPr>
          <w:rFonts w:ascii="Garamond" w:hAnsi="Garamond"/>
        </w:rPr>
        <w:t xml:space="preserve">Gordon J. Wenham. </w:t>
      </w:r>
      <w:r w:rsidRPr="00760689">
        <w:rPr>
          <w:rFonts w:ascii="Garamond" w:hAnsi="Garamond"/>
          <w:i/>
          <w:iCs/>
        </w:rPr>
        <w:t>Numbers</w:t>
      </w:r>
      <w:r w:rsidRPr="00760689">
        <w:rPr>
          <w:rFonts w:ascii="Garamond" w:hAnsi="Garamond"/>
        </w:rPr>
        <w:t>. Leicester: InterVarsity, 1981.</w:t>
      </w:r>
    </w:p>
    <w:p w:rsidR="00760689" w:rsidRPr="00760689" w:rsidRDefault="00760689" w:rsidP="00760689">
      <w:pPr>
        <w:pStyle w:val="Bibliography"/>
        <w:rPr>
          <w:rFonts w:ascii="Garamond" w:hAnsi="Garamond"/>
        </w:rPr>
      </w:pPr>
      <w:r w:rsidRPr="00760689">
        <w:rPr>
          <w:rFonts w:ascii="Garamond" w:hAnsi="Garamond"/>
        </w:rPr>
        <w:t xml:space="preserve">Grant R. Osborne. </w:t>
      </w:r>
      <w:r w:rsidRPr="00760689">
        <w:rPr>
          <w:rFonts w:ascii="Garamond" w:hAnsi="Garamond"/>
          <w:i/>
          <w:iCs/>
        </w:rPr>
        <w:t>The Hermeneutical Spiral: A Comprehensive Introduction to Biblical Interpretation</w:t>
      </w:r>
      <w:r w:rsidRPr="00760689">
        <w:rPr>
          <w:rFonts w:ascii="Garamond" w:hAnsi="Garamond"/>
        </w:rPr>
        <w:t>. Downers Grove, Illinois: InterVarsity, 1991.</w:t>
      </w:r>
    </w:p>
    <w:p w:rsidR="00760689" w:rsidRPr="00760689" w:rsidRDefault="00760689" w:rsidP="00760689">
      <w:pPr>
        <w:pStyle w:val="Bibliography"/>
        <w:rPr>
          <w:rFonts w:ascii="Garamond" w:hAnsi="Garamond"/>
        </w:rPr>
      </w:pPr>
      <w:r w:rsidRPr="00760689">
        <w:rPr>
          <w:rFonts w:ascii="Garamond" w:hAnsi="Garamond"/>
        </w:rPr>
        <w:t xml:space="preserve">Howard J. Curzer. ‘Spies and Lies: Faithful, Courageous Israelites and Truthful Spies’. </w:t>
      </w:r>
      <w:r w:rsidRPr="00760689">
        <w:rPr>
          <w:rFonts w:ascii="Garamond" w:hAnsi="Garamond"/>
          <w:i/>
          <w:iCs/>
        </w:rPr>
        <w:t>Journal for the Study of the Old Testament</w:t>
      </w:r>
      <w:r w:rsidRPr="00760689">
        <w:rPr>
          <w:rFonts w:ascii="Garamond" w:hAnsi="Garamond"/>
        </w:rPr>
        <w:t xml:space="preserve"> 35, no. 2 (2010): 187–95. https://doi.org/10.1177/0309089210365964.</w:t>
      </w:r>
    </w:p>
    <w:p w:rsidR="00760689" w:rsidRPr="00760689" w:rsidRDefault="00760689" w:rsidP="00760689">
      <w:pPr>
        <w:pStyle w:val="Bibliography"/>
        <w:rPr>
          <w:rFonts w:ascii="Garamond" w:hAnsi="Garamond"/>
        </w:rPr>
      </w:pPr>
      <w:r w:rsidRPr="00760689">
        <w:rPr>
          <w:rFonts w:ascii="Garamond" w:hAnsi="Garamond"/>
        </w:rPr>
        <w:t xml:space="preserve">Itamar Kislev. ‘Joshua (and Caleb) in the Priestly Spies Story and Joshua’s Initial Appearance in the Priestly Source: A Contribution to an Assessment of the Pentateuchal Priestly Material’. </w:t>
      </w:r>
      <w:r w:rsidRPr="00760689">
        <w:rPr>
          <w:rFonts w:ascii="Garamond" w:hAnsi="Garamond"/>
          <w:i/>
          <w:iCs/>
        </w:rPr>
        <w:t>Journal of Biblical Literature</w:t>
      </w:r>
      <w:r w:rsidRPr="00760689">
        <w:rPr>
          <w:rFonts w:ascii="Garamond" w:hAnsi="Garamond"/>
        </w:rPr>
        <w:t xml:space="preserve"> 136, no. 1 (2017): 39–55. http://dx.doi.org/10.15699/jbl.1361.2017.156696.</w:t>
      </w:r>
    </w:p>
    <w:p w:rsidR="00760689" w:rsidRPr="00760689" w:rsidRDefault="00760689" w:rsidP="00760689">
      <w:pPr>
        <w:pStyle w:val="Bibliography"/>
        <w:rPr>
          <w:rFonts w:ascii="Garamond" w:hAnsi="Garamond"/>
        </w:rPr>
      </w:pPr>
      <w:r w:rsidRPr="00760689">
        <w:rPr>
          <w:rFonts w:ascii="Garamond" w:hAnsi="Garamond"/>
        </w:rPr>
        <w:t xml:space="preserve">Martin Noth. </w:t>
      </w:r>
      <w:r w:rsidRPr="00760689">
        <w:rPr>
          <w:rFonts w:ascii="Garamond" w:hAnsi="Garamond"/>
          <w:i/>
          <w:iCs/>
        </w:rPr>
        <w:t>Numbers</w:t>
      </w:r>
      <w:r w:rsidRPr="00760689">
        <w:rPr>
          <w:rFonts w:ascii="Garamond" w:hAnsi="Garamond"/>
        </w:rPr>
        <w:t>. Philadelphia: Westminster John Knox Press, 1968.</w:t>
      </w:r>
    </w:p>
    <w:p w:rsidR="00760689" w:rsidRPr="00760689" w:rsidRDefault="00760689" w:rsidP="00760689">
      <w:pPr>
        <w:pStyle w:val="Bibliography"/>
        <w:rPr>
          <w:rFonts w:ascii="Garamond" w:hAnsi="Garamond"/>
        </w:rPr>
      </w:pPr>
      <w:r w:rsidRPr="00760689">
        <w:rPr>
          <w:rFonts w:ascii="Garamond" w:hAnsi="Garamond"/>
        </w:rPr>
        <w:t xml:space="preserve">Philip J. Budd. </w:t>
      </w:r>
      <w:r w:rsidRPr="00760689">
        <w:rPr>
          <w:rFonts w:ascii="Garamond" w:hAnsi="Garamond"/>
          <w:i/>
          <w:iCs/>
        </w:rPr>
        <w:t>Numbers</w:t>
      </w:r>
      <w:r w:rsidRPr="00760689">
        <w:rPr>
          <w:rFonts w:ascii="Garamond" w:hAnsi="Garamond"/>
        </w:rPr>
        <w:t>. Word Biblical Commentary. Texas: Word Books Publisher, 1984.</w:t>
      </w:r>
    </w:p>
    <w:p w:rsidR="00760689" w:rsidRPr="00760689" w:rsidRDefault="00760689" w:rsidP="00760689">
      <w:pPr>
        <w:pStyle w:val="Bibliography"/>
        <w:rPr>
          <w:rFonts w:ascii="Garamond" w:hAnsi="Garamond"/>
        </w:rPr>
      </w:pPr>
      <w:r w:rsidRPr="00760689">
        <w:rPr>
          <w:rFonts w:ascii="Garamond" w:hAnsi="Garamond"/>
        </w:rPr>
        <w:t xml:space="preserve">R. Laird Harris, Gleason L. Archer, and Bruce K. Waltke. </w:t>
      </w:r>
      <w:r w:rsidRPr="00760689">
        <w:rPr>
          <w:rFonts w:ascii="Garamond" w:hAnsi="Garamond"/>
          <w:i/>
          <w:iCs/>
        </w:rPr>
        <w:t>Theological Wordbook of the Old Testament</w:t>
      </w:r>
      <w:r w:rsidRPr="00760689">
        <w:rPr>
          <w:rFonts w:ascii="Garamond" w:hAnsi="Garamond"/>
        </w:rPr>
        <w:t>. Chicago: Moody Press, 1980.</w:t>
      </w:r>
    </w:p>
    <w:p w:rsidR="00760689" w:rsidRPr="00760689" w:rsidRDefault="00760689" w:rsidP="00760689">
      <w:pPr>
        <w:pStyle w:val="Bibliography"/>
        <w:rPr>
          <w:rFonts w:ascii="Garamond" w:hAnsi="Garamond"/>
        </w:rPr>
      </w:pPr>
      <w:r w:rsidRPr="00760689">
        <w:rPr>
          <w:rFonts w:ascii="Garamond" w:hAnsi="Garamond"/>
        </w:rPr>
        <w:t xml:space="preserve">Raymond Brown. </w:t>
      </w:r>
      <w:r w:rsidRPr="00760689">
        <w:rPr>
          <w:rFonts w:ascii="Garamond" w:hAnsi="Garamond"/>
          <w:i/>
          <w:iCs/>
        </w:rPr>
        <w:t>The Message of Numbers</w:t>
      </w:r>
      <w:r w:rsidRPr="00760689">
        <w:rPr>
          <w:rFonts w:ascii="Garamond" w:hAnsi="Garamond"/>
        </w:rPr>
        <w:t>. Leicester: InterVarsity, 2002.</w:t>
      </w:r>
    </w:p>
    <w:p w:rsidR="00760689" w:rsidRPr="00760689" w:rsidRDefault="00760689" w:rsidP="00760689">
      <w:pPr>
        <w:pStyle w:val="Bibliography"/>
        <w:rPr>
          <w:rFonts w:ascii="Garamond" w:hAnsi="Garamond"/>
        </w:rPr>
      </w:pPr>
      <w:r w:rsidRPr="00760689">
        <w:rPr>
          <w:rFonts w:ascii="Garamond" w:hAnsi="Garamond"/>
        </w:rPr>
        <w:lastRenderedPageBreak/>
        <w:t xml:space="preserve">Snijders. ‘Malē’. In </w:t>
      </w:r>
      <w:r w:rsidRPr="00760689">
        <w:rPr>
          <w:rFonts w:ascii="Garamond" w:hAnsi="Garamond"/>
          <w:i/>
          <w:iCs/>
        </w:rPr>
        <w:t>Theological Dictionary of the Old Testament</w:t>
      </w:r>
      <w:r w:rsidRPr="00760689">
        <w:rPr>
          <w:rFonts w:ascii="Garamond" w:hAnsi="Garamond"/>
        </w:rPr>
        <w:t>, edited by G. Johannes Botterweck, Helmer Ringgren, and Heinz-Josef Fabry. Vol. VIII. Grand Rapids: Eerdmans, 1997.</w:t>
      </w:r>
    </w:p>
    <w:p w:rsidR="00760689" w:rsidRPr="00760689" w:rsidRDefault="00760689" w:rsidP="00760689">
      <w:pPr>
        <w:pStyle w:val="Bibliography"/>
        <w:rPr>
          <w:rFonts w:ascii="Garamond" w:hAnsi="Garamond"/>
        </w:rPr>
      </w:pPr>
      <w:r w:rsidRPr="00760689">
        <w:rPr>
          <w:rFonts w:ascii="Garamond" w:hAnsi="Garamond"/>
        </w:rPr>
        <w:t xml:space="preserve">Stephen Germany. ‘The Hexateuch Hypothesis: A History of Research and Current Approaches’. </w:t>
      </w:r>
      <w:r w:rsidRPr="00760689">
        <w:rPr>
          <w:rFonts w:ascii="Garamond" w:hAnsi="Garamond"/>
          <w:i/>
          <w:iCs/>
        </w:rPr>
        <w:t>Currents in Biblical Research</w:t>
      </w:r>
      <w:r w:rsidRPr="00760689">
        <w:rPr>
          <w:rFonts w:ascii="Garamond" w:hAnsi="Garamond"/>
        </w:rPr>
        <w:t xml:space="preserve"> 16, no. 2 (n.d.): 131–56. https://doi.org/10.1177/1476993X17737067.</w:t>
      </w:r>
    </w:p>
    <w:p w:rsidR="00760689" w:rsidRPr="00760689" w:rsidRDefault="00760689" w:rsidP="00760689">
      <w:pPr>
        <w:pStyle w:val="Bibliography"/>
        <w:rPr>
          <w:rFonts w:ascii="Garamond" w:hAnsi="Garamond"/>
        </w:rPr>
      </w:pPr>
      <w:r w:rsidRPr="00760689">
        <w:rPr>
          <w:rFonts w:ascii="Garamond" w:hAnsi="Garamond"/>
        </w:rPr>
        <w:t xml:space="preserve">Terence E. Fretheim. ‘Numbers’. In </w:t>
      </w:r>
      <w:r w:rsidRPr="00760689">
        <w:rPr>
          <w:rFonts w:ascii="Garamond" w:hAnsi="Garamond"/>
          <w:i/>
          <w:iCs/>
        </w:rPr>
        <w:t>The Pentateuch</w:t>
      </w:r>
      <w:r w:rsidRPr="00760689">
        <w:rPr>
          <w:rFonts w:ascii="Garamond" w:hAnsi="Garamond"/>
        </w:rPr>
        <w:t>, edited by John Muddiman and John Barton. The Oxford Bible Commentary. Oxford: Oxford University Press, 2010.</w:t>
      </w:r>
    </w:p>
    <w:p w:rsidR="00760689" w:rsidRPr="00760689" w:rsidRDefault="00760689" w:rsidP="00760689">
      <w:pPr>
        <w:pStyle w:val="Bibliography"/>
        <w:rPr>
          <w:rFonts w:ascii="Garamond" w:hAnsi="Garamond"/>
        </w:rPr>
      </w:pPr>
      <w:r w:rsidRPr="00760689">
        <w:rPr>
          <w:rFonts w:ascii="Garamond" w:hAnsi="Garamond"/>
        </w:rPr>
        <w:t xml:space="preserve">Thomas B. Dozeman. ‘The Book of Joshua as An Intertext in The MT and The LXX Canons’. In </w:t>
      </w:r>
      <w:r w:rsidRPr="00760689">
        <w:rPr>
          <w:rFonts w:ascii="Garamond" w:hAnsi="Garamond"/>
          <w:i/>
          <w:iCs/>
        </w:rPr>
        <w:t>Pentateuch, Hexateuch, or Enneateuch? Identifying Literary Works in Genesis through Kings</w:t>
      </w:r>
      <w:r w:rsidRPr="00760689">
        <w:rPr>
          <w:rFonts w:ascii="Garamond" w:hAnsi="Garamond"/>
        </w:rPr>
        <w:t>, edited by Thomas B. Dozeman, Thomas Römer, and Konrad Schmid. Atlanta: Society of Biblical Literature, 2011.</w:t>
      </w:r>
    </w:p>
    <w:p w:rsidR="00760689" w:rsidRPr="00760689" w:rsidRDefault="00760689" w:rsidP="00760689">
      <w:pPr>
        <w:pStyle w:val="Bibliography"/>
        <w:rPr>
          <w:rFonts w:ascii="Garamond" w:hAnsi="Garamond"/>
        </w:rPr>
      </w:pPr>
      <w:r w:rsidRPr="00760689">
        <w:rPr>
          <w:rFonts w:ascii="Garamond" w:hAnsi="Garamond"/>
        </w:rPr>
        <w:t xml:space="preserve">———. ‘The Book of Joshua in Recent Research’. </w:t>
      </w:r>
      <w:r w:rsidRPr="00760689">
        <w:rPr>
          <w:rFonts w:ascii="Garamond" w:hAnsi="Garamond"/>
          <w:i/>
          <w:iCs/>
        </w:rPr>
        <w:t>Currents in Biblical Research</w:t>
      </w:r>
      <w:r w:rsidRPr="00760689">
        <w:rPr>
          <w:rFonts w:ascii="Garamond" w:hAnsi="Garamond"/>
        </w:rPr>
        <w:t xml:space="preserve"> 15, no. 3 (2017): 270–88. https://doi.org/10.1177/1476993X16661918.</w:t>
      </w:r>
    </w:p>
    <w:p w:rsidR="00760689" w:rsidRPr="00760689" w:rsidRDefault="00760689" w:rsidP="00760689">
      <w:pPr>
        <w:pStyle w:val="Bibliography"/>
        <w:rPr>
          <w:rFonts w:ascii="Garamond" w:hAnsi="Garamond"/>
        </w:rPr>
      </w:pPr>
      <w:r w:rsidRPr="00760689">
        <w:rPr>
          <w:rFonts w:ascii="Garamond" w:hAnsi="Garamond"/>
        </w:rPr>
        <w:t xml:space="preserve">Timothy R. Ashley. </w:t>
      </w:r>
      <w:r w:rsidRPr="00760689">
        <w:rPr>
          <w:rFonts w:ascii="Garamond" w:hAnsi="Garamond"/>
          <w:i/>
          <w:iCs/>
        </w:rPr>
        <w:t>The Book of Numbers</w:t>
      </w:r>
      <w:r w:rsidRPr="00760689">
        <w:rPr>
          <w:rFonts w:ascii="Garamond" w:hAnsi="Garamond"/>
        </w:rPr>
        <w:t>. Grand Rapids: Eerdmans, 1993.</w:t>
      </w:r>
    </w:p>
    <w:p w:rsidR="003076E8" w:rsidRPr="003076E8" w:rsidRDefault="00760689" w:rsidP="00530F38">
      <w:pPr>
        <w:spacing w:line="360" w:lineRule="auto"/>
        <w:jc w:val="both"/>
        <w:rPr>
          <w:rFonts w:ascii="Garamond" w:hAnsi="Garamond"/>
        </w:rPr>
      </w:pPr>
      <w:r>
        <w:rPr>
          <w:rFonts w:ascii="Garamond" w:hAnsi="Garamond"/>
        </w:rPr>
        <w:fldChar w:fldCharType="end"/>
      </w:r>
    </w:p>
    <w:sectPr w:rsidR="003076E8" w:rsidRPr="003076E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C7B" w:rsidRDefault="005C2C7B" w:rsidP="00FA449A">
      <w:pPr>
        <w:spacing w:after="0" w:line="240" w:lineRule="auto"/>
      </w:pPr>
      <w:r>
        <w:separator/>
      </w:r>
    </w:p>
  </w:endnote>
  <w:endnote w:type="continuationSeparator" w:id="0">
    <w:p w:rsidR="005C2C7B" w:rsidRDefault="005C2C7B" w:rsidP="00FA4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MS Gothic"/>
    <w:panose1 w:val="00000000000000000000"/>
    <w:charset w:val="80"/>
    <w:family w:val="roman"/>
    <w:notTrueType/>
    <w:pitch w:val="default"/>
    <w:sig w:usb0="00000000" w:usb1="08070000" w:usb2="00000010" w:usb3="00000000" w:csb0="00020000" w:csb1="00000000"/>
  </w:font>
  <w:font w:name="SBL Hebrew">
    <w:panose1 w:val="02000000000000000000"/>
    <w:charset w:val="00"/>
    <w:family w:val="auto"/>
    <w:pitch w:val="variable"/>
    <w:sig w:usb0="8000086F" w:usb1="4000204A" w:usb2="00000000" w:usb3="00000000" w:csb0="00000021" w:csb1="00000000"/>
  </w:font>
  <w:font w:name="Bwhebb">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731299"/>
      <w:docPartObj>
        <w:docPartGallery w:val="Page Numbers (Bottom of Page)"/>
        <w:docPartUnique/>
      </w:docPartObj>
    </w:sdtPr>
    <w:sdtEndPr>
      <w:rPr>
        <w:noProof/>
      </w:rPr>
    </w:sdtEndPr>
    <w:sdtContent>
      <w:p w:rsidR="004C1D5A" w:rsidRDefault="004C1D5A">
        <w:pPr>
          <w:pStyle w:val="Footer"/>
          <w:jc w:val="center"/>
        </w:pPr>
        <w:r>
          <w:fldChar w:fldCharType="begin"/>
        </w:r>
        <w:r>
          <w:instrText xml:space="preserve"> PAGE   \* MERGEFORMAT </w:instrText>
        </w:r>
        <w:r>
          <w:fldChar w:fldCharType="separate"/>
        </w:r>
        <w:r w:rsidR="004B5F69">
          <w:rPr>
            <w:noProof/>
          </w:rPr>
          <w:t>11</w:t>
        </w:r>
        <w:r>
          <w:rPr>
            <w:noProof/>
          </w:rPr>
          <w:fldChar w:fldCharType="end"/>
        </w:r>
      </w:p>
    </w:sdtContent>
  </w:sdt>
  <w:p w:rsidR="004C1D5A" w:rsidRDefault="004C1D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C7B" w:rsidRDefault="005C2C7B" w:rsidP="00FA449A">
      <w:pPr>
        <w:spacing w:after="0" w:line="240" w:lineRule="auto"/>
      </w:pPr>
      <w:r>
        <w:separator/>
      </w:r>
    </w:p>
  </w:footnote>
  <w:footnote w:type="continuationSeparator" w:id="0">
    <w:p w:rsidR="005C2C7B" w:rsidRDefault="005C2C7B" w:rsidP="00FA449A">
      <w:pPr>
        <w:spacing w:after="0" w:line="240" w:lineRule="auto"/>
      </w:pPr>
      <w:r>
        <w:continuationSeparator/>
      </w:r>
    </w:p>
  </w:footnote>
  <w:footnote w:id="1">
    <w:p w:rsidR="004C1D5A" w:rsidRPr="00C301FF" w:rsidRDefault="004C1D5A" w:rsidP="00FA449A">
      <w:pPr>
        <w:pStyle w:val="FootnoteText"/>
        <w:ind w:firstLine="720"/>
        <w:jc w:val="both"/>
        <w:rPr>
          <w:rFonts w:ascii="Garamond" w:hAnsi="Garamond"/>
          <w:lang w:val="en-US"/>
        </w:rPr>
      </w:pPr>
      <w:r w:rsidRPr="00C301FF">
        <w:rPr>
          <w:rStyle w:val="FootnoteReference"/>
          <w:rFonts w:ascii="Garamond" w:hAnsi="Garamond"/>
        </w:rPr>
        <w:footnoteRef/>
      </w:r>
      <w:r w:rsidRPr="00C301FF">
        <w:rPr>
          <w:rFonts w:ascii="Garamond" w:hAnsi="Garamond"/>
        </w:rPr>
        <w:t xml:space="preserve"> </w:t>
      </w:r>
      <w:r w:rsidRPr="00C301FF">
        <w:rPr>
          <w:rFonts w:ascii="Garamond" w:hAnsi="Garamond"/>
        </w:rPr>
        <w:fldChar w:fldCharType="begin"/>
      </w:r>
      <w:r w:rsidRPr="00C301FF">
        <w:rPr>
          <w:rFonts w:ascii="Garamond" w:hAnsi="Garamond"/>
        </w:rPr>
        <w:instrText xml:space="preserve"> ADDIN ZOTERO_ITEM CSL_CITATION {"citationID":"zBMv4qeZ","properties":{"formattedCitation":"Martin Noth, {\\i{}Numbers} (Philadelphia: Westminster John Knox Press, 1968), 102; D.F. Walker, {\\i{}Konkordansi Alkitab} (Jakarta: BPK Gunung Mulia, 2015), 214.","plainCitation":"Martin Noth, Numbers (Philadelphia: Westminster John Knox Press, 1968), 102; D.F. Walker, Konkordansi Alkitab (Jakarta: BPK Gunung Mulia, 2015), 214.","noteIndex":1},"citationItems":[{"id":63,"uris":["http://zotero.org/users/local/weSCt3ZK/items/NWBK3NAV"],"uri":["http://zotero.org/users/local/weSCt3ZK/items/NWBK3NAV"],"itemData":{"id":63,"type":"book","event-place":"Philadelphia","publisher":"Westminster John Knox Press","publisher-place":"Philadelphia","title":"Numbers","author":[{"literal":"Martin Noth"}],"issued":{"date-parts":[["1968"]]}},"locator":"102"},{"id":64,"uris":["http://zotero.org/users/local/weSCt3ZK/items/GAEFSGEC"],"uri":["http://zotero.org/users/local/weSCt3ZK/items/GAEFSGEC"],"itemData":{"id":64,"type":"book","event-place":"Jakarta","publisher":"BPK Gunung Mulia","publisher-place":"Jakarta","title":"Konkordansi Alkitab","author":[{"literal":"D.F. Walker"}],"issued":{"date-parts":[["2015"]]}},"locator":"214"}],"schema":"https://github.com/citation-style-language/schema/raw/master/csl-citation.json"} </w:instrText>
      </w:r>
      <w:r w:rsidRPr="00C301FF">
        <w:rPr>
          <w:rFonts w:ascii="Garamond" w:hAnsi="Garamond"/>
        </w:rPr>
        <w:fldChar w:fldCharType="separate"/>
      </w:r>
      <w:r w:rsidRPr="00C301FF">
        <w:rPr>
          <w:rFonts w:ascii="Garamond" w:hAnsi="Garamond"/>
          <w:szCs w:val="24"/>
        </w:rPr>
        <w:t xml:space="preserve">Martin Noth, </w:t>
      </w:r>
      <w:r w:rsidRPr="00C301FF">
        <w:rPr>
          <w:rFonts w:ascii="Garamond" w:hAnsi="Garamond"/>
          <w:i/>
          <w:iCs/>
          <w:szCs w:val="24"/>
        </w:rPr>
        <w:t>Numbers</w:t>
      </w:r>
      <w:r w:rsidRPr="00C301FF">
        <w:rPr>
          <w:rFonts w:ascii="Garamond" w:hAnsi="Garamond"/>
          <w:szCs w:val="24"/>
        </w:rPr>
        <w:t xml:space="preserve"> (Philadelphia: Westminster John Knox Press, 1968), 102; D.F. Walker, </w:t>
      </w:r>
      <w:r w:rsidRPr="00C301FF">
        <w:rPr>
          <w:rFonts w:ascii="Garamond" w:hAnsi="Garamond"/>
          <w:i/>
          <w:iCs/>
          <w:szCs w:val="24"/>
        </w:rPr>
        <w:t>Konkordansi Alkitab</w:t>
      </w:r>
      <w:r w:rsidRPr="00C301FF">
        <w:rPr>
          <w:rFonts w:ascii="Garamond" w:hAnsi="Garamond"/>
          <w:szCs w:val="24"/>
        </w:rPr>
        <w:t xml:space="preserve"> (Jakarta: BPK Gunung Mulia, 2015), 214.</w:t>
      </w:r>
      <w:r w:rsidRPr="00C301FF">
        <w:rPr>
          <w:rFonts w:ascii="Garamond" w:hAnsi="Garamond"/>
        </w:rPr>
        <w:fldChar w:fldCharType="end"/>
      </w:r>
    </w:p>
  </w:footnote>
  <w:footnote w:id="2">
    <w:p w:rsidR="004C1D5A" w:rsidRPr="005E7E8B" w:rsidRDefault="004C1D5A" w:rsidP="005E7E8B">
      <w:pPr>
        <w:pStyle w:val="FootnoteText"/>
        <w:ind w:firstLine="720"/>
        <w:rPr>
          <w:rFonts w:ascii="Garamond" w:hAnsi="Garamond"/>
          <w:lang w:val="en-US"/>
        </w:rPr>
      </w:pPr>
      <w:r w:rsidRPr="005E7E8B">
        <w:rPr>
          <w:rStyle w:val="FootnoteReference"/>
          <w:rFonts w:ascii="Garamond" w:hAnsi="Garamond"/>
        </w:rPr>
        <w:footnoteRef/>
      </w:r>
      <w:r w:rsidRPr="005E7E8B">
        <w:rPr>
          <w:rFonts w:ascii="Garamond" w:hAnsi="Garamond"/>
        </w:rPr>
        <w:t xml:space="preserve"> </w:t>
      </w:r>
      <w:r w:rsidRPr="005E7E8B">
        <w:rPr>
          <w:rFonts w:ascii="Garamond" w:hAnsi="Garamond"/>
        </w:rPr>
        <w:fldChar w:fldCharType="begin"/>
      </w:r>
      <w:r w:rsidRPr="005E7E8B">
        <w:rPr>
          <w:rFonts w:ascii="Garamond" w:hAnsi="Garamond"/>
        </w:rPr>
        <w:instrText xml:space="preserve"> ADDIN ZOTERO_ITEM CSL_CITATION {"citationID":"VUhdIxJB","properties":{"formattedCitation":"Howard J. Curzer, \\uc0\\u8216{}Spies and Lies: Faithful, Courageous Israelites and Truthful Spies\\uc0\\u8217{}, {\\i{}Journal for the Study of the Old Testament} 35, no. 2 (2010): 188, https://doi.org/10.1177/0309089210365964.","plainCitation":"Howard J. Curzer, ‘Spies and Lies: Faithful, Courageous Israelites and Truthful Spies’, Journal for the Study of the Old Testament 35, no. 2 (2010): 188, https://doi.org/10.1177/0309089210365964.","noteIndex":2},"citationItems":[{"id":66,"uris":["http://zotero.org/users/local/weSCt3ZK/items/82X9Z4BZ"],"uri":["http://zotero.org/users/local/weSCt3ZK/items/82X9Z4BZ"],"itemData":{"id":66,"type":"article-journal","container-title":"Journal for the Study of the Old Testament","DOI":"https://doi.org/10.1177/0309089210365964","issue":"2","page":"187-195","title":"Spies and Lies: Faithful, Courageous Israelites and Truthful Spies","volume":"35","author":[{"literal":"Howard J. Curzer"}],"issued":{"date-parts":[["2010"]]}},"locator":"188"}],"schema":"https://github.com/citation-style-language/schema/raw/master/csl-citation.json"} </w:instrText>
      </w:r>
      <w:r w:rsidRPr="005E7E8B">
        <w:rPr>
          <w:rFonts w:ascii="Garamond" w:hAnsi="Garamond"/>
        </w:rPr>
        <w:fldChar w:fldCharType="separate"/>
      </w:r>
      <w:r w:rsidRPr="005E7E8B">
        <w:rPr>
          <w:rFonts w:ascii="Garamond" w:hAnsi="Garamond"/>
          <w:szCs w:val="24"/>
        </w:rPr>
        <w:t xml:space="preserve">Howard J. Curzer, ‘Spies and Lies: Faithful, Courageous Israelites and Truthful Spies’, </w:t>
      </w:r>
      <w:r w:rsidRPr="005E7E8B">
        <w:rPr>
          <w:rFonts w:ascii="Garamond" w:hAnsi="Garamond"/>
          <w:i/>
          <w:iCs/>
          <w:szCs w:val="24"/>
        </w:rPr>
        <w:t>Journal for the Study of the Old Testament</w:t>
      </w:r>
      <w:r w:rsidRPr="005E7E8B">
        <w:rPr>
          <w:rFonts w:ascii="Garamond" w:hAnsi="Garamond"/>
          <w:szCs w:val="24"/>
        </w:rPr>
        <w:t xml:space="preserve"> 35, no. 2 (2010): 188, https://doi.org/10.1177/0309089210365964.</w:t>
      </w:r>
      <w:r w:rsidRPr="005E7E8B">
        <w:rPr>
          <w:rFonts w:ascii="Garamond" w:hAnsi="Garamond"/>
        </w:rPr>
        <w:fldChar w:fldCharType="end"/>
      </w:r>
    </w:p>
  </w:footnote>
  <w:footnote w:id="3">
    <w:p w:rsidR="004C1D5A" w:rsidRPr="00F2119B" w:rsidRDefault="004C1D5A" w:rsidP="00F2119B">
      <w:pPr>
        <w:pStyle w:val="FootnoteText"/>
        <w:ind w:firstLine="720"/>
        <w:rPr>
          <w:rFonts w:ascii="Garamond" w:hAnsi="Garamond"/>
          <w:lang w:val="en-US"/>
        </w:rPr>
      </w:pPr>
      <w:r w:rsidRPr="00F2119B">
        <w:rPr>
          <w:rStyle w:val="FootnoteReference"/>
          <w:rFonts w:ascii="Garamond" w:hAnsi="Garamond"/>
        </w:rPr>
        <w:footnoteRef/>
      </w:r>
      <w:r w:rsidRPr="00F2119B">
        <w:rPr>
          <w:rFonts w:ascii="Garamond" w:hAnsi="Garamond"/>
        </w:rPr>
        <w:t xml:space="preserve"> </w:t>
      </w:r>
      <w:r w:rsidRPr="00F2119B">
        <w:rPr>
          <w:rFonts w:ascii="Garamond" w:hAnsi="Garamond"/>
        </w:rPr>
        <w:fldChar w:fldCharType="begin"/>
      </w:r>
      <w:r w:rsidRPr="00F2119B">
        <w:rPr>
          <w:rFonts w:ascii="Garamond" w:hAnsi="Garamond"/>
        </w:rPr>
        <w:instrText xml:space="preserve"> ADDIN ZOTERO_ITEM CSL_CITATION {"citationID":"xJlmGvmp","properties":{"formattedCitation":"Lihat Howard J. Curzer, 188.","plainCitation":"Lihat Howard J. Curzer, 188.","noteIndex":3},"citationItems":[{"id":66,"uris":["http://zotero.org/users/local/weSCt3ZK/items/82X9Z4BZ"],"uri":["http://zotero.org/users/local/weSCt3ZK/items/82X9Z4BZ"],"itemData":{"id":66,"type":"article-journal","container-title":"Journal for the Study of the Old Testament","DOI":"https://doi.org/10.1177/0309089210365964","issue":"2","page":"187-195","title":"Spies and Lies: Faithful, Courageous Israelites and Truthful Spies","volume":"35","author":[{"literal":"Howard J. Curzer"}],"issued":{"date-parts":[["2010"]]}},"locator":"188","prefix":"Lihat"}],"schema":"https://github.com/citation-style-language/schema/raw/master/csl-citation.json"} </w:instrText>
      </w:r>
      <w:r w:rsidRPr="00F2119B">
        <w:rPr>
          <w:rFonts w:ascii="Garamond" w:hAnsi="Garamond"/>
        </w:rPr>
        <w:fldChar w:fldCharType="separate"/>
      </w:r>
      <w:r w:rsidRPr="00F2119B">
        <w:rPr>
          <w:rFonts w:ascii="Garamond" w:hAnsi="Garamond"/>
        </w:rPr>
        <w:t>Lihat Howard J. Curzer, 188.</w:t>
      </w:r>
      <w:r w:rsidRPr="00F2119B">
        <w:rPr>
          <w:rFonts w:ascii="Garamond" w:hAnsi="Garamond"/>
        </w:rPr>
        <w:fldChar w:fldCharType="end"/>
      </w:r>
    </w:p>
  </w:footnote>
  <w:footnote w:id="4">
    <w:p w:rsidR="004C1D5A" w:rsidRPr="00C301FF" w:rsidRDefault="004C1D5A" w:rsidP="00613C20">
      <w:pPr>
        <w:pStyle w:val="FootnoteText"/>
        <w:ind w:firstLine="720"/>
        <w:jc w:val="both"/>
        <w:rPr>
          <w:rFonts w:ascii="Garamond" w:hAnsi="Garamond"/>
          <w:lang w:val="en-US"/>
        </w:rPr>
      </w:pPr>
      <w:r w:rsidRPr="00C301FF">
        <w:rPr>
          <w:rStyle w:val="FootnoteReference"/>
          <w:rFonts w:ascii="Garamond" w:hAnsi="Garamond"/>
        </w:rPr>
        <w:footnoteRef/>
      </w:r>
      <w:r w:rsidRPr="00C301FF">
        <w:rPr>
          <w:rFonts w:ascii="Garamond" w:hAnsi="Garamond"/>
        </w:rPr>
        <w:t xml:space="preserve"> </w:t>
      </w:r>
      <w:r w:rsidRPr="00C301FF">
        <w:rPr>
          <w:rFonts w:ascii="Garamond" w:hAnsi="Garamond"/>
        </w:rPr>
        <w:fldChar w:fldCharType="begin"/>
      </w:r>
      <w:r>
        <w:rPr>
          <w:rFonts w:ascii="Garamond" w:hAnsi="Garamond"/>
        </w:rPr>
        <w:instrText xml:space="preserve"> ADDIN ZOTERO_ITEM CSL_CITATION {"citationID":"yG2fqdP8","properties":{"formattedCitation":"Aseng Yulias Samongilailai, \\uc0\\u8216{}Ibadah Dan Keadilan-Kebenaran (Amos 5:21-24)\\uc0\\u8217{}, {\\i{}Te Deum: Jurnal Teologi Dan Pengembangan Pelayanan} 9, no. 2 (2020): 193\\uc0\\u8211{}213 Nama Kaleb muncul sebanyak 38 kali dalam 38 ayat yakni Kel. 11:7; Bil. 13:6; 13:30; 14:24; 14:30; 26:65; 32:12; 34:19; Ula. 1:36; 23:19; Yos. 4:6; 15:14; 15:16; 15:17; 15:18; Hak. 1:12; 1:13; 1:14; 1:15; 3:9; 1 Sam. 24:15; 30:14; 2 Sam. 3:8; 17:10; 1 Taw. 2:19; 2:42; 2:46; 2:48; 2:49; 2:50; 4:15; Mzm. 22:21; Ams. 26:17; Yes. 66:3; Yer. 48:41; 49:22; Yeh. 28:2; 28:6.","plainCitation":"Aseng Yulias Samongilailai, ‘Ibadah Dan Keadilan-Kebenaran (Amos 5:21-24)’, Te Deum: Jurnal Teologi Dan Pengembangan Pelayanan 9, no. 2 (2020): 193–213 Nama Kaleb muncul sebanyak 38 kali dalam 38 ayat yakni Kel. 11:7; Bil. 13:6; 13:30; 14:24; 14:30; 26:65; 32:12; 34:19; Ula. 1:36; 23:19; Yos. 4:6; 15:14; 15:16; 15:17; 15:18; Hak. 1:12; 1:13; 1:14; 1:15; 3:9; 1 Sam. 24:15; 30:14; 2 Sam. 3:8; 17:10; 1 Taw. 2:19; 2:42; 2:46; 2:48; 2:49; 2:50; 4:15; Mzm. 22:21; Ams. 26:17; Yes. 66:3; Yer. 48:41; 49:22; Yeh. 28:2; 28:6.","dontUpdate":true,"noteIndex":4},"citationItems":[{"id":35,"uris":["http://zotero.org/users/local/weSCt3ZK/items/VCJJ4FWS"],"uri":["http://zotero.org/users/local/weSCt3ZK/items/VCJJ4FWS"],"itemData":{"id":35,"type":"article-journal","container-title":"Te Deum: Jurnal Teologi dan Pengembangan Pelayanan","issue":"2","page":"193-213","title":"Ibadah dan Keadilan-Kebenaran (Amos 5:21-24)","volume":"9","author":[{"literal":"Aseng Yulias Samongilailai"}],"issued":{"date-parts":[["2020"]]}},"suffix":"Nama Kaleb muncul sebanyak 38 kali dalam 38 ayat yakni Kel. 11:7; Bil. 13:6; 13:30; 14:24; 14:30; 26:65; 32:12; 34:19; Ula. 1:36; 23:19; Yos. 4:6; 15:14; 15:16; 15:17; 15:18; Hak. 1:12; 1:13; 1:14; 1:15; 3:9; 1 Sam. 24:15; 30:14; 2 Sam. 3:8; 17:10; 1 Taw. 2:19; 2:42; 2:46; 2:48; 2:49; 2:50; 4:15; Mzm. 22:21; Ams. 26:17; Yes. 66:3; Yer. 48:41; 49:22; Yeh. 28:2; 28:6."}],"schema":"https://github.com/citation-style-language/schema/raw/master/csl-citation.json"} </w:instrText>
      </w:r>
      <w:r w:rsidRPr="00C301FF">
        <w:rPr>
          <w:rFonts w:ascii="Garamond" w:hAnsi="Garamond"/>
        </w:rPr>
        <w:fldChar w:fldCharType="separate"/>
      </w:r>
      <w:r w:rsidRPr="00C301FF">
        <w:rPr>
          <w:rFonts w:ascii="Garamond" w:hAnsi="Garamond"/>
          <w:szCs w:val="24"/>
        </w:rPr>
        <w:t>Nama Kaleb muncul sebanyak 38 kali dalam 38 ayat yakni Kel. 11:7; Bil. 13:6; 13:30; 14:24; 14:30; 26:65; 32:12; 34:19; Ula. 1:36; 23:19; Yos. 4:6; 15:14; 15:16; 15:17; 15:18; Hak. 1:12; 1:13; 1:14; 1:15; 3:9; 1 Sam. 24:15; 30:14; 2 Sam. 3:8; 17:10; 1 Taw. 2:19; 2:42; 2:46; 2:48; 2:49; 2:50; 4:15; Mzm. 22:21; Ams. 26:17; Yes. 66:3; Yer. 48:41; 49:22; Yeh. 28:2; 28:6.</w:t>
      </w:r>
      <w:r w:rsidRPr="00C301FF">
        <w:rPr>
          <w:rFonts w:ascii="Garamond" w:hAnsi="Garamond"/>
        </w:rPr>
        <w:fldChar w:fldCharType="end"/>
      </w:r>
    </w:p>
  </w:footnote>
  <w:footnote w:id="5">
    <w:p w:rsidR="004C1D5A" w:rsidRPr="006025D1" w:rsidRDefault="004C1D5A" w:rsidP="006025D1">
      <w:pPr>
        <w:pStyle w:val="FootnoteText"/>
        <w:ind w:firstLine="720"/>
        <w:jc w:val="both"/>
        <w:rPr>
          <w:lang w:val="en-US"/>
        </w:rPr>
      </w:pPr>
      <w:r>
        <w:rPr>
          <w:rStyle w:val="FootnoteReference"/>
        </w:rPr>
        <w:footnoteRef/>
      </w:r>
      <w:r w:rsidRPr="006025D1">
        <w:rPr>
          <w:rFonts w:ascii="Garamond" w:hAnsi="Garamond"/>
        </w:rPr>
        <w:t xml:space="preserve"> </w:t>
      </w:r>
      <w:r w:rsidRPr="006025D1">
        <w:rPr>
          <w:rFonts w:ascii="Garamond" w:hAnsi="Garamond"/>
        </w:rPr>
        <w:fldChar w:fldCharType="begin"/>
      </w:r>
      <w:r>
        <w:rPr>
          <w:rFonts w:ascii="Garamond" w:hAnsi="Garamond"/>
        </w:rPr>
        <w:instrText xml:space="preserve"> ADDIN ZOTERO_ITEM CSL_CITATION {"citationID":"yP50LIeB","properties":{"formattedCitation":"Lih. Thomas B. Dozeman, \\uc0\\u8216{}The Book of Joshua in Recent Research\\uc0\\u8217{}, {\\i{}Currents in Biblical Research} 15, no. 3 (2017): 270\\uc0\\u8211{}88, https://doi.org/10.1177/1476993X16661918; Stephen Germany, \\uc0\\u8216{}The Hexateuch Hypothesis: A History of Research and Current Approaches\\uc0\\u8217{}, {\\i{}Currents in Biblical Research} 16, no. 2 (n.d.): 131\\uc0\\u8211{}56, https://doi.org/10.1177/1476993X17737067.","plainCitation":"Lih. Thomas B. Dozeman, ‘The Book of Joshua in Recent Research’, Currents in Biblical Research 15, no. 3 (2017): 270–88, https://doi.org/10.1177/1476993X16661918; Stephen Germany, ‘The Hexateuch Hypothesis: A History of Research and Current Approaches’, Currents in Biblical Research 16, no. 2 (n.d.): 131–56, https://doi.org/10.1177/1476993X17737067.","noteIndex":5},"citationItems":[{"id":67,"uris":["http://zotero.org/users/local/weSCt3ZK/items/J3JJWMIG"],"uri":["http://zotero.org/users/local/weSCt3ZK/items/J3JJWMIG"],"itemData":{"id":67,"type":"article-journal","container-title":"Currents in Biblical Research","DOI":"10.1177/1476993X16661918","issue":"3","page":"270-288","title":"The Book of Joshua in Recent Research","volume":"15","author":[{"literal":"Thomas B. Dozeman"}],"issued":{"date-parts":[["2017"]]}},"label":"page","prefix":"Lih."},{"id":73,"uris":["http://zotero.org/users/local/weSCt3ZK/items/Y5U7FBDB"],"uri":["http://zotero.org/users/local/weSCt3ZK/items/Y5U7FBDB"],"itemData":{"id":73,"type":"article-journal","container-title":"Currents in Biblical Research","DOI":"10.1177/1476993X17737067","issue":"2","page":"131-156","title":"The Hexateuch Hypothesis: A History of Research and Current Approaches","volume":"16","author":[{"literal":"Stephen Germany"}]},"label":"page"}],"schema":"https://github.com/citation-style-language/schema/raw/master/csl-citation.json"} </w:instrText>
      </w:r>
      <w:r w:rsidRPr="006025D1">
        <w:rPr>
          <w:rFonts w:ascii="Garamond" w:hAnsi="Garamond"/>
        </w:rPr>
        <w:fldChar w:fldCharType="separate"/>
      </w:r>
      <w:r w:rsidRPr="006025D1">
        <w:rPr>
          <w:rFonts w:ascii="Garamond" w:hAnsi="Garamond"/>
          <w:szCs w:val="24"/>
        </w:rPr>
        <w:t xml:space="preserve">Lih. Thomas B. Dozeman, ‘The Book of Joshua in Recent Research’, </w:t>
      </w:r>
      <w:r w:rsidRPr="006025D1">
        <w:rPr>
          <w:rFonts w:ascii="Garamond" w:hAnsi="Garamond"/>
          <w:i/>
          <w:iCs/>
          <w:szCs w:val="24"/>
        </w:rPr>
        <w:t>Currents in Biblical Research</w:t>
      </w:r>
      <w:r w:rsidRPr="006025D1">
        <w:rPr>
          <w:rFonts w:ascii="Garamond" w:hAnsi="Garamond"/>
          <w:szCs w:val="24"/>
        </w:rPr>
        <w:t xml:space="preserve"> 15, no. 3 (2017): 270–88, https://doi.org/10.1177/1476993X16661918; Stephen Germany, ‘The Hexateuch Hypothesis: A History of Research and Current Approaches’, </w:t>
      </w:r>
      <w:r w:rsidRPr="006025D1">
        <w:rPr>
          <w:rFonts w:ascii="Garamond" w:hAnsi="Garamond"/>
          <w:i/>
          <w:iCs/>
          <w:szCs w:val="24"/>
        </w:rPr>
        <w:t>Currents in Biblical Research</w:t>
      </w:r>
      <w:r w:rsidRPr="006025D1">
        <w:rPr>
          <w:rFonts w:ascii="Garamond" w:hAnsi="Garamond"/>
          <w:szCs w:val="24"/>
        </w:rPr>
        <w:t xml:space="preserve"> 16, no. 2 (n.d.): 131–56, https://doi.org/10.1177/1476993X17737067.</w:t>
      </w:r>
      <w:r w:rsidRPr="006025D1">
        <w:rPr>
          <w:rFonts w:ascii="Garamond" w:hAnsi="Garamond"/>
        </w:rPr>
        <w:fldChar w:fldCharType="end"/>
      </w:r>
    </w:p>
  </w:footnote>
  <w:footnote w:id="6">
    <w:p w:rsidR="004C1D5A" w:rsidRPr="00443A23" w:rsidRDefault="004C1D5A" w:rsidP="00443A23">
      <w:pPr>
        <w:pStyle w:val="FootnoteText"/>
        <w:ind w:firstLine="720"/>
        <w:jc w:val="both"/>
        <w:rPr>
          <w:rFonts w:ascii="Garamond" w:hAnsi="Garamond"/>
          <w:lang w:val="en-US"/>
        </w:rPr>
      </w:pPr>
      <w:r w:rsidRPr="00443A23">
        <w:rPr>
          <w:rStyle w:val="FootnoteReference"/>
          <w:rFonts w:ascii="Garamond" w:hAnsi="Garamond"/>
        </w:rPr>
        <w:footnoteRef/>
      </w:r>
      <w:r w:rsidRPr="00443A23">
        <w:rPr>
          <w:rFonts w:ascii="Garamond" w:hAnsi="Garamond"/>
        </w:rPr>
        <w:t xml:space="preserve"> </w:t>
      </w:r>
      <w:r w:rsidRPr="00443A23">
        <w:rPr>
          <w:rFonts w:ascii="Garamond" w:hAnsi="Garamond"/>
        </w:rPr>
        <w:fldChar w:fldCharType="begin"/>
      </w:r>
      <w:r>
        <w:rPr>
          <w:rFonts w:ascii="Garamond" w:hAnsi="Garamond"/>
        </w:rPr>
        <w:instrText xml:space="preserve"> ADDIN ZOTERO_ITEM CSL_CITATION {"citationID":"TFvOqWXZ","properties":{"formattedCitation":"George Buchanan Gray, {\\i{}Numbers} (Edinburgh: T &amp; T Clark, 1912), 158\\uc0\\u8211{}59.","plainCitation":"George Buchanan Gray, Numbers (Edinburgh: T &amp; T Clark, 1912), 158–59.","noteIndex":6},"citationItems":[{"id":70,"uris":["http://zotero.org/users/local/weSCt3ZK/items/FPZALBAQ"],"uri":["http://zotero.org/users/local/weSCt3ZK/items/FPZALBAQ"],"itemData":{"id":70,"type":"book","event-place":"Edinburgh","publisher":"T &amp; T Clark","publisher-place":"Edinburgh","title":"Numbers","author":[{"literal":"George Buchanan Gray"}],"issued":{"date-parts":[["1912"]]}},"locator":"158-159"}],"schema":"https://github.com/citation-style-language/schema/raw/master/csl-citation.json"} </w:instrText>
      </w:r>
      <w:r w:rsidRPr="00443A23">
        <w:rPr>
          <w:rFonts w:ascii="Garamond" w:hAnsi="Garamond"/>
        </w:rPr>
        <w:fldChar w:fldCharType="separate"/>
      </w:r>
      <w:r w:rsidRPr="00443A23">
        <w:rPr>
          <w:rFonts w:ascii="Garamond" w:hAnsi="Garamond"/>
          <w:szCs w:val="24"/>
        </w:rPr>
        <w:t xml:space="preserve">George Buchanan Gray, </w:t>
      </w:r>
      <w:r w:rsidRPr="00443A23">
        <w:rPr>
          <w:rFonts w:ascii="Garamond" w:hAnsi="Garamond"/>
          <w:i/>
          <w:iCs/>
          <w:szCs w:val="24"/>
        </w:rPr>
        <w:t>Numbers</w:t>
      </w:r>
      <w:r w:rsidRPr="00443A23">
        <w:rPr>
          <w:rFonts w:ascii="Garamond" w:hAnsi="Garamond"/>
          <w:szCs w:val="24"/>
        </w:rPr>
        <w:t xml:space="preserve"> (Edinburgh: T &amp; T Clark, 1912), 158–59.</w:t>
      </w:r>
      <w:r w:rsidRPr="00443A23">
        <w:rPr>
          <w:rFonts w:ascii="Garamond" w:hAnsi="Garamond"/>
        </w:rPr>
        <w:fldChar w:fldCharType="end"/>
      </w:r>
    </w:p>
  </w:footnote>
  <w:footnote w:id="7">
    <w:p w:rsidR="004C1D5A" w:rsidRPr="00443A23" w:rsidRDefault="004C1D5A" w:rsidP="00443A23">
      <w:pPr>
        <w:pStyle w:val="FootnoteText"/>
        <w:ind w:firstLine="720"/>
        <w:jc w:val="both"/>
        <w:rPr>
          <w:rFonts w:ascii="Garamond" w:hAnsi="Garamond"/>
          <w:lang w:val="en-US"/>
        </w:rPr>
      </w:pPr>
      <w:r w:rsidRPr="00443A23">
        <w:rPr>
          <w:rStyle w:val="FootnoteReference"/>
          <w:rFonts w:ascii="Garamond" w:hAnsi="Garamond"/>
        </w:rPr>
        <w:footnoteRef/>
      </w:r>
      <w:r w:rsidRPr="00443A23">
        <w:rPr>
          <w:rFonts w:ascii="Garamond" w:hAnsi="Garamond"/>
        </w:rPr>
        <w:t xml:space="preserve"> </w:t>
      </w:r>
      <w:r w:rsidRPr="00443A23">
        <w:rPr>
          <w:rFonts w:ascii="Garamond" w:hAnsi="Garamond"/>
        </w:rPr>
        <w:fldChar w:fldCharType="begin"/>
      </w:r>
      <w:r>
        <w:rPr>
          <w:rFonts w:ascii="Garamond" w:hAnsi="Garamond"/>
        </w:rPr>
        <w:instrText xml:space="preserve"> ADDIN ZOTERO_ITEM CSL_CITATION {"citationID":"0WbJlplq","properties":{"formattedCitation":"Gordon J. Wenham, {\\i{}Numbers} (Leicester: InterVarsity, 1981), 124.","plainCitation":"Gordon J. Wenham, Numbers (Leicester: InterVarsity, 1981), 124.","noteIndex":7},"citationItems":[{"id":68,"uris":["http://zotero.org/users/local/weSCt3ZK/items/XLCXB662"],"uri":["http://zotero.org/users/local/weSCt3ZK/items/XLCXB662"],"itemData":{"id":68,"type":"book","event-place":"Leicester","publisher":"InterVarsity","publisher-place":"Leicester","title":"Numbers","author":[{"literal":"Gordon J. Wenham"}],"issued":{"date-parts":[["1981"]]}},"locator":"124"}],"schema":"https://github.com/citation-style-language/schema/raw/master/csl-citation.json"} </w:instrText>
      </w:r>
      <w:r w:rsidRPr="00443A23">
        <w:rPr>
          <w:rFonts w:ascii="Garamond" w:hAnsi="Garamond"/>
        </w:rPr>
        <w:fldChar w:fldCharType="separate"/>
      </w:r>
      <w:r w:rsidRPr="00443A23">
        <w:rPr>
          <w:rFonts w:ascii="Garamond" w:hAnsi="Garamond"/>
          <w:szCs w:val="24"/>
        </w:rPr>
        <w:t xml:space="preserve">Gordon J. Wenham, </w:t>
      </w:r>
      <w:r w:rsidRPr="00443A23">
        <w:rPr>
          <w:rFonts w:ascii="Garamond" w:hAnsi="Garamond"/>
          <w:i/>
          <w:iCs/>
          <w:szCs w:val="24"/>
        </w:rPr>
        <w:t>Numbers</w:t>
      </w:r>
      <w:r w:rsidRPr="00443A23">
        <w:rPr>
          <w:rFonts w:ascii="Garamond" w:hAnsi="Garamond"/>
          <w:szCs w:val="24"/>
        </w:rPr>
        <w:t xml:space="preserve"> (Leicester: InterVarsity, 1981), 124.</w:t>
      </w:r>
      <w:r w:rsidRPr="00443A23">
        <w:rPr>
          <w:rFonts w:ascii="Garamond" w:hAnsi="Garamond"/>
        </w:rPr>
        <w:fldChar w:fldCharType="end"/>
      </w:r>
    </w:p>
  </w:footnote>
  <w:footnote w:id="8">
    <w:p w:rsidR="004C1D5A" w:rsidRPr="00443A23" w:rsidRDefault="004C1D5A" w:rsidP="00443A23">
      <w:pPr>
        <w:pStyle w:val="FootnoteText"/>
        <w:ind w:firstLine="720"/>
        <w:jc w:val="both"/>
        <w:rPr>
          <w:rFonts w:ascii="Garamond" w:hAnsi="Garamond"/>
          <w:lang w:val="en-US"/>
        </w:rPr>
      </w:pPr>
      <w:r w:rsidRPr="00443A23">
        <w:rPr>
          <w:rStyle w:val="FootnoteReference"/>
          <w:rFonts w:ascii="Garamond" w:hAnsi="Garamond"/>
        </w:rPr>
        <w:footnoteRef/>
      </w:r>
      <w:r w:rsidRPr="00443A23">
        <w:rPr>
          <w:rFonts w:ascii="Garamond" w:hAnsi="Garamond"/>
        </w:rPr>
        <w:t xml:space="preserve"> </w:t>
      </w:r>
      <w:r w:rsidRPr="00443A23">
        <w:rPr>
          <w:rFonts w:ascii="Garamond" w:hAnsi="Garamond"/>
        </w:rPr>
        <w:fldChar w:fldCharType="begin"/>
      </w:r>
      <w:r>
        <w:rPr>
          <w:rFonts w:ascii="Garamond" w:hAnsi="Garamond"/>
        </w:rPr>
        <w:instrText xml:space="preserve"> ADDIN ZOTERO_ITEM CSL_CITATION {"citationID":"TMfh1ZnP","properties":{"formattedCitation":"Timothy R. Ashley, {\\i{}The Book of Numbers} (Grand Rapids: Eerdmans, 1993), 261.","plainCitation":"Timothy R. Ashley, The Book of Numbers (Grand Rapids: Eerdmans, 1993), 261.","noteIndex":8},"citationItems":[{"id":71,"uris":["http://zotero.org/users/local/weSCt3ZK/items/Z4YVMAU5"],"uri":["http://zotero.org/users/local/weSCt3ZK/items/Z4YVMAU5"],"itemData":{"id":71,"type":"book","event-place":"Grand Rapids","publisher":"Eerdmans","publisher-place":"Grand Rapids","title":"The Book of Numbers","author":[{"literal":"Timothy R. Ashley"}],"issued":{"date-parts":[["1993"]]}},"locator":"261"}],"schema":"https://github.com/citation-style-language/schema/raw/master/csl-citation.json"} </w:instrText>
      </w:r>
      <w:r w:rsidRPr="00443A23">
        <w:rPr>
          <w:rFonts w:ascii="Garamond" w:hAnsi="Garamond"/>
        </w:rPr>
        <w:fldChar w:fldCharType="separate"/>
      </w:r>
      <w:r w:rsidRPr="00443A23">
        <w:rPr>
          <w:rFonts w:ascii="Garamond" w:hAnsi="Garamond"/>
          <w:szCs w:val="24"/>
        </w:rPr>
        <w:t xml:space="preserve">Timothy R. Ashley, </w:t>
      </w:r>
      <w:r w:rsidRPr="00443A23">
        <w:rPr>
          <w:rFonts w:ascii="Garamond" w:hAnsi="Garamond"/>
          <w:i/>
          <w:iCs/>
          <w:szCs w:val="24"/>
        </w:rPr>
        <w:t>The Book of Numbers</w:t>
      </w:r>
      <w:r w:rsidRPr="00443A23">
        <w:rPr>
          <w:rFonts w:ascii="Garamond" w:hAnsi="Garamond"/>
          <w:szCs w:val="24"/>
        </w:rPr>
        <w:t xml:space="preserve"> (Grand Rapids: Eerdmans, 1993), 261.</w:t>
      </w:r>
      <w:r w:rsidRPr="00443A23">
        <w:rPr>
          <w:rFonts w:ascii="Garamond" w:hAnsi="Garamond"/>
        </w:rPr>
        <w:fldChar w:fldCharType="end"/>
      </w:r>
    </w:p>
  </w:footnote>
  <w:footnote w:id="9">
    <w:p w:rsidR="004C1D5A" w:rsidRPr="00443A23" w:rsidRDefault="004C1D5A" w:rsidP="00443A23">
      <w:pPr>
        <w:pStyle w:val="FootnoteText"/>
        <w:ind w:firstLine="720"/>
        <w:jc w:val="both"/>
        <w:rPr>
          <w:lang w:val="en-US"/>
        </w:rPr>
      </w:pPr>
      <w:r w:rsidRPr="00443A23">
        <w:rPr>
          <w:rStyle w:val="FootnoteReference"/>
          <w:rFonts w:ascii="Garamond" w:hAnsi="Garamond"/>
        </w:rPr>
        <w:footnoteRef/>
      </w:r>
      <w:r w:rsidRPr="00443A23">
        <w:rPr>
          <w:rFonts w:ascii="Garamond" w:hAnsi="Garamond"/>
        </w:rPr>
        <w:t xml:space="preserve"> </w:t>
      </w:r>
      <w:r w:rsidRPr="00443A23">
        <w:rPr>
          <w:rFonts w:ascii="Garamond" w:hAnsi="Garamond"/>
        </w:rPr>
        <w:fldChar w:fldCharType="begin"/>
      </w:r>
      <w:r>
        <w:rPr>
          <w:rFonts w:ascii="Garamond" w:hAnsi="Garamond"/>
        </w:rPr>
        <w:instrText xml:space="preserve"> ADDIN ZOTERO_ITEM CSL_CITATION {"citationID":"9Dloy6WM","properties":{"formattedCitation":"Raymond Brown, {\\i{}The Message of Numbers} (Leicester: InterVarsity, 2002), 128.","plainCitation":"Raymond Brown, The Message of Numbers (Leicester: InterVarsity, 2002), 128.","noteIndex":9},"citationItems":[{"id":69,"uris":["http://zotero.org/users/local/weSCt3ZK/items/GWYTP4AC"],"uri":["http://zotero.org/users/local/weSCt3ZK/items/GWYTP4AC"],"itemData":{"id":69,"type":"book","event-place":"Leicester","publisher":"InterVarsity","publisher-place":"Leicester","title":"The Message of Numbers","author":[{"literal":"Raymond Brown"}],"issued":{"date-parts":[["2002"]]}},"locator":"128"}],"schema":"https://github.com/citation-style-language/schema/raw/master/csl-citation.json"} </w:instrText>
      </w:r>
      <w:r w:rsidRPr="00443A23">
        <w:rPr>
          <w:rFonts w:ascii="Garamond" w:hAnsi="Garamond"/>
        </w:rPr>
        <w:fldChar w:fldCharType="separate"/>
      </w:r>
      <w:r w:rsidRPr="00443A23">
        <w:rPr>
          <w:rFonts w:ascii="Garamond" w:hAnsi="Garamond"/>
          <w:szCs w:val="24"/>
        </w:rPr>
        <w:t xml:space="preserve">Raymond Brown, </w:t>
      </w:r>
      <w:r w:rsidRPr="00443A23">
        <w:rPr>
          <w:rFonts w:ascii="Garamond" w:hAnsi="Garamond"/>
          <w:i/>
          <w:iCs/>
          <w:szCs w:val="24"/>
        </w:rPr>
        <w:t>The Message of Numbers</w:t>
      </w:r>
      <w:r w:rsidRPr="00443A23">
        <w:rPr>
          <w:rFonts w:ascii="Garamond" w:hAnsi="Garamond"/>
          <w:szCs w:val="24"/>
        </w:rPr>
        <w:t xml:space="preserve"> (Leicester: InterVarsity, 2002), 128.</w:t>
      </w:r>
      <w:r w:rsidRPr="00443A23">
        <w:rPr>
          <w:rFonts w:ascii="Garamond" w:hAnsi="Garamond"/>
        </w:rPr>
        <w:fldChar w:fldCharType="end"/>
      </w:r>
    </w:p>
  </w:footnote>
  <w:footnote w:id="10">
    <w:p w:rsidR="004C1D5A" w:rsidRPr="003E43A6" w:rsidRDefault="004C1D5A" w:rsidP="00E95297">
      <w:pPr>
        <w:pStyle w:val="FootnoteText"/>
        <w:ind w:firstLine="720"/>
        <w:jc w:val="both"/>
        <w:rPr>
          <w:rFonts w:ascii="Garamond" w:hAnsi="Garamond"/>
          <w:lang w:val="en-US"/>
        </w:rPr>
      </w:pPr>
      <w:r w:rsidRPr="003E43A6">
        <w:rPr>
          <w:rStyle w:val="FootnoteReference"/>
          <w:rFonts w:ascii="Garamond" w:hAnsi="Garamond"/>
        </w:rPr>
        <w:footnoteRef/>
      </w:r>
      <w:r w:rsidRPr="003E43A6">
        <w:rPr>
          <w:rFonts w:ascii="Garamond" w:hAnsi="Garamond"/>
        </w:rPr>
        <w:t xml:space="preserve"> </w:t>
      </w:r>
      <w:r w:rsidRPr="003E43A6">
        <w:rPr>
          <w:rFonts w:ascii="Garamond" w:hAnsi="Garamond"/>
        </w:rPr>
        <w:fldChar w:fldCharType="begin"/>
      </w:r>
      <w:r>
        <w:rPr>
          <w:rFonts w:ascii="Garamond" w:hAnsi="Garamond"/>
        </w:rPr>
        <w:instrText xml:space="preserve"> ADDIN ZOTERO_ITEM CSL_CITATION {"citationID":"f7CNYwnU","properties":{"formattedCitation":"Selengkapnya lihat Itamar Kislev, \\uc0\\u8216{}Joshua (and Caleb) in the Priestly Spies Story and Joshua\\uc0\\u8217{}s Initial Appearance in the Priestly Source: A Contribution to an Assessment of the Pentateuchal Priestly Material\\uc0\\u8217{}, {\\i{}Journal of Biblical Literature} 136, no. 1 (2017): 39\\uc0\\u8211{}55, http://dx.doi.org/10.15699/jbl.1361.2017.156696.","plainCitation":"Selengkapnya lihat Itamar Kislev, ‘Joshua (and Caleb) in the Priestly Spies Story and Joshua’s Initial Appearance in the Priestly Source: A Contribution to an Assessment of the Pentateuchal Priestly Material’, Journal of Biblical Literature 136, no. 1 (2017): 39–55, http://dx.doi.org/10.15699/jbl.1361.2017.156696.","noteIndex":10},"citationItems":[{"id":62,"uris":["http://zotero.org/users/local/weSCt3ZK/items/Z9I9WDQJ"],"uri":["http://zotero.org/users/local/weSCt3ZK/items/Z9I9WDQJ"],"itemData":{"id":62,"type":"article-journal","container-title":"Journal of Biblical Literature","DOI":"http://dx.doi.org/10.15699/jbl.1361.2017.156696","issue":"1","page":"39-55","title":"Joshua (and Caleb) in the Priestly Spies Story and Joshua’s Initial Appearance in the Priestly Source: A Contribution to an Assessment of the Pentateuchal Priestly Material","volume":"136","author":[{"literal":"Itamar Kislev"}],"issued":{"date-parts":[["2017"]]}},"prefix":"Selengkapnya lihat"}],"schema":"https://github.com/citation-style-language/schema/raw/master/csl-citation.json"} </w:instrText>
      </w:r>
      <w:r w:rsidRPr="003E43A6">
        <w:rPr>
          <w:rFonts w:ascii="Garamond" w:hAnsi="Garamond"/>
        </w:rPr>
        <w:fldChar w:fldCharType="separate"/>
      </w:r>
      <w:r w:rsidRPr="003E43A6">
        <w:rPr>
          <w:rFonts w:ascii="Garamond" w:hAnsi="Garamond"/>
          <w:szCs w:val="24"/>
        </w:rPr>
        <w:t xml:space="preserve">Selengkapnya lihat Itamar Kislev, ‘Joshua (and Caleb) in the Priestly Spies Story and Joshua’s Initial Appearance in the Priestly Source: A Contribution to an Assessment of the Pentateuchal Priestly Material’, </w:t>
      </w:r>
      <w:r w:rsidRPr="003E43A6">
        <w:rPr>
          <w:rFonts w:ascii="Garamond" w:hAnsi="Garamond"/>
          <w:i/>
          <w:iCs/>
          <w:szCs w:val="24"/>
        </w:rPr>
        <w:t>Journal of Biblical Literature</w:t>
      </w:r>
      <w:r w:rsidRPr="003E43A6">
        <w:rPr>
          <w:rFonts w:ascii="Garamond" w:hAnsi="Garamond"/>
          <w:szCs w:val="24"/>
        </w:rPr>
        <w:t xml:space="preserve"> 136, no. 1 (2017): 39–55, http://dx.doi.org/10.15699/jbl.1361.2017.156696.</w:t>
      </w:r>
      <w:r w:rsidRPr="003E43A6">
        <w:rPr>
          <w:rFonts w:ascii="Garamond" w:hAnsi="Garamond"/>
        </w:rPr>
        <w:fldChar w:fldCharType="end"/>
      </w:r>
    </w:p>
  </w:footnote>
  <w:footnote w:id="11">
    <w:p w:rsidR="004C1D5A" w:rsidRPr="00C8186B" w:rsidRDefault="004C1D5A" w:rsidP="00C8186B">
      <w:pPr>
        <w:pStyle w:val="FootnoteText"/>
        <w:ind w:firstLine="720"/>
        <w:rPr>
          <w:rFonts w:ascii="Garamond" w:hAnsi="Garamond"/>
          <w:lang w:val="en-US"/>
        </w:rPr>
      </w:pPr>
      <w:r w:rsidRPr="00C8186B">
        <w:rPr>
          <w:rStyle w:val="FootnoteReference"/>
          <w:rFonts w:ascii="Garamond" w:hAnsi="Garamond"/>
        </w:rPr>
        <w:footnoteRef/>
      </w:r>
      <w:r w:rsidRPr="00C8186B">
        <w:rPr>
          <w:rFonts w:ascii="Garamond" w:hAnsi="Garamond"/>
        </w:rPr>
        <w:t xml:space="preserve"> </w:t>
      </w:r>
      <w:r w:rsidRPr="00C8186B">
        <w:rPr>
          <w:rFonts w:ascii="Garamond" w:hAnsi="Garamond"/>
        </w:rPr>
        <w:fldChar w:fldCharType="begin"/>
      </w:r>
      <w:r w:rsidRPr="00C8186B">
        <w:rPr>
          <w:rFonts w:ascii="Garamond" w:hAnsi="Garamond"/>
        </w:rPr>
        <w:instrText xml:space="preserve"> ADDIN ZOTERO_ITEM CSL_CITATION {"citationID":"kFGep6Mo","properties":{"formattedCitation":"Howard J. Curzer, \\uc0\\u8216{}Spies and Lies: Faithful, Courageous Israelites and Truthful Spies\\uc0\\u8217{}, 187\\uc0\\u8211{}95.","plainCitation":"Howard J. Curzer, ‘Spies and Lies: Faithful, Courageous Israelites and Truthful Spies’, 187–95.","noteIndex":11},"citationItems":[{"id":66,"uris":["http://zotero.org/users/local/weSCt3ZK/items/82X9Z4BZ"],"uri":["http://zotero.org/users/local/weSCt3ZK/items/82X9Z4BZ"],"itemData":{"id":66,"type":"article-journal","container-title":"Journal for the Study of the Old Testament","DOI":"https://doi.org/10.1177/0309089210365964","issue":"2","page":"187-195","title":"Spies and Lies: Faithful, Courageous Israelites and Truthful Spies","volume":"35","author":[{"literal":"Howard J. Curzer"}],"issued":{"date-parts":[["2010"]]}},"locator":"187-195"}],"schema":"https://github.com/citation-style-language/schema/raw/master/csl-citation.json"} </w:instrText>
      </w:r>
      <w:r w:rsidRPr="00C8186B">
        <w:rPr>
          <w:rFonts w:ascii="Garamond" w:hAnsi="Garamond"/>
        </w:rPr>
        <w:fldChar w:fldCharType="separate"/>
      </w:r>
      <w:r w:rsidRPr="00C8186B">
        <w:rPr>
          <w:rFonts w:ascii="Garamond" w:hAnsi="Garamond"/>
          <w:szCs w:val="24"/>
        </w:rPr>
        <w:t>Howard J. Curzer, ‘Spies and Lies: Faithful, Courageous Israelites and Truthful Spies’, 187–95.</w:t>
      </w:r>
      <w:r w:rsidRPr="00C8186B">
        <w:rPr>
          <w:rFonts w:ascii="Garamond" w:hAnsi="Garamond"/>
        </w:rPr>
        <w:fldChar w:fldCharType="end"/>
      </w:r>
    </w:p>
  </w:footnote>
  <w:footnote w:id="12">
    <w:p w:rsidR="004C1D5A" w:rsidRPr="0065325F" w:rsidRDefault="004C1D5A" w:rsidP="0065325F">
      <w:pPr>
        <w:pStyle w:val="FootnoteText"/>
        <w:ind w:firstLine="720"/>
        <w:jc w:val="both"/>
        <w:rPr>
          <w:rFonts w:ascii="Garamond" w:hAnsi="Garamond"/>
          <w:lang w:val="en-US"/>
        </w:rPr>
      </w:pPr>
      <w:r w:rsidRPr="0065325F">
        <w:rPr>
          <w:rStyle w:val="FootnoteReference"/>
          <w:rFonts w:ascii="Garamond" w:hAnsi="Garamond"/>
        </w:rPr>
        <w:footnoteRef/>
      </w:r>
      <w:r w:rsidRPr="0065325F">
        <w:rPr>
          <w:rFonts w:ascii="Garamond" w:hAnsi="Garamond"/>
        </w:rPr>
        <w:t xml:space="preserve"> </w:t>
      </w:r>
      <w:r w:rsidRPr="0065325F">
        <w:rPr>
          <w:rFonts w:ascii="Garamond" w:hAnsi="Garamond"/>
        </w:rPr>
        <w:fldChar w:fldCharType="begin"/>
      </w:r>
      <w:r>
        <w:rPr>
          <w:rFonts w:ascii="Garamond" w:hAnsi="Garamond"/>
        </w:rPr>
        <w:instrText xml:space="preserve"> ADDIN ZOTERO_ITEM CSL_CITATION {"citationID":"Xh6moO32","properties":{"formattedCitation":"Benny H. Hoed, {\\i{}Semiotik &amp; Dinamika Sosial Budaya. Ferdinand de Saussure, Roland Barthes, Julia Kristeva, Jacques Derrida, Charles Sanders Peirce, Marcel Danesi &amp; Paul Perron, Dll} (Depok: Komunitas Bambu, 2014), 95\\uc0\\u8211{}96.","plainCitation":"Benny H. Hoed, Semiotik &amp; Dinamika Sosial Budaya. Ferdinand de Saussure, Roland Barthes, Julia Kristeva, Jacques Derrida, Charles Sanders Peirce, Marcel Danesi &amp; Paul Perron, Dll (Depok: Komunitas Bambu, 2014), 95–96.","noteIndex":12},"citationItems":[{"id":74,"uris":["http://zotero.org/users/local/weSCt3ZK/items/ZC7N35AN"],"uri":["http://zotero.org/users/local/weSCt3ZK/items/ZC7N35AN"],"itemData":{"id":74,"type":"book","event-place":"Depok","publisher":"Komunitas Bambu","publisher-place":"Depok","title":"Semiotik &amp; Dinamika Sosial Budaya. Ferdinand de Saussure, Roland Barthes, Julia Kristeva, Jacques Derrida, Charles Sanders Peirce, Marcel Danesi &amp; Paul Perron, dll","author":[{"literal":"Benny H. Hoed"}],"issued":{"date-parts":[["2014"]]}},"locator":"95-96"}],"schema":"https://github.com/citation-style-language/schema/raw/master/csl-citation.json"} </w:instrText>
      </w:r>
      <w:r w:rsidRPr="0065325F">
        <w:rPr>
          <w:rFonts w:ascii="Garamond" w:hAnsi="Garamond"/>
        </w:rPr>
        <w:fldChar w:fldCharType="separate"/>
      </w:r>
      <w:r w:rsidRPr="0065325F">
        <w:rPr>
          <w:rFonts w:ascii="Garamond" w:hAnsi="Garamond"/>
          <w:szCs w:val="24"/>
        </w:rPr>
        <w:t xml:space="preserve">Benny H. Hoed, </w:t>
      </w:r>
      <w:r w:rsidRPr="0065325F">
        <w:rPr>
          <w:rFonts w:ascii="Garamond" w:hAnsi="Garamond"/>
          <w:i/>
          <w:iCs/>
          <w:szCs w:val="24"/>
        </w:rPr>
        <w:t>Semiotik &amp; Dinamika Sosial Budaya. Ferdinand de Saussure, Roland Barthes, Julia Kristeva, Jacques Derrida, Charles Sanders Peirce, Marcel Danesi &amp; Paul Perron, Dll</w:t>
      </w:r>
      <w:r w:rsidRPr="0065325F">
        <w:rPr>
          <w:rFonts w:ascii="Garamond" w:hAnsi="Garamond"/>
          <w:szCs w:val="24"/>
        </w:rPr>
        <w:t xml:space="preserve"> (Depok: Komunitas Bambu, 2014), 95–96.</w:t>
      </w:r>
      <w:r w:rsidRPr="0065325F">
        <w:rPr>
          <w:rFonts w:ascii="Garamond" w:hAnsi="Garamond"/>
        </w:rPr>
        <w:fldChar w:fldCharType="end"/>
      </w:r>
    </w:p>
  </w:footnote>
  <w:footnote w:id="13">
    <w:p w:rsidR="004C1D5A" w:rsidRPr="003E24F3" w:rsidRDefault="004C1D5A" w:rsidP="003E24F3">
      <w:pPr>
        <w:pStyle w:val="FootnoteText"/>
        <w:ind w:firstLine="720"/>
        <w:jc w:val="both"/>
        <w:rPr>
          <w:rFonts w:ascii="Garamond" w:hAnsi="Garamond"/>
          <w:lang w:val="en-US"/>
        </w:rPr>
      </w:pPr>
      <w:r w:rsidRPr="003E24F3">
        <w:rPr>
          <w:rStyle w:val="FootnoteReference"/>
          <w:rFonts w:ascii="Garamond" w:hAnsi="Garamond"/>
        </w:rPr>
        <w:footnoteRef/>
      </w:r>
      <w:r w:rsidRPr="003E24F3">
        <w:rPr>
          <w:rFonts w:ascii="Garamond" w:hAnsi="Garamond"/>
        </w:rPr>
        <w:t xml:space="preserve"> </w:t>
      </w:r>
      <w:r w:rsidRPr="003E24F3">
        <w:rPr>
          <w:rFonts w:ascii="Garamond" w:hAnsi="Garamond"/>
        </w:rPr>
        <w:fldChar w:fldCharType="begin"/>
      </w:r>
      <w:r>
        <w:rPr>
          <w:rFonts w:ascii="Garamond" w:hAnsi="Garamond"/>
        </w:rPr>
        <w:instrText xml:space="preserve"> ADDIN ZOTERO_ITEM CSL_CITATION {"citationID":"vwl5fGn4","properties":{"formattedCitation":"Grant R. Osborne, {\\i{}The Hermeneutical Spiral: A Comprehensive Introduction to Biblical Interpretation} (Downers Grove, Illinois: InterVarsity, 1991); Lih. Aseng Yulias Samongilailai, \\uc0\\u8216{}Studi Gramatikal Galatia 2:11-14: Patutkah Menegur Pemimpin Rohani?\\uc0\\u8217{}, {\\i{}Dunamis: Jurnal Teologi Dan Pendidikan Kristiani} 4, no. 2 (April 2020): 186, https://doi.org/10.30648/dun.v4i2.254.","plainCitation":"Grant R. Osborne, The Hermeneutical Spiral: A Comprehensive Introduction to Biblical Interpretation (Downers Grove, Illinois: InterVarsity, 1991); Lih. Aseng Yulias Samongilailai, ‘Studi Gramatikal Galatia 2:11-14: Patutkah Menegur Pemimpin Rohani?’, Dunamis: Jurnal Teologi Dan Pendidikan Kristiani 4, no. 2 (April 2020): 186, https://doi.org/10.30648/dun.v4i2.254.","noteIndex":13},"citationItems":[{"id":16,"uris":["http://zotero.org/users/local/weSCt3ZK/items/7YLAI7PW"],"uri":["http://zotero.org/users/local/weSCt3ZK/items/7YLAI7PW"],"itemData":{"id":16,"type":"book","event-place":"Downers Grove, Illinois","publisher":"InterVarsity","publisher-place":"Downers Grove, Illinois","title":"The Hermeneutical Spiral: A Comprehensive Introduction to Biblical Interpretation","author":[{"literal":"Grant R. Osborne"}],"issued":{"date-parts":[["1991"]]}}},{"id":17,"uris":["http://zotero.org/users/local/weSCt3ZK/items/5SG3IIC3"],"uri":["http://zotero.org/users/local/weSCt3ZK/items/5SG3IIC3"],"itemData":{"id":17,"type":"article-journal","container-title":"Dunamis: Jurnal Teologi dan Pendidikan Kristiani","DOI":"10.30648/dun.v4i2.254","issue":"2","page":"183-206","title":"Studi Gramatikal Galatia 2:11-14: Patutkah Menegur Pemimpin Rohani?","volume":"4","author":[{"literal":"Aseng Yulias Samongilailai"}],"issued":{"date-parts":[["2020",4]]}},"locator":"186","prefix":"Lih."}],"schema":"https://github.com/citation-style-language/schema/raw/master/csl-citation.json"} </w:instrText>
      </w:r>
      <w:r w:rsidRPr="003E24F3">
        <w:rPr>
          <w:rFonts w:ascii="Garamond" w:hAnsi="Garamond"/>
        </w:rPr>
        <w:fldChar w:fldCharType="separate"/>
      </w:r>
      <w:r w:rsidRPr="003E24F3">
        <w:rPr>
          <w:rFonts w:ascii="Garamond" w:hAnsi="Garamond"/>
          <w:szCs w:val="24"/>
        </w:rPr>
        <w:t xml:space="preserve">Grant R. Osborne, </w:t>
      </w:r>
      <w:r w:rsidRPr="003E24F3">
        <w:rPr>
          <w:rFonts w:ascii="Garamond" w:hAnsi="Garamond"/>
          <w:i/>
          <w:iCs/>
          <w:szCs w:val="24"/>
        </w:rPr>
        <w:t>The Hermeneutical Spiral: A Comprehensive Introduction to Biblical Interpretation</w:t>
      </w:r>
      <w:r w:rsidRPr="003E24F3">
        <w:rPr>
          <w:rFonts w:ascii="Garamond" w:hAnsi="Garamond"/>
          <w:szCs w:val="24"/>
        </w:rPr>
        <w:t xml:space="preserve"> (Downers Grove, Illinois: InterVarsity, 1991); Lih. Aseng Yulias Samongilailai, ‘Studi Gramatikal Galatia 2:11-14: Patutkah Menegur Pemimpin Rohani?’, </w:t>
      </w:r>
      <w:r w:rsidRPr="003E24F3">
        <w:rPr>
          <w:rFonts w:ascii="Garamond" w:hAnsi="Garamond"/>
          <w:i/>
          <w:iCs/>
          <w:szCs w:val="24"/>
        </w:rPr>
        <w:t>Dunamis: Jurnal Teologi Dan Pendidikan Kristiani</w:t>
      </w:r>
      <w:r w:rsidRPr="003E24F3">
        <w:rPr>
          <w:rFonts w:ascii="Garamond" w:hAnsi="Garamond"/>
          <w:szCs w:val="24"/>
        </w:rPr>
        <w:t xml:space="preserve"> 4, no. 2 (April 2020): 186, https://doi.org/10.30648/dun.v4i2.254.</w:t>
      </w:r>
      <w:r w:rsidRPr="003E24F3">
        <w:rPr>
          <w:rFonts w:ascii="Garamond" w:hAnsi="Garamond"/>
        </w:rPr>
        <w:fldChar w:fldCharType="end"/>
      </w:r>
    </w:p>
  </w:footnote>
  <w:footnote w:id="14">
    <w:p w:rsidR="004C1D5A" w:rsidRPr="00665F51" w:rsidRDefault="004C1D5A" w:rsidP="00665F51">
      <w:pPr>
        <w:pStyle w:val="FootnoteText"/>
        <w:ind w:firstLine="720"/>
        <w:jc w:val="both"/>
        <w:rPr>
          <w:rFonts w:ascii="Garamond" w:hAnsi="Garamond"/>
          <w:lang w:val="en-US"/>
        </w:rPr>
      </w:pPr>
      <w:r w:rsidRPr="00665F51">
        <w:rPr>
          <w:rStyle w:val="FootnoteReference"/>
          <w:rFonts w:ascii="Garamond" w:hAnsi="Garamond"/>
        </w:rPr>
        <w:footnoteRef/>
      </w:r>
      <w:r w:rsidRPr="00665F51">
        <w:rPr>
          <w:rFonts w:ascii="Garamond" w:hAnsi="Garamond"/>
        </w:rPr>
        <w:t xml:space="preserve"> </w:t>
      </w:r>
      <w:r w:rsidRPr="00665F51">
        <w:rPr>
          <w:rFonts w:ascii="Garamond" w:hAnsi="Garamond"/>
        </w:rPr>
        <w:fldChar w:fldCharType="begin"/>
      </w:r>
      <w:r w:rsidRPr="00665F51">
        <w:rPr>
          <w:rFonts w:ascii="Garamond" w:hAnsi="Garamond"/>
        </w:rPr>
        <w:instrText xml:space="preserve"> ADDIN ZOTERO_ITEM CSL_CITATION {"citationID":"wvBBL4Ss","properties":{"formattedCitation":"Terence E. Fretheim, \\uc0\\u8216{}Numbers\\uc0\\u8217{}, in {\\i{}The Pentateuch}, ed. John Muddiman and John Barton, The Oxford Bible Commentary (Oxford: Oxford University Press, 2010), 153.","plainCitation":"Terence E. Fretheim, ‘Numbers’, in The Pentateuch, ed. John Muddiman and John Barton, The Oxford Bible Commentary (Oxford: Oxford University Press, 2010), 153.","noteIndex":14},"citationItems":[{"id":76,"uris":["http://zotero.org/users/local/weSCt3ZK/items/5UP5B3MJ"],"uri":["http://zotero.org/users/local/weSCt3ZK/items/5UP5B3MJ"],"itemData":{"id":76,"type":"chapter","collection-title":"The Oxford Bible Commentary","container-title":"The Pentateuch","event-place":"Oxford","publisher":"Oxford University Press","publisher-place":"Oxford","title":"Numbers","author":[{"literal":"Terence E. Fretheim"}],"editor":[{"literal":"John Muddiman"},{"literal":"John Barton"}],"issued":{"date-parts":[["2010"]]}},"locator":"153"}],"schema":"https://github.com/citation-style-language/schema/raw/master/csl-citation.json"} </w:instrText>
      </w:r>
      <w:r w:rsidRPr="00665F51">
        <w:rPr>
          <w:rFonts w:ascii="Garamond" w:hAnsi="Garamond"/>
        </w:rPr>
        <w:fldChar w:fldCharType="separate"/>
      </w:r>
      <w:r w:rsidRPr="00665F51">
        <w:rPr>
          <w:rFonts w:ascii="Garamond" w:hAnsi="Garamond"/>
          <w:szCs w:val="24"/>
        </w:rPr>
        <w:t xml:space="preserve">Terence E. Fretheim, ‘Numbers’, in </w:t>
      </w:r>
      <w:r w:rsidRPr="00665F51">
        <w:rPr>
          <w:rFonts w:ascii="Garamond" w:hAnsi="Garamond"/>
          <w:i/>
          <w:iCs/>
          <w:szCs w:val="24"/>
        </w:rPr>
        <w:t>The Pentateuch</w:t>
      </w:r>
      <w:r w:rsidRPr="00665F51">
        <w:rPr>
          <w:rFonts w:ascii="Garamond" w:hAnsi="Garamond"/>
          <w:szCs w:val="24"/>
        </w:rPr>
        <w:t>, ed. John Muddiman and John Barton, The Oxford Bible Commentary (Oxford: Oxford University Press, 2010), 153.</w:t>
      </w:r>
      <w:r w:rsidRPr="00665F51">
        <w:rPr>
          <w:rFonts w:ascii="Garamond" w:hAnsi="Garamond"/>
        </w:rPr>
        <w:fldChar w:fldCharType="end"/>
      </w:r>
    </w:p>
  </w:footnote>
  <w:footnote w:id="15">
    <w:p w:rsidR="004C1D5A" w:rsidRPr="00570B33" w:rsidRDefault="004C1D5A" w:rsidP="00570B33">
      <w:pPr>
        <w:pStyle w:val="FootnoteText"/>
        <w:ind w:firstLine="720"/>
        <w:jc w:val="both"/>
        <w:rPr>
          <w:rFonts w:ascii="Garamond" w:hAnsi="Garamond"/>
          <w:lang w:val="en-US"/>
        </w:rPr>
      </w:pPr>
      <w:r w:rsidRPr="00570B33">
        <w:rPr>
          <w:rStyle w:val="FootnoteReference"/>
          <w:rFonts w:ascii="Garamond" w:hAnsi="Garamond"/>
        </w:rPr>
        <w:footnoteRef/>
      </w:r>
      <w:r w:rsidRPr="00570B33">
        <w:rPr>
          <w:rFonts w:ascii="Garamond" w:hAnsi="Garamond"/>
        </w:rPr>
        <w:t xml:space="preserve"> </w:t>
      </w:r>
      <w:r w:rsidRPr="00570B33">
        <w:rPr>
          <w:rFonts w:ascii="Garamond" w:hAnsi="Garamond"/>
        </w:rPr>
        <w:fldChar w:fldCharType="begin"/>
      </w:r>
      <w:r>
        <w:rPr>
          <w:rFonts w:ascii="Garamond" w:hAnsi="Garamond"/>
        </w:rPr>
        <w:instrText xml:space="preserve"> ADDIN ZOTERO_ITEM CSL_CITATION {"citationID":"8y7xrELg","properties":{"formattedCitation":"Agus Santoso, {\\i{}Satu Iota Tak Akan Ditiadakan: Pengantar Ke Dalam Perjanjian Lama} (Cipanas: STT Cipanas Press, 2014), 33\\uc0\\u8211{}35.","plainCitation":"Agus Santoso, Satu Iota Tak Akan Ditiadakan: Pengantar Ke Dalam Perjanjian Lama (Cipanas: STT Cipanas Press, 2014), 33–35.","noteIndex":15},"citationItems":[{"id":30,"uris":["http://zotero.org/users/local/weSCt3ZK/items/V5EFAJCF"],"uri":["http://zotero.org/users/local/weSCt3ZK/items/V5EFAJCF"],"itemData":{"id":30,"type":"book","event-place":"Cipanas","publisher":"STT Cipanas Press","publisher-place":"Cipanas","title":"Satu Iota Tak Akan Ditiadakan: Pengantar Ke Dalam Perjanjian Lama","author":[{"literal":"Agus Santoso"}],"issued":{"date-parts":[["2014"]]}},"locator":"33-35"}],"schema":"https://github.com/citation-style-language/schema/raw/master/csl-citation.json"} </w:instrText>
      </w:r>
      <w:r w:rsidRPr="00570B33">
        <w:rPr>
          <w:rFonts w:ascii="Garamond" w:hAnsi="Garamond"/>
        </w:rPr>
        <w:fldChar w:fldCharType="separate"/>
      </w:r>
      <w:r w:rsidRPr="00570B33">
        <w:rPr>
          <w:rFonts w:ascii="Garamond" w:hAnsi="Garamond"/>
          <w:szCs w:val="24"/>
        </w:rPr>
        <w:t xml:space="preserve">Agus Santoso, </w:t>
      </w:r>
      <w:r w:rsidRPr="00570B33">
        <w:rPr>
          <w:rFonts w:ascii="Garamond" w:hAnsi="Garamond"/>
          <w:i/>
          <w:iCs/>
          <w:szCs w:val="24"/>
        </w:rPr>
        <w:t>Satu Iota Tak Akan Ditiadakan: Pengantar Ke Dalam Perjanjian Lama</w:t>
      </w:r>
      <w:r w:rsidRPr="00570B33">
        <w:rPr>
          <w:rFonts w:ascii="Garamond" w:hAnsi="Garamond"/>
          <w:szCs w:val="24"/>
        </w:rPr>
        <w:t xml:space="preserve"> (Cipanas: STT Cipanas Press, 2014), 33–35.</w:t>
      </w:r>
      <w:r w:rsidRPr="00570B33">
        <w:rPr>
          <w:rFonts w:ascii="Garamond" w:hAnsi="Garamond"/>
        </w:rPr>
        <w:fldChar w:fldCharType="end"/>
      </w:r>
    </w:p>
  </w:footnote>
  <w:footnote w:id="16">
    <w:p w:rsidR="004C1D5A" w:rsidRPr="00DB1971" w:rsidRDefault="004C1D5A" w:rsidP="00DB1971">
      <w:pPr>
        <w:pStyle w:val="FootnoteText"/>
        <w:ind w:firstLine="720"/>
        <w:jc w:val="both"/>
        <w:rPr>
          <w:rFonts w:ascii="Garamond" w:hAnsi="Garamond"/>
          <w:lang w:val="en-US"/>
        </w:rPr>
      </w:pPr>
      <w:r w:rsidRPr="00DB1971">
        <w:rPr>
          <w:rStyle w:val="FootnoteReference"/>
          <w:rFonts w:ascii="Garamond" w:hAnsi="Garamond"/>
        </w:rPr>
        <w:footnoteRef/>
      </w:r>
      <w:r w:rsidRPr="00DB1971">
        <w:rPr>
          <w:rFonts w:ascii="Garamond" w:hAnsi="Garamond"/>
        </w:rPr>
        <w:t xml:space="preserve"> </w:t>
      </w:r>
      <w:r w:rsidRPr="00DB1971">
        <w:rPr>
          <w:rFonts w:ascii="Garamond" w:hAnsi="Garamond"/>
        </w:rPr>
        <w:fldChar w:fldCharType="begin"/>
      </w:r>
      <w:r>
        <w:rPr>
          <w:rFonts w:ascii="Garamond" w:hAnsi="Garamond"/>
        </w:rPr>
        <w:instrText xml:space="preserve"> ADDIN ZOTERO_ITEM CSL_CITATION {"citationID":"MJWPUJY9","properties":{"formattedCitation":"Agus Santoso, 37 Sumber N, merupakan tradisi yang tumbuh pada masa kerajaan Israel Raya yang mana sebelumnya telah lama beredar secara turun temurun sejak pra-kerajaan. Tradisi ini diistilahkan nomaden dikarenakan tradisi ini tumbuh dan tersebar dari kalangan Israel semi-nomaden pada masa pra-kerajaan yang memasuki tradisi tertulis. N diperkirakan muncul antara tahun 950-850 sM. Editor N diduga berasal dari kalangan masyarakat penggembala yang setia kepada Yahweh, dan yang bersikap kritis terhadap kultur Kanaan. .","plainCitation":"Agus Santoso, 37 Sumber N, merupakan tradisi yang tumbuh pada masa kerajaan Israel Raya yang mana sebelumnya telah lama beredar secara turun temurun sejak pra-kerajaan. Tradisi ini diistilahkan nomaden dikarenakan tradisi ini tumbuh dan tersebar dari kalangan Israel semi-nomaden pada masa pra-kerajaan yang memasuki tradisi tertulis. N diperkirakan muncul antara tahun 950-850 sM. Editor N diduga berasal dari kalangan masyarakat penggembala yang setia kepada Yahweh, dan yang bersikap kritis terhadap kultur Kanaan. .","dontUpdate":true,"noteIndex":16},"citationItems":[{"id":30,"uris":["http://zotero.org/users/local/weSCt3ZK/items/V5EFAJCF"],"uri":["http://zotero.org/users/local/weSCt3ZK/items/V5EFAJCF"],"itemData":{"id":30,"type":"book","event-place":"Cipanas","publisher":"STT Cipanas Press","publisher-place":"Cipanas","title":"Satu Iota Tak Akan Ditiadakan: Pengantar Ke Dalam Perjanjian Lama","author":[{"literal":"Agus Santoso"}],"issued":{"date-parts":[["2014"]]}},"locator":"37","suffix":"Sumber N, merupakan tradisi yang tumbuh pada masa kerajaan Israel Raya yang mana sebelumnya telah lama beredar secara turun temurun sejak pra-kerajaan. Tradisi ini diistilahkan nomaden dikarenakan tradisi ini tumbuh dan tersebar dari kalangan Israel semi-nomaden pada masa pra-kerajaan yang memasuki tradisi tertulis. N diperkirakan muncul antara tahun 950-850 sM. Editor N diduga berasal dari kalangan masyarakat penggembala yang setia kepada Yahweh, dan yang bersikap kritis terhadap kultur Kanaan. "}],"schema":"https://github.com/citation-style-language/schema/raw/master/csl-citation.json"} </w:instrText>
      </w:r>
      <w:r w:rsidRPr="00DB1971">
        <w:rPr>
          <w:rFonts w:ascii="Garamond" w:hAnsi="Garamond"/>
        </w:rPr>
        <w:fldChar w:fldCharType="separate"/>
      </w:r>
      <w:r w:rsidRPr="00DB1971">
        <w:rPr>
          <w:rFonts w:ascii="Garamond" w:hAnsi="Garamond"/>
        </w:rPr>
        <w:t>Agus Santoso, 37</w:t>
      </w:r>
      <w:r>
        <w:rPr>
          <w:rFonts w:ascii="Garamond" w:hAnsi="Garamond"/>
        </w:rPr>
        <w:t>;</w:t>
      </w:r>
      <w:r w:rsidRPr="00DB1971">
        <w:rPr>
          <w:rFonts w:ascii="Garamond" w:hAnsi="Garamond"/>
        </w:rPr>
        <w:t xml:space="preserve"> Sumber N, merupakan tradisi yang tumbuh pada masa kerajaan Israel Raya yang mana sebelumnya telah lama beredar secara turun temurun sejak pra-kerajaan. Tradisi ini diistilahkan nomaden dikarenakan tradisi ini tumbuh dan tersebar dari kalangan Israel semi-nomaden pada masa pra-kerajaan yang memasuki tradisi tertulis. N diperkirakan muncul antara tahun 950-850 sM. Editor N diduga berasal dari kalangan masyarakat penggembala yang setia kepada Yahweh, dan yang bersikap kritis terhadap kultur Kanaan.</w:t>
      </w:r>
      <w:r w:rsidRPr="00DB1971">
        <w:rPr>
          <w:rFonts w:ascii="Garamond" w:hAnsi="Garamond"/>
        </w:rPr>
        <w:fldChar w:fldCharType="end"/>
      </w:r>
    </w:p>
  </w:footnote>
  <w:footnote w:id="17">
    <w:p w:rsidR="004C1D5A" w:rsidRPr="00A37774" w:rsidRDefault="004C1D5A" w:rsidP="00A37774">
      <w:pPr>
        <w:pStyle w:val="FootnoteText"/>
        <w:ind w:firstLine="720"/>
        <w:jc w:val="both"/>
        <w:rPr>
          <w:rFonts w:ascii="Garamond" w:hAnsi="Garamond"/>
          <w:lang w:val="en-US"/>
        </w:rPr>
      </w:pPr>
      <w:r w:rsidRPr="00A37774">
        <w:rPr>
          <w:rStyle w:val="FootnoteReference"/>
          <w:rFonts w:ascii="Garamond" w:hAnsi="Garamond"/>
        </w:rPr>
        <w:footnoteRef/>
      </w:r>
      <w:r w:rsidRPr="00A37774">
        <w:rPr>
          <w:rFonts w:ascii="Garamond" w:hAnsi="Garamond"/>
        </w:rPr>
        <w:t xml:space="preserve"> </w:t>
      </w:r>
      <w:r w:rsidRPr="00A37774">
        <w:rPr>
          <w:rFonts w:ascii="Garamond" w:hAnsi="Garamond"/>
        </w:rPr>
        <w:fldChar w:fldCharType="begin"/>
      </w:r>
      <w:r>
        <w:rPr>
          <w:rFonts w:ascii="Garamond" w:hAnsi="Garamond"/>
        </w:rPr>
        <w:instrText xml:space="preserve"> ADDIN ZOTERO_ITEM CSL_CITATION {"citationID":"gBssTrCN","properties":{"formattedCitation":"Barnabas Ludji, {\\i{}Pemahaman Dasar Perjanjian Lama 1: Untuk Studi Kritis} (Bandung: Bina Media Informasi, 2009), 100.","plainCitation":"Barnabas Ludji, Pemahaman Dasar Perjanjian Lama 1: Untuk Studi Kritis (Bandung: Bina Media Informasi, 2009), 100.","noteIndex":17},"citationItems":[{"id":2,"uris":["http://zotero.org/users/local/weSCt3ZK/items/X2MPJT6G"],"uri":["http://zotero.org/users/local/weSCt3ZK/items/X2MPJT6G"],"itemData":{"id":2,"type":"book","event-place":"Bandung","publisher":"Bina Media Informasi","publisher-place":"Bandung","title":"Pemahaman Dasar Perjanjian Lama 1: Untuk Studi Kritis","author":[{"literal":"Barnabas Ludji"}],"issued":{"date-parts":[["2009"]]}},"locator":"100"}],"schema":"https://github.com/citation-style-language/schema/raw/master/csl-citation.json"} </w:instrText>
      </w:r>
      <w:r w:rsidRPr="00A37774">
        <w:rPr>
          <w:rFonts w:ascii="Garamond" w:hAnsi="Garamond"/>
        </w:rPr>
        <w:fldChar w:fldCharType="separate"/>
      </w:r>
      <w:r w:rsidRPr="00A37774">
        <w:rPr>
          <w:rFonts w:ascii="Garamond" w:hAnsi="Garamond"/>
          <w:szCs w:val="24"/>
        </w:rPr>
        <w:t xml:space="preserve">Barnabas Ludji, </w:t>
      </w:r>
      <w:r w:rsidRPr="00A37774">
        <w:rPr>
          <w:rFonts w:ascii="Garamond" w:hAnsi="Garamond"/>
          <w:i/>
          <w:iCs/>
          <w:szCs w:val="24"/>
        </w:rPr>
        <w:t>Pemahaman Dasar Perjanjian Lama 1: Untuk Studi Kritis</w:t>
      </w:r>
      <w:r w:rsidRPr="00A37774">
        <w:rPr>
          <w:rFonts w:ascii="Garamond" w:hAnsi="Garamond"/>
          <w:szCs w:val="24"/>
        </w:rPr>
        <w:t xml:space="preserve"> (Bandung: Bina Media Informasi, 2009), 100.</w:t>
      </w:r>
      <w:r w:rsidRPr="00A37774">
        <w:rPr>
          <w:rFonts w:ascii="Garamond" w:hAnsi="Garamond"/>
        </w:rPr>
        <w:fldChar w:fldCharType="end"/>
      </w:r>
    </w:p>
  </w:footnote>
  <w:footnote w:id="18">
    <w:p w:rsidR="004C1D5A" w:rsidRPr="00B5728E" w:rsidRDefault="004C1D5A" w:rsidP="00B5728E">
      <w:pPr>
        <w:pStyle w:val="FootnoteText"/>
        <w:ind w:firstLine="720"/>
        <w:jc w:val="both"/>
        <w:rPr>
          <w:rFonts w:ascii="Garamond" w:hAnsi="Garamond"/>
          <w:lang w:val="en-US"/>
        </w:rPr>
      </w:pPr>
      <w:r w:rsidRPr="00B5728E">
        <w:rPr>
          <w:rStyle w:val="FootnoteReference"/>
          <w:rFonts w:ascii="Garamond" w:hAnsi="Garamond"/>
        </w:rPr>
        <w:footnoteRef/>
      </w:r>
      <w:r w:rsidRPr="00B5728E">
        <w:rPr>
          <w:rFonts w:ascii="Garamond" w:hAnsi="Garamond"/>
        </w:rPr>
        <w:t xml:space="preserve"> </w:t>
      </w:r>
      <w:r w:rsidRPr="00B5728E">
        <w:rPr>
          <w:rFonts w:ascii="Garamond" w:hAnsi="Garamond"/>
        </w:rPr>
        <w:fldChar w:fldCharType="begin"/>
      </w:r>
      <w:r>
        <w:rPr>
          <w:rFonts w:ascii="Garamond" w:hAnsi="Garamond"/>
        </w:rPr>
        <w:instrText xml:space="preserve"> ADDIN ZOTERO_ITEM CSL_CITATION {"citationID":"XAkxurgx","properties":{"formattedCitation":"Agus Santoso, {\\i{}Satu Iota Tak Akan Ditiadakan: Pengantar Ke Dalam Perjanjian Lama}, 35.","plainCitation":"Agus Santoso, Satu Iota Tak Akan Ditiadakan: Pengantar Ke Dalam Perjanjian Lama, 35.","noteIndex":18},"citationItems":[{"id":30,"uris":["http://zotero.org/users/local/weSCt3ZK/items/V5EFAJCF"],"uri":["http://zotero.org/users/local/weSCt3ZK/items/V5EFAJCF"],"itemData":{"id":30,"type":"book","event-place":"Cipanas","publisher":"STT Cipanas Press","publisher-place":"Cipanas","title":"Satu Iota Tak Akan Ditiadakan: Pengantar Ke Dalam Perjanjian Lama","author":[{"literal":"Agus Santoso"}],"issued":{"date-parts":[["2014"]]}},"locator":"35"}],"schema":"https://github.com/citation-style-language/schema/raw/master/csl-citation.json"} </w:instrText>
      </w:r>
      <w:r w:rsidRPr="00B5728E">
        <w:rPr>
          <w:rFonts w:ascii="Garamond" w:hAnsi="Garamond"/>
        </w:rPr>
        <w:fldChar w:fldCharType="separate"/>
      </w:r>
      <w:r w:rsidRPr="00B5728E">
        <w:rPr>
          <w:rFonts w:ascii="Garamond" w:hAnsi="Garamond"/>
          <w:szCs w:val="24"/>
        </w:rPr>
        <w:t xml:space="preserve">Agus Santoso, </w:t>
      </w:r>
      <w:r w:rsidRPr="00B5728E">
        <w:rPr>
          <w:rFonts w:ascii="Garamond" w:hAnsi="Garamond"/>
          <w:i/>
          <w:iCs/>
          <w:szCs w:val="24"/>
        </w:rPr>
        <w:t>Satu Iota Tak Akan Ditiadakan: Pengantar Ke Dalam Perjanjian Lama</w:t>
      </w:r>
      <w:r w:rsidRPr="00B5728E">
        <w:rPr>
          <w:rFonts w:ascii="Garamond" w:hAnsi="Garamond"/>
          <w:szCs w:val="24"/>
        </w:rPr>
        <w:t>, 35.</w:t>
      </w:r>
      <w:r w:rsidRPr="00B5728E">
        <w:rPr>
          <w:rFonts w:ascii="Garamond" w:hAnsi="Garamond"/>
        </w:rPr>
        <w:fldChar w:fldCharType="end"/>
      </w:r>
    </w:p>
  </w:footnote>
  <w:footnote w:id="19">
    <w:p w:rsidR="004C1D5A" w:rsidRPr="00B5728E" w:rsidRDefault="004C1D5A" w:rsidP="00B5728E">
      <w:pPr>
        <w:pStyle w:val="FootnoteText"/>
        <w:ind w:firstLine="720"/>
        <w:jc w:val="both"/>
        <w:rPr>
          <w:rFonts w:ascii="Garamond" w:hAnsi="Garamond"/>
          <w:lang w:val="en-US"/>
        </w:rPr>
      </w:pPr>
      <w:r w:rsidRPr="00B5728E">
        <w:rPr>
          <w:rStyle w:val="FootnoteReference"/>
          <w:rFonts w:ascii="Garamond" w:hAnsi="Garamond"/>
        </w:rPr>
        <w:footnoteRef/>
      </w:r>
      <w:r w:rsidRPr="00B5728E">
        <w:rPr>
          <w:rFonts w:ascii="Garamond" w:hAnsi="Garamond"/>
        </w:rPr>
        <w:t xml:space="preserve"> </w:t>
      </w:r>
      <w:r w:rsidRPr="00B5728E">
        <w:rPr>
          <w:rFonts w:ascii="Garamond" w:hAnsi="Garamond"/>
        </w:rPr>
        <w:fldChar w:fldCharType="begin"/>
      </w:r>
      <w:r>
        <w:rPr>
          <w:rFonts w:ascii="Garamond" w:hAnsi="Garamond"/>
        </w:rPr>
        <w:instrText xml:space="preserve"> ADDIN ZOTERO_ITEM CSL_CITATION {"citationID":"iPxREPJA","properties":{"formattedCitation":"Barnabas Ludji, {\\i{}Pemahaman Dasar Perjanjian Lama 1: Untuk Studi Kritis}, 104.","plainCitation":"Barnabas Ludji, Pemahaman Dasar Perjanjian Lama 1: Untuk Studi Kritis, 104.","noteIndex":19},"citationItems":[{"id":2,"uris":["http://zotero.org/users/local/weSCt3ZK/items/X2MPJT6G"],"uri":["http://zotero.org/users/local/weSCt3ZK/items/X2MPJT6G"],"itemData":{"id":2,"type":"book","event-place":"Bandung","publisher":"Bina Media Informasi","publisher-place":"Bandung","title":"Pemahaman Dasar Perjanjian Lama 1: Untuk Studi Kritis","author":[{"literal":"Barnabas Ludji"}],"issued":{"date-parts":[["2009"]]}},"locator":"104"}],"schema":"https://github.com/citation-style-language/schema/raw/master/csl-citation.json"} </w:instrText>
      </w:r>
      <w:r w:rsidRPr="00B5728E">
        <w:rPr>
          <w:rFonts w:ascii="Garamond" w:hAnsi="Garamond"/>
        </w:rPr>
        <w:fldChar w:fldCharType="separate"/>
      </w:r>
      <w:r w:rsidRPr="00B5728E">
        <w:rPr>
          <w:rFonts w:ascii="Garamond" w:hAnsi="Garamond"/>
          <w:szCs w:val="24"/>
        </w:rPr>
        <w:t xml:space="preserve">Barnabas Ludji, </w:t>
      </w:r>
      <w:r w:rsidRPr="00B5728E">
        <w:rPr>
          <w:rFonts w:ascii="Garamond" w:hAnsi="Garamond"/>
          <w:i/>
          <w:iCs/>
          <w:szCs w:val="24"/>
        </w:rPr>
        <w:t>Pemahaman Dasar Perjanjian Lama 1: Untuk Studi Kritis</w:t>
      </w:r>
      <w:r w:rsidRPr="00B5728E">
        <w:rPr>
          <w:rFonts w:ascii="Garamond" w:hAnsi="Garamond"/>
          <w:szCs w:val="24"/>
        </w:rPr>
        <w:t>, 104.</w:t>
      </w:r>
      <w:r w:rsidRPr="00B5728E">
        <w:rPr>
          <w:rFonts w:ascii="Garamond" w:hAnsi="Garamond"/>
        </w:rPr>
        <w:fldChar w:fldCharType="end"/>
      </w:r>
    </w:p>
  </w:footnote>
  <w:footnote w:id="20">
    <w:p w:rsidR="004C1D5A" w:rsidRPr="001565ED" w:rsidRDefault="004C1D5A" w:rsidP="001565ED">
      <w:pPr>
        <w:pStyle w:val="FootnoteText"/>
        <w:ind w:firstLine="720"/>
        <w:jc w:val="both"/>
        <w:rPr>
          <w:rFonts w:ascii="Garamond" w:hAnsi="Garamond"/>
          <w:lang w:val="en-US"/>
        </w:rPr>
      </w:pPr>
      <w:r w:rsidRPr="001565ED">
        <w:rPr>
          <w:rStyle w:val="FootnoteReference"/>
          <w:rFonts w:ascii="Garamond" w:hAnsi="Garamond"/>
        </w:rPr>
        <w:footnoteRef/>
      </w:r>
      <w:r w:rsidRPr="001565ED">
        <w:rPr>
          <w:rFonts w:ascii="Garamond" w:hAnsi="Garamond"/>
        </w:rPr>
        <w:t xml:space="preserve"> </w:t>
      </w:r>
      <w:r w:rsidRPr="001565ED">
        <w:rPr>
          <w:rFonts w:ascii="Garamond" w:hAnsi="Garamond"/>
        </w:rPr>
        <w:fldChar w:fldCharType="begin"/>
      </w:r>
      <w:r>
        <w:rPr>
          <w:rFonts w:ascii="Garamond" w:hAnsi="Garamond"/>
        </w:rPr>
        <w:instrText xml:space="preserve"> ADDIN ZOTERO_ITEM CSL_CITATION {"citationID":"rafxCxQr","properties":{"formattedCitation":"Itamar Kislev, \\uc0\\u8216{}Joshua (and Caleb) in the Priestly Spies Story and Joshua\\uc0\\u8217{}s Initial Appearance in the Priestly Source: A Contribution to an Assessment of the Pentateuchal Priestly Material\\uc0\\u8217{}, 39.","plainCitation":"Itamar Kislev, ‘Joshua (and Caleb) in the Priestly Spies Story and Joshua’s Initial Appearance in the Priestly Source: A Contribution to an Assessment of the Pentateuchal Priestly Material’, 39.","noteIndex":20},"citationItems":[{"id":62,"uris":["http://zotero.org/users/local/weSCt3ZK/items/Z9I9WDQJ"],"uri":["http://zotero.org/users/local/weSCt3ZK/items/Z9I9WDQJ"],"itemData":{"id":62,"type":"article-journal","container-title":"Journal of Biblical Literature","DOI":"http://dx.doi.org/10.15699/jbl.1361.2017.156696","issue":"1","page":"39-55","title":"Joshua (and Caleb) in the Priestly Spies Story and Joshua’s Initial Appearance in the Priestly Source: A Contribution to an Assessment of the Pentateuchal Priestly Material","volume":"136","author":[{"literal":"Itamar Kislev"}],"issued":{"date-parts":[["2017"]]}},"locator":"39"}],"schema":"https://github.com/citation-style-language/schema/raw/master/csl-citation.json"} </w:instrText>
      </w:r>
      <w:r w:rsidRPr="001565ED">
        <w:rPr>
          <w:rFonts w:ascii="Garamond" w:hAnsi="Garamond"/>
        </w:rPr>
        <w:fldChar w:fldCharType="separate"/>
      </w:r>
      <w:r w:rsidRPr="001565ED">
        <w:rPr>
          <w:rFonts w:ascii="Garamond" w:hAnsi="Garamond"/>
          <w:szCs w:val="24"/>
        </w:rPr>
        <w:t>Itamar Kislev, ‘Joshua (and Caleb) in the Priestly Spies Story and Joshua’s Initial Appearance in the Priestly Source: A Contribution to an Assessment of the Pentateuchal Priestly Material’, 39.</w:t>
      </w:r>
      <w:r w:rsidRPr="001565ED">
        <w:rPr>
          <w:rFonts w:ascii="Garamond" w:hAnsi="Garamond"/>
        </w:rPr>
        <w:fldChar w:fldCharType="end"/>
      </w:r>
    </w:p>
  </w:footnote>
  <w:footnote w:id="21">
    <w:p w:rsidR="004C1D5A" w:rsidRPr="00626D66" w:rsidRDefault="004C1D5A" w:rsidP="00626D66">
      <w:pPr>
        <w:pStyle w:val="FootnoteText"/>
        <w:ind w:firstLine="720"/>
        <w:jc w:val="both"/>
        <w:rPr>
          <w:rFonts w:ascii="Garamond" w:hAnsi="Garamond"/>
          <w:lang w:val="en-US"/>
        </w:rPr>
      </w:pPr>
      <w:r w:rsidRPr="00626D66">
        <w:rPr>
          <w:rStyle w:val="FootnoteReference"/>
          <w:rFonts w:ascii="Garamond" w:hAnsi="Garamond"/>
        </w:rPr>
        <w:footnoteRef/>
      </w:r>
      <w:r w:rsidRPr="00626D66">
        <w:rPr>
          <w:rFonts w:ascii="Garamond" w:hAnsi="Garamond"/>
        </w:rPr>
        <w:t xml:space="preserve"> </w:t>
      </w:r>
      <w:r w:rsidRPr="00626D66">
        <w:rPr>
          <w:rFonts w:ascii="Garamond" w:hAnsi="Garamond"/>
        </w:rPr>
        <w:fldChar w:fldCharType="begin"/>
      </w:r>
      <w:r>
        <w:rPr>
          <w:rFonts w:ascii="Garamond" w:hAnsi="Garamond"/>
        </w:rPr>
        <w:instrText xml:space="preserve"> ADDIN ZOTERO_ITEM CSL_CITATION {"citationID":"07Umg0gF","properties":{"formattedCitation":"Itamar Kislev, 39\\uc0\\u8211{}40.","plainCitation":"Itamar Kislev, 39–40.","noteIndex":21},"citationItems":[{"id":62,"uris":["http://zotero.org/users/local/weSCt3ZK/items/Z9I9WDQJ"],"uri":["http://zotero.org/users/local/weSCt3ZK/items/Z9I9WDQJ"],"itemData":{"id":62,"type":"article-journal","container-title":"Journal of Biblical Literature","DOI":"http://dx.doi.org/10.15699/jbl.1361.2017.156696","issue":"1","page":"39-55","title":"Joshua (and Caleb) in the Priestly Spies Story and Joshua’s Initial Appearance in the Priestly Source: A Contribution to an Assessment of the Pentateuchal Priestly Material","volume":"136","author":[{"literal":"Itamar Kislev"}],"issued":{"date-parts":[["2017"]]}},"locator":"39-40"}],"schema":"https://github.com/citation-style-language/schema/raw/master/csl-citation.json"} </w:instrText>
      </w:r>
      <w:r w:rsidRPr="00626D66">
        <w:rPr>
          <w:rFonts w:ascii="Garamond" w:hAnsi="Garamond"/>
        </w:rPr>
        <w:fldChar w:fldCharType="separate"/>
      </w:r>
      <w:r w:rsidRPr="00626D66">
        <w:rPr>
          <w:rFonts w:ascii="Garamond" w:hAnsi="Garamond"/>
          <w:szCs w:val="24"/>
        </w:rPr>
        <w:t>Itamar Kislev, 39–40.</w:t>
      </w:r>
      <w:r w:rsidRPr="00626D66">
        <w:rPr>
          <w:rFonts w:ascii="Garamond" w:hAnsi="Garamond"/>
        </w:rPr>
        <w:fldChar w:fldCharType="end"/>
      </w:r>
    </w:p>
  </w:footnote>
  <w:footnote w:id="22">
    <w:p w:rsidR="004C1D5A" w:rsidRPr="00626D66" w:rsidRDefault="004C1D5A" w:rsidP="00626D66">
      <w:pPr>
        <w:pStyle w:val="FootnoteText"/>
        <w:ind w:firstLine="720"/>
        <w:jc w:val="both"/>
        <w:rPr>
          <w:rFonts w:ascii="Garamond" w:hAnsi="Garamond"/>
          <w:lang w:val="en-US"/>
        </w:rPr>
      </w:pPr>
      <w:r w:rsidRPr="00626D66">
        <w:rPr>
          <w:rStyle w:val="FootnoteReference"/>
          <w:rFonts w:ascii="Garamond" w:hAnsi="Garamond"/>
        </w:rPr>
        <w:footnoteRef/>
      </w:r>
      <w:r w:rsidRPr="00626D66">
        <w:rPr>
          <w:rFonts w:ascii="Garamond" w:hAnsi="Garamond"/>
        </w:rPr>
        <w:t xml:space="preserve"> </w:t>
      </w:r>
      <w:r w:rsidRPr="00626D66">
        <w:rPr>
          <w:rFonts w:ascii="Garamond" w:hAnsi="Garamond"/>
        </w:rPr>
        <w:fldChar w:fldCharType="begin"/>
      </w:r>
      <w:r>
        <w:rPr>
          <w:rFonts w:ascii="Garamond" w:hAnsi="Garamond"/>
        </w:rPr>
        <w:instrText xml:space="preserve"> ADDIN ZOTERO_ITEM CSL_CITATION {"citationID":"3dLhckLZ","properties":{"formattedCitation":"Itamar Kislev, 54.","plainCitation":"Itamar Kislev, 54.","noteIndex":22},"citationItems":[{"id":62,"uris":["http://zotero.org/users/local/weSCt3ZK/items/Z9I9WDQJ"],"uri":["http://zotero.org/users/local/weSCt3ZK/items/Z9I9WDQJ"],"itemData":{"id":62,"type":"article-journal","container-title":"Journal of Biblical Literature","DOI":"http://dx.doi.org/10.15699/jbl.1361.2017.156696","issue":"1","page":"39-55","title":"Joshua (and Caleb) in the Priestly Spies Story and Joshua’s Initial Appearance in the Priestly Source: A Contribution to an Assessment of the Pentateuchal Priestly Material","volume":"136","author":[{"literal":"Itamar Kislev"}],"issued":{"date-parts":[["2017"]]}},"locator":"54"}],"schema":"https://github.com/citation-style-language/schema/raw/master/csl-citation.json"} </w:instrText>
      </w:r>
      <w:r w:rsidRPr="00626D66">
        <w:rPr>
          <w:rFonts w:ascii="Garamond" w:hAnsi="Garamond"/>
        </w:rPr>
        <w:fldChar w:fldCharType="separate"/>
      </w:r>
      <w:r w:rsidRPr="00626D66">
        <w:rPr>
          <w:rFonts w:ascii="Garamond" w:hAnsi="Garamond"/>
        </w:rPr>
        <w:t>Itamar Kislev, 54.</w:t>
      </w:r>
      <w:r w:rsidRPr="00626D66">
        <w:rPr>
          <w:rFonts w:ascii="Garamond" w:hAnsi="Garamond"/>
        </w:rPr>
        <w:fldChar w:fldCharType="end"/>
      </w:r>
    </w:p>
  </w:footnote>
  <w:footnote w:id="23">
    <w:p w:rsidR="004C1D5A" w:rsidRPr="00084642" w:rsidRDefault="004C1D5A" w:rsidP="00084642">
      <w:pPr>
        <w:pStyle w:val="FootnoteText"/>
        <w:ind w:firstLine="720"/>
        <w:jc w:val="both"/>
        <w:rPr>
          <w:rFonts w:ascii="Garamond" w:hAnsi="Garamond"/>
          <w:lang w:val="en-US"/>
        </w:rPr>
      </w:pPr>
      <w:r w:rsidRPr="00084642">
        <w:rPr>
          <w:rStyle w:val="FootnoteReference"/>
          <w:rFonts w:ascii="Garamond" w:hAnsi="Garamond"/>
        </w:rPr>
        <w:footnoteRef/>
      </w:r>
      <w:r w:rsidRPr="00084642">
        <w:rPr>
          <w:rFonts w:ascii="Garamond" w:hAnsi="Garamond"/>
        </w:rPr>
        <w:t xml:space="preserve"> </w:t>
      </w:r>
      <w:r w:rsidRPr="00084642">
        <w:rPr>
          <w:rFonts w:ascii="Garamond" w:hAnsi="Garamond"/>
        </w:rPr>
        <w:fldChar w:fldCharType="begin"/>
      </w:r>
      <w:r>
        <w:rPr>
          <w:rFonts w:ascii="Garamond" w:hAnsi="Garamond"/>
        </w:rPr>
        <w:instrText xml:space="preserve"> ADDIN ZOTERO_ITEM CSL_CITATION {"citationID":"CHVDkQeW","properties":{"formattedCitation":"Selanjutnya lihat Thomas B. Dozeman, \\uc0\\u8216{}The Book of Joshua as An Intertext in The MT and The LXX Canons\\uc0\\u8217{}, in {\\i{}Pentateuch, Hexateuch, or Enneateuch? Identifying Literary Works in Genesis through Kings}, ed. Thomas B. Dozeman, Thomas R\\uc0\\u246{}mer, and Konrad Schmid (Atlanta: Society of Biblical Literature, 2011), 185\\uc0\\u8211{}209.","plainCitation":"Selanjutnya lihat Thomas B. Dozeman, ‘The Book of Joshua as An Intertext in The MT and The LXX Canons’, in Pentateuch, Hexateuch, or Enneateuch? Identifying Literary Works in Genesis through Kings, ed. Thomas B. Dozeman, Thomas Römer, and Konrad Schmid (Atlanta: Society of Biblical Literature, 2011), 185–209.","noteIndex":23},"citationItems":[{"id":77,"uris":["http://zotero.org/users/local/weSCt3ZK/items/H2IFZ8TB"],"uri":["http://zotero.org/users/local/weSCt3ZK/items/H2IFZ8TB"],"itemData":{"id":77,"type":"chapter","container-title":"Pentateuch, Hexateuch, or Enneateuch? Identifying Literary Works in Genesis through Kings","event-place":"Atlanta","publisher":"Society of Biblical Literature","publisher-place":"Atlanta","title":"The Book of Joshua as An Intertext in The MT and The LXX Canons","author":[{"literal":"Thomas B. Dozeman"}],"editor":[{"literal":"Thomas B. Dozeman"},{"literal":"Thomas Römer"},{"literal":"Konrad Schmid"}],"issued":{"date-parts":[["2011"]]}},"locator":"185-209","prefix":"Selanjutnya lihat"}],"schema":"https://github.com/citation-style-language/schema/raw/master/csl-citation.json"} </w:instrText>
      </w:r>
      <w:r w:rsidRPr="00084642">
        <w:rPr>
          <w:rFonts w:ascii="Garamond" w:hAnsi="Garamond"/>
        </w:rPr>
        <w:fldChar w:fldCharType="separate"/>
      </w:r>
      <w:r w:rsidRPr="00084642">
        <w:rPr>
          <w:rFonts w:ascii="Garamond" w:hAnsi="Garamond"/>
          <w:szCs w:val="24"/>
        </w:rPr>
        <w:t xml:space="preserve">Selanjutnya lihat Thomas B. Dozeman, ‘The Book of Joshua as An Intertext in The MT and The LXX Canons’, in </w:t>
      </w:r>
      <w:r w:rsidRPr="00084642">
        <w:rPr>
          <w:rFonts w:ascii="Garamond" w:hAnsi="Garamond"/>
          <w:i/>
          <w:iCs/>
          <w:szCs w:val="24"/>
        </w:rPr>
        <w:t>Pentateuch, Hexateuch, or Enneateuch? Identifying Literary Works in Genesis through Kings</w:t>
      </w:r>
      <w:r w:rsidRPr="00084642">
        <w:rPr>
          <w:rFonts w:ascii="Garamond" w:hAnsi="Garamond"/>
          <w:szCs w:val="24"/>
        </w:rPr>
        <w:t>, ed. Thomas B. Dozeman, Thomas Römer, and Konrad Schmid (Atlanta: Society of Biblical Literature, 2011), 185–209.</w:t>
      </w:r>
      <w:r w:rsidRPr="00084642">
        <w:rPr>
          <w:rFonts w:ascii="Garamond" w:hAnsi="Garamond"/>
        </w:rPr>
        <w:fldChar w:fldCharType="end"/>
      </w:r>
    </w:p>
  </w:footnote>
  <w:footnote w:id="24">
    <w:p w:rsidR="004C1D5A" w:rsidRPr="005308F2" w:rsidRDefault="004C1D5A" w:rsidP="005308F2">
      <w:pPr>
        <w:pStyle w:val="FootnoteText"/>
        <w:ind w:firstLine="720"/>
        <w:jc w:val="both"/>
        <w:rPr>
          <w:rFonts w:ascii="Garamond" w:hAnsi="Garamond"/>
          <w:lang w:val="en-US"/>
        </w:rPr>
      </w:pPr>
      <w:r w:rsidRPr="005308F2">
        <w:rPr>
          <w:rStyle w:val="FootnoteReference"/>
          <w:rFonts w:ascii="Garamond" w:hAnsi="Garamond"/>
        </w:rPr>
        <w:footnoteRef/>
      </w:r>
      <w:r w:rsidRPr="005308F2">
        <w:rPr>
          <w:rFonts w:ascii="Garamond" w:hAnsi="Garamond"/>
        </w:rPr>
        <w:t xml:space="preserve"> </w:t>
      </w:r>
      <w:r w:rsidRPr="005308F2">
        <w:rPr>
          <w:rFonts w:ascii="Garamond" w:hAnsi="Garamond"/>
        </w:rPr>
        <w:fldChar w:fldCharType="begin"/>
      </w:r>
      <w:r>
        <w:rPr>
          <w:rFonts w:ascii="Garamond" w:hAnsi="Garamond"/>
        </w:rPr>
        <w:instrText xml:space="preserve"> ADDIN ZOTERO_ITEM CSL_CITATION {"citationID":"eJxosq9o","properties":{"formattedCitation":"Terence E. Fretheim, \\uc0\\u8216{}Numbers\\uc0\\u8217{}, 166.","plainCitation":"Terence E. Fretheim, ‘Numbers’, 166.","noteIndex":24},"citationItems":[{"id":76,"uris":["http://zotero.org/users/local/weSCt3ZK/items/5UP5B3MJ"],"uri":["http://zotero.org/users/local/weSCt3ZK/items/5UP5B3MJ"],"itemData":{"id":76,"type":"chapter","collection-title":"The Oxford Bible Commentary","container-title":"The Pentateuch","event-place":"Oxford","publisher":"Oxford University Press","publisher-place":"Oxford","title":"Numbers","author":[{"literal":"Terence E. Fretheim"}],"editor":[{"literal":"John Muddiman"},{"literal":"John Barton"}],"issued":{"date-parts":[["2010"]]}},"locator":"166"}],"schema":"https://github.com/citation-style-language/schema/raw/master/csl-citation.json"} </w:instrText>
      </w:r>
      <w:r w:rsidRPr="005308F2">
        <w:rPr>
          <w:rFonts w:ascii="Garamond" w:hAnsi="Garamond"/>
        </w:rPr>
        <w:fldChar w:fldCharType="separate"/>
      </w:r>
      <w:r w:rsidRPr="005308F2">
        <w:rPr>
          <w:rFonts w:ascii="Garamond" w:hAnsi="Garamond"/>
          <w:szCs w:val="24"/>
        </w:rPr>
        <w:t>Terence E. Fretheim, ‘Numbers’, 166.</w:t>
      </w:r>
      <w:r w:rsidRPr="005308F2">
        <w:rPr>
          <w:rFonts w:ascii="Garamond" w:hAnsi="Garamond"/>
        </w:rPr>
        <w:fldChar w:fldCharType="end"/>
      </w:r>
    </w:p>
  </w:footnote>
  <w:footnote w:id="25">
    <w:p w:rsidR="004C1D5A" w:rsidRPr="00ED041D" w:rsidRDefault="004C1D5A" w:rsidP="00ED041D">
      <w:pPr>
        <w:pStyle w:val="FootnoteText"/>
        <w:ind w:firstLine="720"/>
        <w:jc w:val="both"/>
        <w:rPr>
          <w:rFonts w:ascii="Garamond" w:hAnsi="Garamond"/>
          <w:lang w:val="en-US"/>
        </w:rPr>
      </w:pPr>
      <w:r w:rsidRPr="00ED041D">
        <w:rPr>
          <w:rStyle w:val="FootnoteReference"/>
          <w:rFonts w:ascii="Garamond" w:hAnsi="Garamond"/>
        </w:rPr>
        <w:footnoteRef/>
      </w:r>
      <w:r w:rsidRPr="00ED041D">
        <w:rPr>
          <w:rFonts w:ascii="Garamond" w:hAnsi="Garamond"/>
        </w:rPr>
        <w:t xml:space="preserve"> </w:t>
      </w:r>
      <w:r w:rsidRPr="00ED041D">
        <w:rPr>
          <w:rFonts w:ascii="Garamond" w:hAnsi="Garamond"/>
        </w:rPr>
        <w:fldChar w:fldCharType="begin"/>
      </w:r>
      <w:r>
        <w:rPr>
          <w:rFonts w:ascii="Garamond" w:hAnsi="Garamond"/>
        </w:rPr>
        <w:instrText xml:space="preserve"> ADDIN ZOTERO_ITEM CSL_CITATION {"citationID":"LF4dZOd9","properties":{"formattedCitation":"Itamar Kislev, \\uc0\\u8216{}Joshua (and Caleb) in the Priestly Spies Story and Joshua\\uc0\\u8217{}s Initial Appearance in the Priestly Source: A Contribution to an Assessment of the Pentateuchal Priestly Material\\uc0\\u8217{}, 50\\uc0\\u8211{}51.","plainCitation":"Itamar Kislev, ‘Joshua (and Caleb) in the Priestly Spies Story and Joshua’s Initial Appearance in the Priestly Source: A Contribution to an Assessment of the Pentateuchal Priestly Material’, 50–51.","noteIndex":25},"citationItems":[{"id":62,"uris":["http://zotero.org/users/local/weSCt3ZK/items/Z9I9WDQJ"],"uri":["http://zotero.org/users/local/weSCt3ZK/items/Z9I9WDQJ"],"itemData":{"id":62,"type":"article-journal","container-title":"Journal of Biblical Literature","DOI":"http://dx.doi.org/10.15699/jbl.1361.2017.156696","issue":"1","page":"39-55","title":"Joshua (and Caleb) in the Priestly Spies Story and Joshua’s Initial Appearance in the Priestly Source: A Contribution to an Assessment of the Pentateuchal Priestly Material","volume":"136","author":[{"literal":"Itamar Kislev"}],"issued":{"date-parts":[["2017"]]}},"locator":"50-51"}],"schema":"https://github.com/citation-style-language/schema/raw/master/csl-citation.json"} </w:instrText>
      </w:r>
      <w:r w:rsidRPr="00ED041D">
        <w:rPr>
          <w:rFonts w:ascii="Garamond" w:hAnsi="Garamond"/>
        </w:rPr>
        <w:fldChar w:fldCharType="separate"/>
      </w:r>
      <w:r w:rsidRPr="00ED041D">
        <w:rPr>
          <w:rFonts w:ascii="Garamond" w:hAnsi="Garamond"/>
          <w:szCs w:val="24"/>
        </w:rPr>
        <w:t>Itamar Kislev, ‘Joshua (and Caleb) in the Priestly Spies Story and Joshua’s Initial Appearance in the Priestly Source: A Contribution to an Assessment of the Pentateuchal Priestly Material’, 50–51.</w:t>
      </w:r>
      <w:r w:rsidRPr="00ED041D">
        <w:rPr>
          <w:rFonts w:ascii="Garamond" w:hAnsi="Garamond"/>
        </w:rPr>
        <w:fldChar w:fldCharType="end"/>
      </w:r>
    </w:p>
  </w:footnote>
  <w:footnote w:id="26">
    <w:p w:rsidR="004C1D5A" w:rsidRPr="00C64962" w:rsidRDefault="004C1D5A" w:rsidP="00C64962">
      <w:pPr>
        <w:pStyle w:val="FootnoteText"/>
        <w:ind w:firstLine="720"/>
        <w:jc w:val="both"/>
        <w:rPr>
          <w:rFonts w:ascii="Garamond" w:hAnsi="Garamond"/>
          <w:lang w:val="en-US"/>
        </w:rPr>
      </w:pPr>
      <w:r w:rsidRPr="00C64962">
        <w:rPr>
          <w:rStyle w:val="FootnoteReference"/>
          <w:rFonts w:ascii="Garamond" w:hAnsi="Garamond"/>
        </w:rPr>
        <w:footnoteRef/>
      </w:r>
      <w:r w:rsidRPr="00C64962">
        <w:rPr>
          <w:rFonts w:ascii="Garamond" w:hAnsi="Garamond"/>
        </w:rPr>
        <w:t xml:space="preserve"> </w:t>
      </w:r>
      <w:r w:rsidRPr="00C64962">
        <w:rPr>
          <w:rFonts w:ascii="Garamond" w:hAnsi="Garamond"/>
        </w:rPr>
        <w:fldChar w:fldCharType="begin"/>
      </w:r>
      <w:r w:rsidRPr="00C64962">
        <w:rPr>
          <w:rFonts w:ascii="Garamond" w:hAnsi="Garamond"/>
        </w:rPr>
        <w:instrText xml:space="preserve"> ADDIN ZOTERO_ITEM CSL_CITATION {"citationID":"EK0DxGto","properties":{"formattedCitation":"Baruch A. Levine, {\\i{}Numbers 1-20. A New Translation with Introduction and Commentary}, The Anchor Bible 4 (New York: Doubleday, 1993), 91.","plainCitation":"Baruch A. Levine, Numbers 1-20. A New Translation with Introduction and Commentary, The Anchor Bible 4 (New York: Doubleday, 1993), 91.","noteIndex":26},"citationItems":[{"id":72,"uris":["http://zotero.org/users/local/weSCt3ZK/items/7SY5EYMH"],"uri":["http://zotero.org/users/local/weSCt3ZK/items/7SY5EYMH"],"itemData":{"id":72,"type":"book","collection-number":"4","collection-title":"The Anchor Bible","event-place":"New York","publisher":"Doubleday","publisher-place":"New York","title":"Numbers 1-20. A New Translation with Introduction and Commentary","author":[{"literal":"Baruch A. Levine"}],"issued":{"date-parts":[["1993"]]}},"locator":"91"}],"schema":"https://github.com/citation-style-language/schema/raw/master/csl-citation.json"} </w:instrText>
      </w:r>
      <w:r w:rsidRPr="00C64962">
        <w:rPr>
          <w:rFonts w:ascii="Garamond" w:hAnsi="Garamond"/>
        </w:rPr>
        <w:fldChar w:fldCharType="separate"/>
      </w:r>
      <w:r w:rsidRPr="00C64962">
        <w:rPr>
          <w:rFonts w:ascii="Garamond" w:hAnsi="Garamond"/>
          <w:szCs w:val="24"/>
        </w:rPr>
        <w:t xml:space="preserve">Baruch A. Levine, </w:t>
      </w:r>
      <w:r w:rsidRPr="00C64962">
        <w:rPr>
          <w:rFonts w:ascii="Garamond" w:hAnsi="Garamond"/>
          <w:i/>
          <w:iCs/>
          <w:szCs w:val="24"/>
        </w:rPr>
        <w:t>Numbers 1-20. A New Translation with Introduction and Commentary</w:t>
      </w:r>
      <w:r w:rsidRPr="00C64962">
        <w:rPr>
          <w:rFonts w:ascii="Garamond" w:hAnsi="Garamond"/>
          <w:szCs w:val="24"/>
        </w:rPr>
        <w:t>, The Anchor Bible 4 (New York: Doubleday, 1993), 91.</w:t>
      </w:r>
      <w:r w:rsidRPr="00C64962">
        <w:rPr>
          <w:rFonts w:ascii="Garamond" w:hAnsi="Garamond"/>
        </w:rPr>
        <w:fldChar w:fldCharType="end"/>
      </w:r>
    </w:p>
  </w:footnote>
  <w:footnote w:id="27">
    <w:p w:rsidR="004C1D5A" w:rsidRPr="004A0259" w:rsidRDefault="004C1D5A" w:rsidP="004A0259">
      <w:pPr>
        <w:pStyle w:val="FootnoteText"/>
        <w:ind w:firstLine="720"/>
        <w:rPr>
          <w:rFonts w:ascii="Garamond" w:hAnsi="Garamond"/>
          <w:lang w:val="en-US"/>
        </w:rPr>
      </w:pPr>
      <w:r w:rsidRPr="004A0259">
        <w:rPr>
          <w:rStyle w:val="FootnoteReference"/>
          <w:rFonts w:ascii="Garamond" w:hAnsi="Garamond"/>
        </w:rPr>
        <w:footnoteRef/>
      </w:r>
      <w:r w:rsidRPr="004A0259">
        <w:rPr>
          <w:rFonts w:ascii="Garamond" w:hAnsi="Garamond"/>
        </w:rPr>
        <w:t xml:space="preserve"> </w:t>
      </w:r>
      <w:r w:rsidRPr="004A0259">
        <w:rPr>
          <w:rFonts w:ascii="Garamond" w:hAnsi="Garamond"/>
        </w:rPr>
        <w:fldChar w:fldCharType="begin"/>
      </w:r>
      <w:r w:rsidRPr="004A0259">
        <w:rPr>
          <w:rFonts w:ascii="Garamond" w:hAnsi="Garamond"/>
        </w:rPr>
        <w:instrText xml:space="preserve"> ADDIN ZOTERO_ITEM CSL_CITATION {"citationID":"9ufurFY9","properties":{"formattedCitation":"Baruch A. Levine, 91.","plainCitation":"Baruch A. Levine, 91.","noteIndex":27},"citationItems":[{"id":72,"uris":["http://zotero.org/users/local/weSCt3ZK/items/7SY5EYMH"],"uri":["http://zotero.org/users/local/weSCt3ZK/items/7SY5EYMH"],"itemData":{"id":72,"type":"book","collection-number":"4","collection-title":"The Anchor Bible","event-place":"New York","publisher":"Doubleday","publisher-place":"New York","title":"Numbers 1-20. A New Translation with Introduction and Commentary","author":[{"literal":"Baruch A. Levine"}],"issued":{"date-parts":[["1993"]]}},"locator":"91"}],"schema":"https://github.com/citation-style-language/schema/raw/master/csl-citation.json"} </w:instrText>
      </w:r>
      <w:r w:rsidRPr="004A0259">
        <w:rPr>
          <w:rFonts w:ascii="Garamond" w:hAnsi="Garamond"/>
        </w:rPr>
        <w:fldChar w:fldCharType="separate"/>
      </w:r>
      <w:r w:rsidRPr="004A0259">
        <w:rPr>
          <w:rFonts w:ascii="Garamond" w:hAnsi="Garamond"/>
        </w:rPr>
        <w:t>Baruch A. Levine, 91.</w:t>
      </w:r>
      <w:r w:rsidRPr="004A0259">
        <w:rPr>
          <w:rFonts w:ascii="Garamond" w:hAnsi="Garamond"/>
        </w:rPr>
        <w:fldChar w:fldCharType="end"/>
      </w:r>
    </w:p>
  </w:footnote>
  <w:footnote w:id="28">
    <w:p w:rsidR="004C1D5A" w:rsidRPr="00442FC3" w:rsidRDefault="004C1D5A" w:rsidP="00442FC3">
      <w:pPr>
        <w:pStyle w:val="FootnoteText"/>
        <w:ind w:firstLine="720"/>
        <w:jc w:val="both"/>
        <w:rPr>
          <w:rFonts w:ascii="Garamond" w:hAnsi="Garamond"/>
          <w:lang w:val="en-US"/>
        </w:rPr>
      </w:pPr>
      <w:r w:rsidRPr="00442FC3">
        <w:rPr>
          <w:rStyle w:val="FootnoteReference"/>
          <w:rFonts w:ascii="Garamond" w:hAnsi="Garamond"/>
        </w:rPr>
        <w:footnoteRef/>
      </w:r>
      <w:r w:rsidRPr="00442FC3">
        <w:rPr>
          <w:rFonts w:ascii="Garamond" w:hAnsi="Garamond"/>
        </w:rPr>
        <w:t xml:space="preserve"> </w:t>
      </w:r>
      <w:r w:rsidRPr="00442FC3">
        <w:rPr>
          <w:rFonts w:ascii="Garamond" w:hAnsi="Garamond"/>
        </w:rPr>
        <w:fldChar w:fldCharType="begin"/>
      </w:r>
      <w:r>
        <w:rPr>
          <w:rFonts w:ascii="Garamond" w:hAnsi="Garamond"/>
        </w:rPr>
        <w:instrText xml:space="preserve"> ADDIN ZOTERO_ITEM CSL_CITATION {"citationID":"C2o5xhDE","properties":{"formattedCitation":"Benjamin J Noonan, \\uc0\\u8216{}High-Handed Sin and the Promised Land: The Rhetorical Relationship between Law and Narrative in Numbers 15\\uc0\\u8217{}, {\\i{}Journal for the Study of the Old Testament} 45, no. 1 (2020): 1\\uc0\\u8211{}2, https://doi.org/10.1177/0309089219862818.","plainCitation":"Benjamin J Noonan, ‘High-Handed Sin and the Promised Land: The Rhetorical Relationship between Law and Narrative in Numbers 15’, Journal for the Study of the Old Testament 45, no. 1 (2020): 1–2, https://doi.org/10.1177/0309089219862818.","noteIndex":28},"citationItems":[{"id":78,"uris":["http://zotero.org/users/local/weSCt3ZK/items/G4HTMWSU"],"uri":["http://zotero.org/users/local/weSCt3ZK/items/G4HTMWSU"],"itemData":{"id":78,"type":"article-journal","container-title":"Journal for the Study of the Old Testament","DOI":"https://doi.org/10.1177/0309089219862818","issue":"1","page":"1-14","title":"High-handed sin and the Promised Land: The rhetorical relationship between law and narrative in Numbers 15","volume":"45","author":[{"literal":"Benjamin J Noonan"}],"issued":{"date-parts":[["2020"]]}},"locator":"1-2"}],"schema":"https://github.com/citation-style-language/schema/raw/master/csl-citation.json"} </w:instrText>
      </w:r>
      <w:r w:rsidRPr="00442FC3">
        <w:rPr>
          <w:rFonts w:ascii="Garamond" w:hAnsi="Garamond"/>
        </w:rPr>
        <w:fldChar w:fldCharType="separate"/>
      </w:r>
      <w:r w:rsidRPr="00442FC3">
        <w:rPr>
          <w:rFonts w:ascii="Garamond" w:hAnsi="Garamond"/>
          <w:szCs w:val="24"/>
        </w:rPr>
        <w:t xml:space="preserve">Benjamin J Noonan, ‘High-Handed Sin and the Promised Land: The Rhetorical Relationship between Law and Narrative in Numbers 15’, </w:t>
      </w:r>
      <w:r w:rsidRPr="00442FC3">
        <w:rPr>
          <w:rFonts w:ascii="Garamond" w:hAnsi="Garamond"/>
          <w:i/>
          <w:iCs/>
          <w:szCs w:val="24"/>
        </w:rPr>
        <w:t>Journal for the Study of the Old Testament</w:t>
      </w:r>
      <w:r w:rsidRPr="00442FC3">
        <w:rPr>
          <w:rFonts w:ascii="Garamond" w:hAnsi="Garamond"/>
          <w:szCs w:val="24"/>
        </w:rPr>
        <w:t xml:space="preserve"> 45, no. 1 (2020): 1–2, https://doi.org/10.1177/0309089219862818.</w:t>
      </w:r>
      <w:r w:rsidRPr="00442FC3">
        <w:rPr>
          <w:rFonts w:ascii="Garamond" w:hAnsi="Garamond"/>
        </w:rPr>
        <w:fldChar w:fldCharType="end"/>
      </w:r>
    </w:p>
  </w:footnote>
  <w:footnote w:id="29">
    <w:p w:rsidR="004C1D5A" w:rsidRPr="00581CB1" w:rsidRDefault="004C1D5A" w:rsidP="00581CB1">
      <w:pPr>
        <w:pStyle w:val="FootnoteText"/>
        <w:ind w:firstLine="720"/>
        <w:jc w:val="both"/>
        <w:rPr>
          <w:rFonts w:ascii="Garamond" w:hAnsi="Garamond"/>
          <w:lang w:val="en-US"/>
        </w:rPr>
      </w:pPr>
      <w:r w:rsidRPr="00581CB1">
        <w:rPr>
          <w:rStyle w:val="FootnoteReference"/>
          <w:rFonts w:ascii="Garamond" w:hAnsi="Garamond"/>
        </w:rPr>
        <w:footnoteRef/>
      </w:r>
      <w:r w:rsidRPr="00581CB1">
        <w:rPr>
          <w:rFonts w:ascii="Garamond" w:hAnsi="Garamond"/>
        </w:rPr>
        <w:t xml:space="preserve"> </w:t>
      </w:r>
      <w:r w:rsidRPr="00581CB1">
        <w:rPr>
          <w:rFonts w:ascii="Garamond" w:hAnsi="Garamond"/>
        </w:rPr>
        <w:fldChar w:fldCharType="begin"/>
      </w:r>
      <w:r>
        <w:rPr>
          <w:rFonts w:ascii="Garamond" w:hAnsi="Garamond"/>
        </w:rPr>
        <w:instrText xml:space="preserve"> ADDIN ZOTERO_ITEM CSL_CITATION {"citationID":"C5ryjSgV","properties":{"formattedCitation":"Baruch A. Levine, {\\i{}Numbers 1-20. A New Translation with Introduction and Commentary}, 347; Terence E. Fretheim, \\uc0\\u8216{}Numbers\\uc0\\u8217{}.","plainCitation":"Baruch A. Levine, Numbers 1-20. A New Translation with Introduction and Commentary, 347; Terence E. Fretheim, ‘Numbers’.","dontUpdate":true,"noteIndex":29},"citationItems":[{"id":72,"uris":["http://zotero.org/users/local/weSCt3ZK/items/7SY5EYMH"],"uri":["http://zotero.org/users/local/weSCt3ZK/items/7SY5EYMH"],"itemData":{"id":72,"type":"book","collection-number":"4","collection-title":"The Anchor Bible","event-place":"New York","publisher":"Doubleday","publisher-place":"New York","title":"Numbers 1-20. A New Translation with Introduction and Commentary","author":[{"literal":"Baruch A. Levine"}],"issued":{"date-parts":[["1993"]]}},"locator":"347"},{"id":76,"uris":["http://zotero.org/users/local/weSCt3ZK/items/5UP5B3MJ"],"uri":["http://zotero.org/users/local/weSCt3ZK/items/5UP5B3MJ"],"itemData":{"id":76,"type":"chapter","collection-title":"The Oxford Bible Commentary","container-title":"The Pentateuch","event-place":"Oxford","publisher":"Oxford University Press","publisher-place":"Oxford","title":"Numbers","author":[{"literal":"Terence E. Fretheim"}],"editor":[{"literal":"John Muddiman"},{"literal":"John Barton"}],"issued":{"date-parts":[["2010"]]}}}],"schema":"https://github.com/citation-style-language/schema/raw/master/csl-citation.json"} </w:instrText>
      </w:r>
      <w:r w:rsidRPr="00581CB1">
        <w:rPr>
          <w:rFonts w:ascii="Garamond" w:hAnsi="Garamond"/>
        </w:rPr>
        <w:fldChar w:fldCharType="separate"/>
      </w:r>
      <w:r w:rsidRPr="00581CB1">
        <w:rPr>
          <w:rFonts w:ascii="Garamond" w:hAnsi="Garamond"/>
          <w:szCs w:val="24"/>
        </w:rPr>
        <w:t xml:space="preserve">Baruch A. Levine, </w:t>
      </w:r>
      <w:r w:rsidRPr="00581CB1">
        <w:rPr>
          <w:rFonts w:ascii="Garamond" w:hAnsi="Garamond"/>
          <w:i/>
          <w:iCs/>
          <w:szCs w:val="24"/>
        </w:rPr>
        <w:t>Numbers 1-20. A New Translation with Introduction and Commentary</w:t>
      </w:r>
      <w:r w:rsidRPr="00581CB1">
        <w:rPr>
          <w:rFonts w:ascii="Garamond" w:hAnsi="Garamond"/>
          <w:szCs w:val="24"/>
        </w:rPr>
        <w:t>, 347; Terence E. Fretheim, ‘Numbers’</w:t>
      </w:r>
      <w:r>
        <w:rPr>
          <w:rFonts w:ascii="Garamond" w:hAnsi="Garamond"/>
          <w:szCs w:val="24"/>
        </w:rPr>
        <w:t>, 166</w:t>
      </w:r>
      <w:r w:rsidRPr="00581CB1">
        <w:rPr>
          <w:rFonts w:ascii="Garamond" w:hAnsi="Garamond"/>
          <w:szCs w:val="24"/>
        </w:rPr>
        <w:t>.</w:t>
      </w:r>
      <w:r w:rsidRPr="00581CB1">
        <w:rPr>
          <w:rFonts w:ascii="Garamond" w:hAnsi="Garamond"/>
        </w:rPr>
        <w:fldChar w:fldCharType="end"/>
      </w:r>
    </w:p>
  </w:footnote>
  <w:footnote w:id="30">
    <w:p w:rsidR="004C1D5A" w:rsidRPr="00581CB1" w:rsidRDefault="004C1D5A" w:rsidP="00581CB1">
      <w:pPr>
        <w:pStyle w:val="FootnoteText"/>
        <w:ind w:firstLine="720"/>
        <w:rPr>
          <w:rFonts w:ascii="Garamond" w:hAnsi="Garamond"/>
          <w:lang w:val="en-US"/>
        </w:rPr>
      </w:pPr>
      <w:r w:rsidRPr="00581CB1">
        <w:rPr>
          <w:rStyle w:val="FootnoteReference"/>
          <w:rFonts w:ascii="Garamond" w:hAnsi="Garamond"/>
        </w:rPr>
        <w:footnoteRef/>
      </w:r>
      <w:r w:rsidRPr="00581CB1">
        <w:rPr>
          <w:rFonts w:ascii="Garamond" w:hAnsi="Garamond"/>
        </w:rPr>
        <w:t xml:space="preserve"> </w:t>
      </w:r>
      <w:r w:rsidRPr="00581CB1">
        <w:rPr>
          <w:rFonts w:ascii="Garamond" w:hAnsi="Garamond"/>
        </w:rPr>
        <w:fldChar w:fldCharType="begin"/>
      </w:r>
      <w:r>
        <w:rPr>
          <w:rFonts w:ascii="Garamond" w:hAnsi="Garamond"/>
        </w:rPr>
        <w:instrText xml:space="preserve"> ADDIN ZOTERO_ITEM CSL_CITATION {"citationID":"xBQd0L5F","properties":{"formattedCitation":"Terence E. Fretheim, \\uc0\\u8216{}Numbers\\uc0\\u8217{}.","plainCitation":"Terence E. Fretheim, ‘Numbers’.","dontUpdate":true,"noteIndex":30},"citationItems":[{"id":76,"uris":["http://zotero.org/users/local/weSCt3ZK/items/5UP5B3MJ"],"uri":["http://zotero.org/users/local/weSCt3ZK/items/5UP5B3MJ"],"itemData":{"id":76,"type":"chapter","collection-title":"The Oxford Bible Commentary","container-title":"The Pentateuch","event-place":"Oxford","publisher":"Oxford University Press","publisher-place":"Oxford","title":"Numbers","author":[{"literal":"Terence E. Fretheim"}],"editor":[{"literal":"John Muddiman"},{"literal":"John Barton"}],"issued":{"date-parts":[["2010"]]}}}],"schema":"https://github.com/citation-style-language/schema/raw/master/csl-citation.json"} </w:instrText>
      </w:r>
      <w:r w:rsidRPr="00581CB1">
        <w:rPr>
          <w:rFonts w:ascii="Garamond" w:hAnsi="Garamond"/>
        </w:rPr>
        <w:fldChar w:fldCharType="separate"/>
      </w:r>
      <w:r w:rsidRPr="00581CB1">
        <w:rPr>
          <w:rFonts w:ascii="Garamond" w:hAnsi="Garamond"/>
          <w:szCs w:val="24"/>
        </w:rPr>
        <w:t>Terence E. Fretheim, ‘Numbers’</w:t>
      </w:r>
      <w:r>
        <w:rPr>
          <w:rFonts w:ascii="Garamond" w:hAnsi="Garamond"/>
          <w:szCs w:val="24"/>
        </w:rPr>
        <w:t>, 166</w:t>
      </w:r>
      <w:r w:rsidRPr="00581CB1">
        <w:rPr>
          <w:rFonts w:ascii="Garamond" w:hAnsi="Garamond"/>
          <w:szCs w:val="24"/>
        </w:rPr>
        <w:t>.</w:t>
      </w:r>
      <w:r w:rsidRPr="00581CB1">
        <w:rPr>
          <w:rFonts w:ascii="Garamond" w:hAnsi="Garamond"/>
        </w:rPr>
        <w:fldChar w:fldCharType="end"/>
      </w:r>
    </w:p>
  </w:footnote>
  <w:footnote w:id="31">
    <w:p w:rsidR="004C1D5A" w:rsidRPr="00E806FF" w:rsidRDefault="004C1D5A" w:rsidP="00E806FF">
      <w:pPr>
        <w:pStyle w:val="FootnoteText"/>
        <w:ind w:firstLine="720"/>
        <w:jc w:val="both"/>
        <w:rPr>
          <w:rFonts w:ascii="Garamond" w:hAnsi="Garamond"/>
          <w:lang w:val="en-US"/>
        </w:rPr>
      </w:pPr>
      <w:r w:rsidRPr="00E806FF">
        <w:rPr>
          <w:rStyle w:val="FootnoteReference"/>
          <w:rFonts w:ascii="Garamond" w:hAnsi="Garamond"/>
        </w:rPr>
        <w:footnoteRef/>
      </w:r>
      <w:r w:rsidRPr="00E806FF">
        <w:rPr>
          <w:rFonts w:ascii="Garamond" w:hAnsi="Garamond"/>
        </w:rPr>
        <w:t xml:space="preserve"> </w:t>
      </w:r>
      <w:r w:rsidRPr="00E806FF">
        <w:rPr>
          <w:rFonts w:ascii="Garamond" w:hAnsi="Garamond"/>
        </w:rPr>
        <w:fldChar w:fldCharType="begin"/>
      </w:r>
      <w:r>
        <w:rPr>
          <w:rFonts w:ascii="Garamond" w:hAnsi="Garamond"/>
        </w:rPr>
        <w:instrText xml:space="preserve"> ADDIN ZOTERO_ITEM CSL_CITATION {"citationID":"pfIgL1js","properties":{"formattedCitation":"Terence E. Fretheim.","plainCitation":"Terence E. Fretheim.","dontUpdate":true,"noteIndex":31},"citationItems":[{"id":76,"uris":["http://zotero.org/users/local/weSCt3ZK/items/5UP5B3MJ"],"uri":["http://zotero.org/users/local/weSCt3ZK/items/5UP5B3MJ"],"itemData":{"id":76,"type":"chapter","collection-title":"The Oxford Bible Commentary","container-title":"The Pentateuch","event-place":"Oxford","publisher":"Oxford University Press","publisher-place":"Oxford","title":"Numbers","author":[{"literal":"Terence E. Fretheim"}],"editor":[{"literal":"John Muddiman"},{"literal":"John Barton"}],"issued":{"date-parts":[["2010"]]}}}],"schema":"https://github.com/citation-style-language/schema/raw/master/csl-citation.json"} </w:instrText>
      </w:r>
      <w:r w:rsidRPr="00E806FF">
        <w:rPr>
          <w:rFonts w:ascii="Garamond" w:hAnsi="Garamond"/>
        </w:rPr>
        <w:fldChar w:fldCharType="separate"/>
      </w:r>
      <w:r w:rsidRPr="00E806FF">
        <w:rPr>
          <w:rFonts w:ascii="Garamond" w:hAnsi="Garamond"/>
        </w:rPr>
        <w:t>Terence E. Fretheim</w:t>
      </w:r>
      <w:r>
        <w:rPr>
          <w:rFonts w:ascii="Garamond" w:hAnsi="Garamond"/>
        </w:rPr>
        <w:t>, 166</w:t>
      </w:r>
      <w:r w:rsidRPr="00E806FF">
        <w:rPr>
          <w:rFonts w:ascii="Garamond" w:hAnsi="Garamond"/>
        </w:rPr>
        <w:t>.</w:t>
      </w:r>
      <w:r w:rsidRPr="00E806FF">
        <w:rPr>
          <w:rFonts w:ascii="Garamond" w:hAnsi="Garamond"/>
        </w:rPr>
        <w:fldChar w:fldCharType="end"/>
      </w:r>
    </w:p>
  </w:footnote>
  <w:footnote w:id="32">
    <w:p w:rsidR="004C1D5A" w:rsidRPr="002B2C79" w:rsidRDefault="004C1D5A" w:rsidP="002B2C79">
      <w:pPr>
        <w:pStyle w:val="FootnoteText"/>
        <w:ind w:firstLine="720"/>
        <w:rPr>
          <w:rFonts w:ascii="Garamond" w:hAnsi="Garamond"/>
          <w:lang w:val="en-US"/>
        </w:rPr>
      </w:pPr>
      <w:r w:rsidRPr="002B2C79">
        <w:rPr>
          <w:rStyle w:val="FootnoteReference"/>
          <w:rFonts w:ascii="Garamond" w:hAnsi="Garamond"/>
        </w:rPr>
        <w:footnoteRef/>
      </w:r>
      <w:r w:rsidRPr="002B2C79">
        <w:rPr>
          <w:rFonts w:ascii="Garamond" w:hAnsi="Garamond"/>
        </w:rPr>
        <w:t xml:space="preserve"> </w:t>
      </w:r>
      <w:r w:rsidRPr="002B2C79">
        <w:rPr>
          <w:rFonts w:ascii="Garamond" w:hAnsi="Garamond"/>
        </w:rPr>
        <w:fldChar w:fldCharType="begin"/>
      </w:r>
      <w:r w:rsidRPr="002B2C79">
        <w:rPr>
          <w:rFonts w:ascii="Garamond" w:hAnsi="Garamond"/>
        </w:rPr>
        <w:instrText xml:space="preserve"> ADDIN ZOTERO_ITEM CSL_CITATION {"citationID":"qnyqGy3F","properties":{"formattedCitation":"{\\i{}Biblia Hebraica Stuttgartensia} (Stuttgart: Deutsche Bibelgesellschaft, 1997), 237.","plainCitation":"Biblia Hebraica Stuttgartensia (Stuttgart: Deutsche Bibelgesellschaft, 1997), 237.","noteIndex":32},"citationItems":[{"id":44,"uris":["http://zotero.org/users/local/weSCt3ZK/items/NB5HG84P"],"uri":["http://zotero.org/users/local/weSCt3ZK/items/NB5HG84P"],"itemData":{"id":44,"type":"book","event-place":"Stuttgart","publisher":"Deutsche Bibelgesellschaft","publisher-place":"Stuttgart","title":"Biblia Hebraica Stuttgartensia","issued":{"date-parts":[["1997"]]}},"locator":"237"}],"schema":"https://github.com/citation-style-language/schema/raw/master/csl-citation.json"} </w:instrText>
      </w:r>
      <w:r w:rsidRPr="002B2C79">
        <w:rPr>
          <w:rFonts w:ascii="Garamond" w:hAnsi="Garamond"/>
        </w:rPr>
        <w:fldChar w:fldCharType="separate"/>
      </w:r>
      <w:r w:rsidRPr="002B2C79">
        <w:rPr>
          <w:rFonts w:ascii="Garamond" w:hAnsi="Garamond"/>
          <w:i/>
          <w:iCs/>
          <w:szCs w:val="24"/>
        </w:rPr>
        <w:t>Biblia Hebraica Stuttgartensia</w:t>
      </w:r>
      <w:r w:rsidRPr="002B2C79">
        <w:rPr>
          <w:rFonts w:ascii="Garamond" w:hAnsi="Garamond"/>
          <w:szCs w:val="24"/>
        </w:rPr>
        <w:t xml:space="preserve"> (Stuttgart: Deutsche Bibelgesellschaft, 1997), 237.</w:t>
      </w:r>
      <w:r w:rsidRPr="002B2C79">
        <w:rPr>
          <w:rFonts w:ascii="Garamond" w:hAnsi="Garamond"/>
        </w:rPr>
        <w:fldChar w:fldCharType="end"/>
      </w:r>
    </w:p>
  </w:footnote>
  <w:footnote w:id="33">
    <w:p w:rsidR="004C1D5A" w:rsidRPr="00CD49BD" w:rsidRDefault="004C1D5A" w:rsidP="00CD49BD">
      <w:pPr>
        <w:pStyle w:val="FootnoteText"/>
        <w:ind w:firstLine="720"/>
        <w:jc w:val="both"/>
        <w:rPr>
          <w:rFonts w:ascii="Garamond" w:hAnsi="Garamond"/>
          <w:lang w:val="en-US"/>
        </w:rPr>
      </w:pPr>
      <w:r w:rsidRPr="00CD49BD">
        <w:rPr>
          <w:rStyle w:val="FootnoteReference"/>
          <w:rFonts w:ascii="Garamond" w:hAnsi="Garamond"/>
        </w:rPr>
        <w:footnoteRef/>
      </w:r>
      <w:r w:rsidRPr="00CD49BD">
        <w:rPr>
          <w:rFonts w:ascii="Garamond" w:hAnsi="Garamond"/>
        </w:rPr>
        <w:t xml:space="preserve"> </w:t>
      </w:r>
      <w:r w:rsidRPr="00CD49BD">
        <w:rPr>
          <w:rFonts w:ascii="Garamond" w:hAnsi="Garamond"/>
        </w:rPr>
        <w:fldChar w:fldCharType="begin"/>
      </w:r>
      <w:r w:rsidRPr="00CD49BD">
        <w:rPr>
          <w:rFonts w:ascii="Garamond" w:hAnsi="Garamond"/>
        </w:rPr>
        <w:instrText xml:space="preserve"> ADDIN ZOTERO_ITEM CSL_CITATION {"citationID":"dtIKcu23","properties":{"formattedCitation":"R. Laird Harris, Gleason L. Archer, and Bruce K. Waltke, {\\i{}Theological Wordbook of the Old Testament} (Chicago: Moody Press, 1980), 836\\uc0\\u8211{}37.","plainCitation":"R. Laird Harris, Gleason L. Archer, and Bruce K. Waltke, Theological Wordbook of the Old Testament (Chicago: Moody Press, 1980), 836–37.","noteIndex":33},"citationItems":[{"id":31,"uris":["http://zotero.org/users/local/weSCt3ZK/items/EY72Z8E4"],"uri":["http://zotero.org/users/local/weSCt3ZK/items/EY72Z8E4"],"itemData":{"id":31,"type":"book","event-place":"Chicago","publisher":"Moody Press","publisher-place":"Chicago","title":"Theological Wordbook of the Old Testament","author":[{"literal":"R. Laird Harris"},{"literal":"Gleason L. Archer"},{"literal":"Bruce K. Waltke"}],"issued":{"date-parts":[["1980"]]}},"locator":"836-837"}],"schema":"https://github.com/citation-style-language/schema/raw/master/csl-citation.json"} </w:instrText>
      </w:r>
      <w:r w:rsidRPr="00CD49BD">
        <w:rPr>
          <w:rFonts w:ascii="Garamond" w:hAnsi="Garamond"/>
        </w:rPr>
        <w:fldChar w:fldCharType="separate"/>
      </w:r>
      <w:r w:rsidRPr="00CD49BD">
        <w:rPr>
          <w:rFonts w:ascii="Garamond" w:hAnsi="Garamond"/>
          <w:szCs w:val="24"/>
        </w:rPr>
        <w:t xml:space="preserve">R. Laird Harris, Gleason L. Archer, and Bruce K. Waltke, </w:t>
      </w:r>
      <w:r w:rsidRPr="00CD49BD">
        <w:rPr>
          <w:rFonts w:ascii="Garamond" w:hAnsi="Garamond"/>
          <w:i/>
          <w:iCs/>
          <w:szCs w:val="24"/>
        </w:rPr>
        <w:t>Theological Wordbook of the Old Testament</w:t>
      </w:r>
      <w:r w:rsidRPr="00CD49BD">
        <w:rPr>
          <w:rFonts w:ascii="Garamond" w:hAnsi="Garamond"/>
          <w:szCs w:val="24"/>
        </w:rPr>
        <w:t xml:space="preserve"> (Chicago: Moody Press, 1980), 836–37.</w:t>
      </w:r>
      <w:r w:rsidRPr="00CD49BD">
        <w:rPr>
          <w:rFonts w:ascii="Garamond" w:hAnsi="Garamond"/>
        </w:rPr>
        <w:fldChar w:fldCharType="end"/>
      </w:r>
    </w:p>
  </w:footnote>
  <w:footnote w:id="34">
    <w:p w:rsidR="004C1D5A" w:rsidRPr="00CD49BD" w:rsidRDefault="004C1D5A" w:rsidP="00CD49BD">
      <w:pPr>
        <w:pStyle w:val="FootnoteText"/>
        <w:ind w:firstLine="720"/>
        <w:jc w:val="both"/>
        <w:rPr>
          <w:rFonts w:ascii="Garamond" w:hAnsi="Garamond"/>
          <w:lang w:val="en-US"/>
        </w:rPr>
      </w:pPr>
      <w:r w:rsidRPr="00CD49BD">
        <w:rPr>
          <w:rStyle w:val="FootnoteReference"/>
          <w:rFonts w:ascii="Garamond" w:hAnsi="Garamond"/>
        </w:rPr>
        <w:footnoteRef/>
      </w:r>
      <w:r w:rsidRPr="00CD49BD">
        <w:rPr>
          <w:rFonts w:ascii="Garamond" w:hAnsi="Garamond"/>
        </w:rPr>
        <w:t xml:space="preserve"> </w:t>
      </w:r>
      <w:r w:rsidRPr="00CD49BD">
        <w:rPr>
          <w:rFonts w:ascii="Garamond" w:hAnsi="Garamond"/>
        </w:rPr>
        <w:fldChar w:fldCharType="begin"/>
      </w:r>
      <w:r w:rsidRPr="00CD49BD">
        <w:rPr>
          <w:rFonts w:ascii="Garamond" w:hAnsi="Garamond"/>
        </w:rPr>
        <w:instrText xml:space="preserve"> ADDIN ZOTERO_ITEM CSL_CITATION {"citationID":"JtlpnCJG","properties":{"formattedCitation":"R. Laird Harris, Gleason L. Archer, and Bruce K. Waltke, 33.","plainCitation":"R. Laird Harris, Gleason L. Archer, and Bruce K. Waltke, 33.","noteIndex":34},"citationItems":[{"id":31,"uris":["http://zotero.org/users/local/weSCt3ZK/items/EY72Z8E4"],"uri":["http://zotero.org/users/local/weSCt3ZK/items/EY72Z8E4"],"itemData":{"id":31,"type":"book","event-place":"Chicago","publisher":"Moody Press","publisher-place":"Chicago","title":"Theological Wordbook of the Old Testament","author":[{"literal":"R. Laird Harris"},{"literal":"Gleason L. Archer"},{"literal":"Bruce K. Waltke"}],"issued":{"date-parts":[["1980"]]}},"locator":"33"}],"schema":"https://github.com/citation-style-language/schema/raw/master/csl-citation.json"} </w:instrText>
      </w:r>
      <w:r w:rsidRPr="00CD49BD">
        <w:rPr>
          <w:rFonts w:ascii="Garamond" w:hAnsi="Garamond"/>
        </w:rPr>
        <w:fldChar w:fldCharType="separate"/>
      </w:r>
      <w:r w:rsidRPr="00CD49BD">
        <w:rPr>
          <w:rFonts w:ascii="Garamond" w:hAnsi="Garamond"/>
        </w:rPr>
        <w:t>R. Laird Harris, Gleason L. Archer, and Bruce K. Waltke, 33.</w:t>
      </w:r>
      <w:r w:rsidRPr="00CD49BD">
        <w:rPr>
          <w:rFonts w:ascii="Garamond" w:hAnsi="Garamond"/>
        </w:rPr>
        <w:fldChar w:fldCharType="end"/>
      </w:r>
    </w:p>
  </w:footnote>
  <w:footnote w:id="35">
    <w:p w:rsidR="004C1D5A" w:rsidRPr="003E6CAE" w:rsidRDefault="004C1D5A" w:rsidP="002D7513">
      <w:pPr>
        <w:pStyle w:val="FootnoteText"/>
        <w:ind w:firstLine="720"/>
        <w:jc w:val="both"/>
        <w:rPr>
          <w:rFonts w:ascii="Garamond" w:hAnsi="Garamond"/>
          <w:lang w:val="en-US"/>
        </w:rPr>
      </w:pPr>
      <w:r w:rsidRPr="003E6CAE">
        <w:rPr>
          <w:rStyle w:val="FootnoteReference"/>
          <w:rFonts w:ascii="Garamond" w:hAnsi="Garamond"/>
        </w:rPr>
        <w:footnoteRef/>
      </w:r>
      <w:r w:rsidRPr="003E6CAE">
        <w:rPr>
          <w:rFonts w:ascii="Garamond" w:hAnsi="Garamond"/>
        </w:rPr>
        <w:t xml:space="preserve"> </w:t>
      </w:r>
      <w:r w:rsidRPr="003E6CAE">
        <w:rPr>
          <w:rFonts w:ascii="Garamond" w:hAnsi="Garamond"/>
        </w:rPr>
        <w:fldChar w:fldCharType="begin"/>
      </w:r>
      <w:r>
        <w:rPr>
          <w:rFonts w:ascii="Garamond" w:hAnsi="Garamond"/>
        </w:rPr>
        <w:instrText xml:space="preserve"> ADDIN ZOTERO_ITEM CSL_CITATION {"citationID":"QBX2gdPl","properties":{"formattedCitation":"Baruch A. Levine, {\\i{}Numbers 1-20. A New Translation with Introduction and Commentary}, 368.","plainCitation":"Baruch A. Levine, Numbers 1-20. A New Translation with Introduction and Commentary, 368.","noteIndex":35},"citationItems":[{"id":72,"uris":["http://zotero.org/users/local/weSCt3ZK/items/7SY5EYMH"],"uri":["http://zotero.org/users/local/weSCt3ZK/items/7SY5EYMH"],"itemData":{"id":72,"type":"book","collection-number":"4","collection-title":"The Anchor Bible","event-place":"New York","publisher":"Doubleday","publisher-place":"New York","title":"Numbers 1-20. A New Translation with Introduction and Commentary","author":[{"literal":"Baruch A. Levine"}],"issued":{"date-parts":[["1993"]]}},"locator":"368"}],"schema":"https://github.com/citation-style-language/schema/raw/master/csl-citation.json"} </w:instrText>
      </w:r>
      <w:r w:rsidRPr="003E6CAE">
        <w:rPr>
          <w:rFonts w:ascii="Garamond" w:hAnsi="Garamond"/>
        </w:rPr>
        <w:fldChar w:fldCharType="separate"/>
      </w:r>
      <w:r w:rsidRPr="003E6CAE">
        <w:rPr>
          <w:rFonts w:ascii="Garamond" w:hAnsi="Garamond"/>
          <w:szCs w:val="24"/>
        </w:rPr>
        <w:t xml:space="preserve">Baruch A. Levine, </w:t>
      </w:r>
      <w:r w:rsidRPr="003E6CAE">
        <w:rPr>
          <w:rFonts w:ascii="Garamond" w:hAnsi="Garamond"/>
          <w:i/>
          <w:iCs/>
          <w:szCs w:val="24"/>
        </w:rPr>
        <w:t>Numbers 1-20. A New Translation with Introduction and Commentary</w:t>
      </w:r>
      <w:r w:rsidRPr="003E6CAE">
        <w:rPr>
          <w:rFonts w:ascii="Garamond" w:hAnsi="Garamond"/>
          <w:szCs w:val="24"/>
        </w:rPr>
        <w:t>, 368.</w:t>
      </w:r>
      <w:r w:rsidRPr="003E6CAE">
        <w:rPr>
          <w:rFonts w:ascii="Garamond" w:hAnsi="Garamond"/>
        </w:rPr>
        <w:fldChar w:fldCharType="end"/>
      </w:r>
    </w:p>
  </w:footnote>
  <w:footnote w:id="36">
    <w:p w:rsidR="004C1D5A" w:rsidRPr="00DB5474" w:rsidRDefault="004C1D5A" w:rsidP="00DB5474">
      <w:pPr>
        <w:pStyle w:val="FootnoteText"/>
        <w:ind w:firstLine="720"/>
        <w:jc w:val="both"/>
        <w:rPr>
          <w:rFonts w:ascii="Garamond" w:hAnsi="Garamond"/>
          <w:lang w:val="en-US"/>
        </w:rPr>
      </w:pPr>
      <w:r w:rsidRPr="00DB5474">
        <w:rPr>
          <w:rStyle w:val="FootnoteReference"/>
          <w:rFonts w:ascii="Garamond" w:hAnsi="Garamond"/>
        </w:rPr>
        <w:footnoteRef/>
      </w:r>
      <w:r w:rsidRPr="00DB5474">
        <w:rPr>
          <w:rFonts w:ascii="Garamond" w:hAnsi="Garamond"/>
        </w:rPr>
        <w:t xml:space="preserve"> </w:t>
      </w:r>
      <w:r w:rsidRPr="00DB5474">
        <w:rPr>
          <w:rFonts w:ascii="Garamond" w:hAnsi="Garamond"/>
        </w:rPr>
        <w:fldChar w:fldCharType="begin"/>
      </w:r>
      <w:r w:rsidRPr="00DB5474">
        <w:rPr>
          <w:rFonts w:ascii="Garamond" w:hAnsi="Garamond"/>
        </w:rPr>
        <w:instrText xml:space="preserve"> ADDIN ZOTERO_ITEM CSL_CITATION {"citationID":"b1oId9Eh","properties":{"formattedCitation":"Philip J. Budd, {\\i{}Numbers}, Word Biblical Commentary (Texas: Word Books Publisher, 1984), 261.","plainCitation":"Philip J. Budd, Numbers, Word Biblical Commentary (Texas: Word Books Publisher, 1984), 261.","noteIndex":36},"citationItems":[{"id":80,"uris":["http://zotero.org/users/local/weSCt3ZK/items/WMAATCVR"],"uri":["http://zotero.org/users/local/weSCt3ZK/items/WMAATCVR"],"itemData":{"id":80,"type":"book","collection-title":"Word Biblical Commentary","event-place":"Texas","publisher":"Word Books Publisher","publisher-place":"Texas","title":"Numbers","author":[{"literal":"Philip J. Budd"}],"issued":{"date-parts":[["1984"]]}},"locator":"261"}],"schema":"https://github.com/citation-style-language/schema/raw/master/csl-citation.json"} </w:instrText>
      </w:r>
      <w:r w:rsidRPr="00DB5474">
        <w:rPr>
          <w:rFonts w:ascii="Garamond" w:hAnsi="Garamond"/>
        </w:rPr>
        <w:fldChar w:fldCharType="separate"/>
      </w:r>
      <w:r w:rsidRPr="00DB5474">
        <w:rPr>
          <w:rFonts w:ascii="Garamond" w:hAnsi="Garamond"/>
          <w:szCs w:val="24"/>
        </w:rPr>
        <w:t xml:space="preserve">Philip J. Budd, </w:t>
      </w:r>
      <w:r w:rsidRPr="00DB5474">
        <w:rPr>
          <w:rFonts w:ascii="Garamond" w:hAnsi="Garamond"/>
          <w:i/>
          <w:iCs/>
          <w:szCs w:val="24"/>
        </w:rPr>
        <w:t>Numbers</w:t>
      </w:r>
      <w:r w:rsidRPr="00DB5474">
        <w:rPr>
          <w:rFonts w:ascii="Garamond" w:hAnsi="Garamond"/>
          <w:szCs w:val="24"/>
        </w:rPr>
        <w:t>, Word Biblical Commentary (Texas: Word Books Publisher, 1984), 261.</w:t>
      </w:r>
      <w:r w:rsidRPr="00DB5474">
        <w:rPr>
          <w:rFonts w:ascii="Garamond" w:hAnsi="Garamond"/>
        </w:rPr>
        <w:fldChar w:fldCharType="end"/>
      </w:r>
    </w:p>
  </w:footnote>
  <w:footnote w:id="37">
    <w:p w:rsidR="004C1D5A" w:rsidRPr="00DB5474" w:rsidRDefault="004C1D5A" w:rsidP="00DB5474">
      <w:pPr>
        <w:pStyle w:val="FootnoteText"/>
        <w:ind w:firstLine="720"/>
        <w:jc w:val="both"/>
        <w:rPr>
          <w:rFonts w:ascii="Garamond" w:hAnsi="Garamond"/>
          <w:lang w:val="en-US"/>
        </w:rPr>
      </w:pPr>
      <w:r w:rsidRPr="00DB5474">
        <w:rPr>
          <w:rStyle w:val="FootnoteReference"/>
          <w:rFonts w:ascii="Garamond" w:hAnsi="Garamond"/>
        </w:rPr>
        <w:footnoteRef/>
      </w:r>
      <w:r w:rsidRPr="00DB5474">
        <w:rPr>
          <w:rFonts w:ascii="Garamond" w:hAnsi="Garamond"/>
        </w:rPr>
        <w:t xml:space="preserve"> </w:t>
      </w:r>
      <w:r w:rsidRPr="00DB5474">
        <w:rPr>
          <w:rFonts w:ascii="Garamond" w:hAnsi="Garamond"/>
        </w:rPr>
        <w:fldChar w:fldCharType="begin"/>
      </w:r>
      <w:r w:rsidRPr="00DB5474">
        <w:rPr>
          <w:rFonts w:ascii="Garamond" w:hAnsi="Garamond"/>
        </w:rPr>
        <w:instrText xml:space="preserve"> ADDIN ZOTERO_ITEM CSL_CITATION {"citationID":"TxOU5VJ5","properties":{"formattedCitation":"Timothy R. Ashley, {\\i{}The Book of Numbers}, 261.","plainCitation":"Timothy R. Ashley, The Book of Numbers, 261.","noteIndex":37},"citationItems":[{"id":71,"uris":["http://zotero.org/users/local/weSCt3ZK/items/Z4YVMAU5"],"uri":["http://zotero.org/users/local/weSCt3ZK/items/Z4YVMAU5"],"itemData":{"id":71,"type":"book","event-place":"Grand Rapids","publisher":"Eerdmans","publisher-place":"Grand Rapids","title":"The Book of Numbers","author":[{"literal":"Timothy R. Ashley"}],"issued":{"date-parts":[["1993"]]}},"locator":"261"}],"schema":"https://github.com/citation-style-language/schema/raw/master/csl-citation.json"} </w:instrText>
      </w:r>
      <w:r w:rsidRPr="00DB5474">
        <w:rPr>
          <w:rFonts w:ascii="Garamond" w:hAnsi="Garamond"/>
        </w:rPr>
        <w:fldChar w:fldCharType="separate"/>
      </w:r>
      <w:r w:rsidRPr="00DB5474">
        <w:rPr>
          <w:rFonts w:ascii="Garamond" w:hAnsi="Garamond"/>
          <w:szCs w:val="24"/>
        </w:rPr>
        <w:t xml:space="preserve">Timothy R. Ashley, </w:t>
      </w:r>
      <w:r w:rsidRPr="00DB5474">
        <w:rPr>
          <w:rFonts w:ascii="Garamond" w:hAnsi="Garamond"/>
          <w:i/>
          <w:iCs/>
          <w:szCs w:val="24"/>
        </w:rPr>
        <w:t>The Book of Numbers</w:t>
      </w:r>
      <w:r w:rsidRPr="00DB5474">
        <w:rPr>
          <w:rFonts w:ascii="Garamond" w:hAnsi="Garamond"/>
          <w:szCs w:val="24"/>
        </w:rPr>
        <w:t>, 261.</w:t>
      </w:r>
      <w:r w:rsidRPr="00DB5474">
        <w:rPr>
          <w:rFonts w:ascii="Garamond" w:hAnsi="Garamond"/>
        </w:rPr>
        <w:fldChar w:fldCharType="end"/>
      </w:r>
    </w:p>
  </w:footnote>
  <w:footnote w:id="38">
    <w:p w:rsidR="004C1D5A" w:rsidRPr="006B79C8" w:rsidRDefault="004C1D5A" w:rsidP="006B79C8">
      <w:pPr>
        <w:pStyle w:val="FootnoteText"/>
        <w:ind w:firstLine="720"/>
        <w:jc w:val="both"/>
        <w:rPr>
          <w:rFonts w:ascii="Garamond" w:hAnsi="Garamond"/>
          <w:lang w:val="en-US"/>
        </w:rPr>
      </w:pPr>
      <w:r w:rsidRPr="006B79C8">
        <w:rPr>
          <w:rStyle w:val="FootnoteReference"/>
          <w:rFonts w:ascii="Garamond" w:hAnsi="Garamond"/>
        </w:rPr>
        <w:footnoteRef/>
      </w:r>
      <w:r w:rsidRPr="006B79C8">
        <w:rPr>
          <w:rFonts w:ascii="Garamond" w:hAnsi="Garamond"/>
        </w:rPr>
        <w:t xml:space="preserve"> </w:t>
      </w:r>
      <w:r w:rsidRPr="006B79C8">
        <w:rPr>
          <w:rFonts w:ascii="Garamond" w:hAnsi="Garamond"/>
        </w:rPr>
        <w:fldChar w:fldCharType="begin"/>
      </w:r>
      <w:r w:rsidRPr="006B79C8">
        <w:rPr>
          <w:rFonts w:ascii="Garamond" w:hAnsi="Garamond"/>
        </w:rPr>
        <w:instrText xml:space="preserve"> ADDIN ZOTERO_ITEM CSL_CITATION {"citationID":"IvmLa5Pu","properties":{"formattedCitation":"Baruch A. Levine, {\\i{}Numbers 1-20. A New Translation with Introduction and Commentary}, 368.","plainCitation":"Baruch A. Levine, Numbers 1-20. A New Translation with Introduction and Commentary, 368.","noteIndex":38},"citationItems":[{"id":72,"uris":["http://zotero.org/users/local/weSCt3ZK/items/7SY5EYMH"],"uri":["http://zotero.org/users/local/weSCt3ZK/items/7SY5EYMH"],"itemData":{"id":72,"type":"book","collection-number":"4","collection-title":"The Anchor Bible","event-place":"New York","publisher":"Doubleday","publisher-place":"New York","title":"Numbers 1-20. A New Translation with Introduction and Commentary","author":[{"literal":"Baruch A. Levine"}],"issued":{"date-parts":[["1993"]]}},"locator":"368"}],"schema":"https://github.com/citation-style-language/schema/raw/master/csl-citation.json"} </w:instrText>
      </w:r>
      <w:r w:rsidRPr="006B79C8">
        <w:rPr>
          <w:rFonts w:ascii="Garamond" w:hAnsi="Garamond"/>
        </w:rPr>
        <w:fldChar w:fldCharType="separate"/>
      </w:r>
      <w:r w:rsidRPr="006B79C8">
        <w:rPr>
          <w:rFonts w:ascii="Garamond" w:hAnsi="Garamond"/>
          <w:szCs w:val="24"/>
        </w:rPr>
        <w:t xml:space="preserve">Baruch A. Levine, </w:t>
      </w:r>
      <w:r w:rsidRPr="006B79C8">
        <w:rPr>
          <w:rFonts w:ascii="Garamond" w:hAnsi="Garamond"/>
          <w:i/>
          <w:iCs/>
          <w:szCs w:val="24"/>
        </w:rPr>
        <w:t>Numbers 1-20. A New Translation with Introduction and Commentary</w:t>
      </w:r>
      <w:r w:rsidRPr="006B79C8">
        <w:rPr>
          <w:rFonts w:ascii="Garamond" w:hAnsi="Garamond"/>
          <w:szCs w:val="24"/>
        </w:rPr>
        <w:t>, 368.</w:t>
      </w:r>
      <w:r w:rsidRPr="006B79C8">
        <w:rPr>
          <w:rFonts w:ascii="Garamond" w:hAnsi="Garamond"/>
        </w:rPr>
        <w:fldChar w:fldCharType="end"/>
      </w:r>
    </w:p>
  </w:footnote>
  <w:footnote w:id="39">
    <w:p w:rsidR="004C1D5A" w:rsidRPr="006B79C8" w:rsidRDefault="004C1D5A" w:rsidP="006B79C8">
      <w:pPr>
        <w:pStyle w:val="FootnoteText"/>
        <w:ind w:firstLine="720"/>
        <w:jc w:val="both"/>
        <w:rPr>
          <w:lang w:val="en-US"/>
        </w:rPr>
      </w:pPr>
      <w:r w:rsidRPr="006B79C8">
        <w:rPr>
          <w:rStyle w:val="FootnoteReference"/>
          <w:rFonts w:ascii="Garamond" w:hAnsi="Garamond"/>
        </w:rPr>
        <w:footnoteRef/>
      </w:r>
      <w:r w:rsidRPr="006B79C8">
        <w:rPr>
          <w:rFonts w:ascii="Garamond" w:hAnsi="Garamond"/>
        </w:rPr>
        <w:t xml:space="preserve"> </w:t>
      </w:r>
      <w:r w:rsidRPr="006B79C8">
        <w:rPr>
          <w:rFonts w:ascii="Garamond" w:hAnsi="Garamond"/>
        </w:rPr>
        <w:fldChar w:fldCharType="begin"/>
      </w:r>
      <w:r w:rsidRPr="006B79C8">
        <w:rPr>
          <w:rFonts w:ascii="Garamond" w:hAnsi="Garamond"/>
        </w:rPr>
        <w:instrText xml:space="preserve"> ADDIN ZOTERO_ITEM CSL_CITATION {"citationID":"ijkv9pSn","properties":{"formattedCitation":"Philip J. Budd, {\\i{}Numbers}, 159.","plainCitation":"Philip J. Budd, Numbers, 159.","noteIndex":39},"citationItems":[{"id":80,"uris":["http://zotero.org/users/local/weSCt3ZK/items/WMAATCVR"],"uri":["http://zotero.org/users/local/weSCt3ZK/items/WMAATCVR"],"itemData":{"id":80,"type":"book","collection-title":"Word Biblical Commentary","event-place":"Texas","publisher":"Word Books Publisher","publisher-place":"Texas","title":"Numbers","author":[{"literal":"Philip J. Budd"}],"issued":{"date-parts":[["1984"]]}},"locator":"159"}],"schema":"https://github.com/citation-style-language/schema/raw/master/csl-citation.json"} </w:instrText>
      </w:r>
      <w:r w:rsidRPr="006B79C8">
        <w:rPr>
          <w:rFonts w:ascii="Garamond" w:hAnsi="Garamond"/>
        </w:rPr>
        <w:fldChar w:fldCharType="separate"/>
      </w:r>
      <w:r w:rsidRPr="006B79C8">
        <w:rPr>
          <w:rFonts w:ascii="Garamond" w:hAnsi="Garamond"/>
          <w:szCs w:val="24"/>
        </w:rPr>
        <w:t xml:space="preserve">Philip J. Budd, </w:t>
      </w:r>
      <w:r w:rsidRPr="006B79C8">
        <w:rPr>
          <w:rFonts w:ascii="Garamond" w:hAnsi="Garamond"/>
          <w:i/>
          <w:iCs/>
          <w:szCs w:val="24"/>
        </w:rPr>
        <w:t>Numbers</w:t>
      </w:r>
      <w:r w:rsidRPr="006B79C8">
        <w:rPr>
          <w:rFonts w:ascii="Garamond" w:hAnsi="Garamond"/>
          <w:szCs w:val="24"/>
        </w:rPr>
        <w:t>, 159.</w:t>
      </w:r>
      <w:r w:rsidRPr="006B79C8">
        <w:rPr>
          <w:rFonts w:ascii="Garamond" w:hAnsi="Garamond"/>
        </w:rPr>
        <w:fldChar w:fldCharType="end"/>
      </w:r>
    </w:p>
  </w:footnote>
  <w:footnote w:id="40">
    <w:p w:rsidR="000067A2" w:rsidRPr="000067A2" w:rsidRDefault="000067A2" w:rsidP="000067A2">
      <w:pPr>
        <w:pStyle w:val="FootnoteText"/>
        <w:ind w:firstLine="720"/>
        <w:jc w:val="both"/>
        <w:rPr>
          <w:rFonts w:ascii="Garamond" w:hAnsi="Garamond"/>
          <w:lang w:val="en-US"/>
        </w:rPr>
      </w:pPr>
      <w:r w:rsidRPr="000067A2">
        <w:rPr>
          <w:rStyle w:val="FootnoteReference"/>
          <w:rFonts w:ascii="Garamond" w:hAnsi="Garamond"/>
        </w:rPr>
        <w:footnoteRef/>
      </w:r>
      <w:r w:rsidRPr="000067A2">
        <w:rPr>
          <w:rFonts w:ascii="Garamond" w:hAnsi="Garamond"/>
        </w:rPr>
        <w:t xml:space="preserve"> </w:t>
      </w:r>
      <w:r w:rsidRPr="000067A2">
        <w:rPr>
          <w:rFonts w:ascii="Garamond" w:hAnsi="Garamond"/>
        </w:rPr>
        <w:fldChar w:fldCharType="begin"/>
      </w:r>
      <w:r w:rsidRPr="000067A2">
        <w:rPr>
          <w:rFonts w:ascii="Garamond" w:hAnsi="Garamond"/>
        </w:rPr>
        <w:instrText xml:space="preserve"> ADDIN ZOTERO_ITEM CSL_CITATION {"citationID":"5zGadbHY","properties":{"formattedCitation":"Snijders, \\uc0\\u8216{}Mal\\uc0\\u275{}\\uc0\\u8217{}, in {\\i{}Theological Dictionary of the Old Testament}, ed. G. Johannes Botterweck, Helmer Ringgren, and Heinz-Josef Fabry (Grand Rapids: Eerdmans, 1997), 298.","plainCitation":"Snijders, ‘Malē’, in Theological Dictionary of the Old Testament, ed. G. Johannes Botterweck, Helmer Ringgren, and Heinz-Josef Fabry (Grand Rapids: Eerdmans, 1997), 298.","noteIndex":40},"citationItems":[{"id":82,"uris":["http://zotero.org/users/local/weSCt3ZK/items/GR7UIDAQ"],"uri":["http://zotero.org/users/local/weSCt3ZK/items/GR7UIDAQ"],"itemData":{"id":82,"type":"entry-dictionary","container-title":"Theological Dictionary of the Old Testament","event-place":"Grand Rapids","publisher":"Eerdmans","publisher-place":"Grand Rapids","title":"malē","volume":"VIII","author":[{"literal":"Snijders"}],"editor":[{"literal":"G. Johannes Botterweck"},{"literal":"Helmer Ringgren"},{"literal":"Heinz-Josef Fabry"}],"issued":{"date-parts":[["1997"]]}},"locator":"298"}],"schema":"https://github.com/citation-style-language/schema/raw/master/csl-citation.json"} </w:instrText>
      </w:r>
      <w:r w:rsidRPr="000067A2">
        <w:rPr>
          <w:rFonts w:ascii="Garamond" w:hAnsi="Garamond"/>
        </w:rPr>
        <w:fldChar w:fldCharType="separate"/>
      </w:r>
      <w:r w:rsidRPr="000067A2">
        <w:rPr>
          <w:rFonts w:ascii="Garamond" w:hAnsi="Garamond"/>
          <w:szCs w:val="24"/>
        </w:rPr>
        <w:t xml:space="preserve">Snijders, ‘Malē’, in </w:t>
      </w:r>
      <w:r w:rsidRPr="000067A2">
        <w:rPr>
          <w:rFonts w:ascii="Garamond" w:hAnsi="Garamond"/>
          <w:i/>
          <w:iCs/>
          <w:szCs w:val="24"/>
        </w:rPr>
        <w:t>Theological Dictionary of the Old Testament</w:t>
      </w:r>
      <w:r w:rsidRPr="000067A2">
        <w:rPr>
          <w:rFonts w:ascii="Garamond" w:hAnsi="Garamond"/>
          <w:szCs w:val="24"/>
        </w:rPr>
        <w:t>, ed. G. Johannes Botterweck, Helmer Ringgren, and Heinz-Josef Fabry (Grand Rapids: Eerdmans, 1997), 298.</w:t>
      </w:r>
      <w:r w:rsidRPr="000067A2">
        <w:rPr>
          <w:rFonts w:ascii="Garamond" w:hAnsi="Garamond"/>
        </w:rPr>
        <w:fldChar w:fldCharType="end"/>
      </w:r>
    </w:p>
  </w:footnote>
  <w:footnote w:id="41">
    <w:p w:rsidR="000067A2" w:rsidRPr="000067A2" w:rsidRDefault="000067A2" w:rsidP="000067A2">
      <w:pPr>
        <w:pStyle w:val="FootnoteText"/>
        <w:ind w:firstLine="720"/>
        <w:jc w:val="both"/>
        <w:rPr>
          <w:rFonts w:ascii="Garamond" w:hAnsi="Garamond"/>
          <w:lang w:val="en-US"/>
        </w:rPr>
      </w:pPr>
      <w:r w:rsidRPr="000067A2">
        <w:rPr>
          <w:rStyle w:val="FootnoteReference"/>
          <w:rFonts w:ascii="Garamond" w:hAnsi="Garamond"/>
        </w:rPr>
        <w:footnoteRef/>
      </w:r>
      <w:r w:rsidRPr="000067A2">
        <w:rPr>
          <w:rFonts w:ascii="Garamond" w:hAnsi="Garamond"/>
        </w:rPr>
        <w:t xml:space="preserve"> </w:t>
      </w:r>
      <w:r w:rsidRPr="000067A2">
        <w:rPr>
          <w:rFonts w:ascii="Garamond" w:hAnsi="Garamond"/>
        </w:rPr>
        <w:fldChar w:fldCharType="begin"/>
      </w:r>
      <w:r w:rsidRPr="000067A2">
        <w:rPr>
          <w:rFonts w:ascii="Garamond" w:hAnsi="Garamond"/>
        </w:rPr>
        <w:instrText xml:space="preserve"> ADDIN ZOTERO_ITEM CSL_CITATION {"citationID":"GlXYR6x1","properties":{"formattedCitation":"Snijders, 300.","plainCitation":"Snijders, 300.","noteIndex":41},"citationItems":[{"id":82,"uris":["http://zotero.org/users/local/weSCt3ZK/items/GR7UIDAQ"],"uri":["http://zotero.org/users/local/weSCt3ZK/items/GR7UIDAQ"],"itemData":{"id":82,"type":"entry-dictionary","container-title":"Theological Dictionary of the Old Testament","event-place":"Grand Rapids","publisher":"Eerdmans","publisher-place":"Grand Rapids","title":"malē","volume":"VIII","author":[{"literal":"Snijders"}],"editor":[{"literal":"G. Johannes Botterweck"},{"literal":"Helmer Ringgren"},{"literal":"Heinz-Josef Fabry"}],"issued":{"date-parts":[["1997"]]}},"locator":"300"}],"schema":"https://github.com/citation-style-language/schema/raw/master/csl-citation.json"} </w:instrText>
      </w:r>
      <w:r w:rsidRPr="000067A2">
        <w:rPr>
          <w:rFonts w:ascii="Garamond" w:hAnsi="Garamond"/>
        </w:rPr>
        <w:fldChar w:fldCharType="separate"/>
      </w:r>
      <w:r w:rsidRPr="000067A2">
        <w:rPr>
          <w:rFonts w:ascii="Garamond" w:hAnsi="Garamond"/>
        </w:rPr>
        <w:t>Snijders, 300.</w:t>
      </w:r>
      <w:r w:rsidRPr="000067A2">
        <w:rPr>
          <w:rFonts w:ascii="Garamond" w:hAnsi="Garamond"/>
        </w:rPr>
        <w:fldChar w:fldCharType="end"/>
      </w:r>
    </w:p>
  </w:footnote>
  <w:footnote w:id="42">
    <w:p w:rsidR="000067A2" w:rsidRPr="000067A2" w:rsidRDefault="000067A2" w:rsidP="000067A2">
      <w:pPr>
        <w:pStyle w:val="FootnoteText"/>
        <w:ind w:firstLine="720"/>
        <w:jc w:val="both"/>
        <w:rPr>
          <w:rFonts w:ascii="Garamond" w:hAnsi="Garamond"/>
          <w:lang w:val="en-US"/>
        </w:rPr>
      </w:pPr>
      <w:r w:rsidRPr="000067A2">
        <w:rPr>
          <w:rStyle w:val="FootnoteReference"/>
          <w:rFonts w:ascii="Garamond" w:hAnsi="Garamond"/>
        </w:rPr>
        <w:footnoteRef/>
      </w:r>
      <w:r w:rsidRPr="000067A2">
        <w:rPr>
          <w:rFonts w:ascii="Garamond" w:hAnsi="Garamond"/>
        </w:rPr>
        <w:t xml:space="preserve"> </w:t>
      </w:r>
      <w:r w:rsidRPr="000067A2">
        <w:rPr>
          <w:rFonts w:ascii="Garamond" w:hAnsi="Garamond"/>
        </w:rPr>
        <w:fldChar w:fldCharType="begin"/>
      </w:r>
      <w:r w:rsidRPr="000067A2">
        <w:rPr>
          <w:rFonts w:ascii="Garamond" w:hAnsi="Garamond"/>
        </w:rPr>
        <w:instrText xml:space="preserve"> ADDIN ZOTERO_ITEM CSL_CITATION {"citationID":"fZDkMjhw","properties":{"formattedCitation":"Timothy R. Ashley, {\\i{}The Book of Numbers}, 261.","plainCitation":"Timothy R. Ashley, The Book of Numbers, 261.","noteIndex":42},"citationItems":[{"id":71,"uris":["http://zotero.org/users/local/weSCt3ZK/items/Z4YVMAU5"],"uri":["http://zotero.org/users/local/weSCt3ZK/items/Z4YVMAU5"],"itemData":{"id":71,"type":"book","event-place":"Grand Rapids","publisher":"Eerdmans","publisher-place":"Grand Rapids","title":"The Book of Numbers","author":[{"literal":"Timothy R. Ashley"}],"issued":{"date-parts":[["1993"]]}},"locator":"261"}],"schema":"https://github.com/citation-style-language/schema/raw/master/csl-citation.json"} </w:instrText>
      </w:r>
      <w:r w:rsidRPr="000067A2">
        <w:rPr>
          <w:rFonts w:ascii="Garamond" w:hAnsi="Garamond"/>
        </w:rPr>
        <w:fldChar w:fldCharType="separate"/>
      </w:r>
      <w:r w:rsidRPr="000067A2">
        <w:rPr>
          <w:rFonts w:ascii="Garamond" w:hAnsi="Garamond"/>
          <w:szCs w:val="24"/>
        </w:rPr>
        <w:t xml:space="preserve">Timothy R. Ashley, </w:t>
      </w:r>
      <w:r w:rsidRPr="000067A2">
        <w:rPr>
          <w:rFonts w:ascii="Garamond" w:hAnsi="Garamond"/>
          <w:i/>
          <w:iCs/>
          <w:szCs w:val="24"/>
        </w:rPr>
        <w:t>The Book of Numbers</w:t>
      </w:r>
      <w:r w:rsidRPr="000067A2">
        <w:rPr>
          <w:rFonts w:ascii="Garamond" w:hAnsi="Garamond"/>
          <w:szCs w:val="24"/>
        </w:rPr>
        <w:t>, 261.</w:t>
      </w:r>
      <w:r w:rsidRPr="000067A2">
        <w:rPr>
          <w:rFonts w:ascii="Garamond" w:hAnsi="Garamond"/>
        </w:rPr>
        <w:fldChar w:fldCharType="end"/>
      </w:r>
    </w:p>
  </w:footnote>
  <w:footnote w:id="43">
    <w:p w:rsidR="000067A2" w:rsidRPr="000067A2" w:rsidRDefault="000067A2" w:rsidP="000067A2">
      <w:pPr>
        <w:pStyle w:val="FootnoteText"/>
        <w:ind w:firstLine="720"/>
        <w:jc w:val="both"/>
        <w:rPr>
          <w:rFonts w:ascii="Garamond" w:hAnsi="Garamond"/>
          <w:lang w:val="en-US"/>
        </w:rPr>
      </w:pPr>
      <w:r w:rsidRPr="000067A2">
        <w:rPr>
          <w:rStyle w:val="FootnoteReference"/>
          <w:rFonts w:ascii="Garamond" w:hAnsi="Garamond"/>
        </w:rPr>
        <w:footnoteRef/>
      </w:r>
      <w:r w:rsidRPr="000067A2">
        <w:rPr>
          <w:rFonts w:ascii="Garamond" w:hAnsi="Garamond"/>
        </w:rPr>
        <w:t xml:space="preserve"> </w:t>
      </w:r>
      <w:r w:rsidRPr="000067A2">
        <w:rPr>
          <w:rFonts w:ascii="Garamond" w:hAnsi="Garamond"/>
        </w:rPr>
        <w:fldChar w:fldCharType="begin"/>
      </w:r>
      <w:r w:rsidRPr="000067A2">
        <w:rPr>
          <w:rFonts w:ascii="Garamond" w:hAnsi="Garamond"/>
        </w:rPr>
        <w:instrText xml:space="preserve"> ADDIN ZOTERO_ITEM CSL_CITATION {"citationID":"mq1SVvnt","properties":{"formattedCitation":"George Buchanan Gray, {\\i{}Numbers}, 158.","plainCitation":"George Buchanan Gray, Numbers, 158.","noteIndex":43},"citationItems":[{"id":70,"uris":["http://zotero.org/users/local/weSCt3ZK/items/FPZALBAQ"],"uri":["http://zotero.org/users/local/weSCt3ZK/items/FPZALBAQ"],"itemData":{"id":70,"type":"book","event-place":"Edinburgh","publisher":"T &amp; T Clark","publisher-place":"Edinburgh","title":"Numbers","author":[{"literal":"George Buchanan Gray"}],"issued":{"date-parts":[["1912"]]}},"locator":"158"}],"schema":"https://github.com/citation-style-language/schema/raw/master/csl-citation.json"} </w:instrText>
      </w:r>
      <w:r w:rsidRPr="000067A2">
        <w:rPr>
          <w:rFonts w:ascii="Garamond" w:hAnsi="Garamond"/>
        </w:rPr>
        <w:fldChar w:fldCharType="separate"/>
      </w:r>
      <w:r w:rsidRPr="000067A2">
        <w:rPr>
          <w:rFonts w:ascii="Garamond" w:hAnsi="Garamond"/>
          <w:szCs w:val="24"/>
        </w:rPr>
        <w:t xml:space="preserve">George Buchanan Gray, </w:t>
      </w:r>
      <w:r w:rsidRPr="000067A2">
        <w:rPr>
          <w:rFonts w:ascii="Garamond" w:hAnsi="Garamond"/>
          <w:i/>
          <w:iCs/>
          <w:szCs w:val="24"/>
        </w:rPr>
        <w:t>Numbers</w:t>
      </w:r>
      <w:r w:rsidRPr="000067A2">
        <w:rPr>
          <w:rFonts w:ascii="Garamond" w:hAnsi="Garamond"/>
          <w:szCs w:val="24"/>
        </w:rPr>
        <w:t>, 158.</w:t>
      </w:r>
      <w:r w:rsidRPr="000067A2">
        <w:rPr>
          <w:rFonts w:ascii="Garamond" w:hAnsi="Garamond"/>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1C00"/>
    <w:multiLevelType w:val="hybridMultilevel"/>
    <w:tmpl w:val="75A2618E"/>
    <w:lvl w:ilvl="0" w:tplc="181AF3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E47049"/>
    <w:multiLevelType w:val="hybridMultilevel"/>
    <w:tmpl w:val="951CF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6A0D6E"/>
    <w:multiLevelType w:val="hybridMultilevel"/>
    <w:tmpl w:val="E66EAF3C"/>
    <w:lvl w:ilvl="0" w:tplc="44108090">
      <w:start w:val="1"/>
      <w:numFmt w:val="decimal"/>
      <w:lvlText w:val="%1."/>
      <w:lvlJc w:val="left"/>
      <w:pPr>
        <w:ind w:left="720" w:hanging="360"/>
      </w:pPr>
      <w:rPr>
        <w:rFonts w:ascii="Garamond" w:eastAsiaTheme="minorHAnsi" w:hAnsi="Garamond"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243"/>
    <w:rsid w:val="000067A2"/>
    <w:rsid w:val="00012573"/>
    <w:rsid w:val="00014BCB"/>
    <w:rsid w:val="00022006"/>
    <w:rsid w:val="00026126"/>
    <w:rsid w:val="000276CA"/>
    <w:rsid w:val="00027DB8"/>
    <w:rsid w:val="000355A1"/>
    <w:rsid w:val="00042AD4"/>
    <w:rsid w:val="00052C0C"/>
    <w:rsid w:val="000556E0"/>
    <w:rsid w:val="00075B6D"/>
    <w:rsid w:val="0008189E"/>
    <w:rsid w:val="000841CF"/>
    <w:rsid w:val="00084642"/>
    <w:rsid w:val="00085C26"/>
    <w:rsid w:val="000954A5"/>
    <w:rsid w:val="00095AB3"/>
    <w:rsid w:val="000B4C46"/>
    <w:rsid w:val="000C0BE4"/>
    <w:rsid w:val="000D313C"/>
    <w:rsid w:val="000D372B"/>
    <w:rsid w:val="00100852"/>
    <w:rsid w:val="00101F78"/>
    <w:rsid w:val="001020D4"/>
    <w:rsid w:val="00102A9F"/>
    <w:rsid w:val="0012372F"/>
    <w:rsid w:val="001249AF"/>
    <w:rsid w:val="00144D6C"/>
    <w:rsid w:val="00145FC7"/>
    <w:rsid w:val="00147375"/>
    <w:rsid w:val="001565ED"/>
    <w:rsid w:val="00162811"/>
    <w:rsid w:val="00163DA2"/>
    <w:rsid w:val="00167C6B"/>
    <w:rsid w:val="00171C12"/>
    <w:rsid w:val="001778C4"/>
    <w:rsid w:val="001809D5"/>
    <w:rsid w:val="00184FF8"/>
    <w:rsid w:val="001A3CB3"/>
    <w:rsid w:val="001A5D02"/>
    <w:rsid w:val="001B031B"/>
    <w:rsid w:val="001B237C"/>
    <w:rsid w:val="001B43FF"/>
    <w:rsid w:val="001C2217"/>
    <w:rsid w:val="001C7F59"/>
    <w:rsid w:val="001D0ADD"/>
    <w:rsid w:val="001D51EA"/>
    <w:rsid w:val="001F1364"/>
    <w:rsid w:val="001F60C6"/>
    <w:rsid w:val="001F68C0"/>
    <w:rsid w:val="002055A9"/>
    <w:rsid w:val="002133CF"/>
    <w:rsid w:val="002135F2"/>
    <w:rsid w:val="00221674"/>
    <w:rsid w:val="002247FB"/>
    <w:rsid w:val="00231541"/>
    <w:rsid w:val="00232C21"/>
    <w:rsid w:val="00236C63"/>
    <w:rsid w:val="0024592B"/>
    <w:rsid w:val="00254FAC"/>
    <w:rsid w:val="00262732"/>
    <w:rsid w:val="00265635"/>
    <w:rsid w:val="00266D93"/>
    <w:rsid w:val="00273AE1"/>
    <w:rsid w:val="00282F84"/>
    <w:rsid w:val="002A0515"/>
    <w:rsid w:val="002A2A73"/>
    <w:rsid w:val="002B2C79"/>
    <w:rsid w:val="002B57EB"/>
    <w:rsid w:val="002B676E"/>
    <w:rsid w:val="002C2B22"/>
    <w:rsid w:val="002C4599"/>
    <w:rsid w:val="002C4C88"/>
    <w:rsid w:val="002C4D20"/>
    <w:rsid w:val="002D7513"/>
    <w:rsid w:val="002E105E"/>
    <w:rsid w:val="002E7729"/>
    <w:rsid w:val="002F2350"/>
    <w:rsid w:val="002F5FE3"/>
    <w:rsid w:val="002F6549"/>
    <w:rsid w:val="00301404"/>
    <w:rsid w:val="00306BBD"/>
    <w:rsid w:val="003076E8"/>
    <w:rsid w:val="0031320A"/>
    <w:rsid w:val="00316A3B"/>
    <w:rsid w:val="00316F67"/>
    <w:rsid w:val="0032098A"/>
    <w:rsid w:val="00327EE3"/>
    <w:rsid w:val="00330D2A"/>
    <w:rsid w:val="00334ECD"/>
    <w:rsid w:val="00362E59"/>
    <w:rsid w:val="00367A9D"/>
    <w:rsid w:val="00372D83"/>
    <w:rsid w:val="00373AAF"/>
    <w:rsid w:val="003840A5"/>
    <w:rsid w:val="0038487F"/>
    <w:rsid w:val="00386AB1"/>
    <w:rsid w:val="00394ED5"/>
    <w:rsid w:val="003A099B"/>
    <w:rsid w:val="003A4252"/>
    <w:rsid w:val="003B7680"/>
    <w:rsid w:val="003C587A"/>
    <w:rsid w:val="003D7214"/>
    <w:rsid w:val="003E24F3"/>
    <w:rsid w:val="003E43A6"/>
    <w:rsid w:val="003E4D96"/>
    <w:rsid w:val="003E5BD7"/>
    <w:rsid w:val="003E6ADB"/>
    <w:rsid w:val="003E6CAE"/>
    <w:rsid w:val="003F15D7"/>
    <w:rsid w:val="003F1AE9"/>
    <w:rsid w:val="003F2199"/>
    <w:rsid w:val="00404417"/>
    <w:rsid w:val="004052DA"/>
    <w:rsid w:val="004058A8"/>
    <w:rsid w:val="004079D3"/>
    <w:rsid w:val="0041277A"/>
    <w:rsid w:val="00412847"/>
    <w:rsid w:val="00412D22"/>
    <w:rsid w:val="004214D4"/>
    <w:rsid w:val="00425D65"/>
    <w:rsid w:val="00435E62"/>
    <w:rsid w:val="00442FC3"/>
    <w:rsid w:val="00443A23"/>
    <w:rsid w:val="0044692D"/>
    <w:rsid w:val="0044757A"/>
    <w:rsid w:val="00464888"/>
    <w:rsid w:val="00471B1B"/>
    <w:rsid w:val="0048175F"/>
    <w:rsid w:val="00484C56"/>
    <w:rsid w:val="00485575"/>
    <w:rsid w:val="0048786C"/>
    <w:rsid w:val="004A0259"/>
    <w:rsid w:val="004A14AE"/>
    <w:rsid w:val="004B5F69"/>
    <w:rsid w:val="004C1D5A"/>
    <w:rsid w:val="004C7EE2"/>
    <w:rsid w:val="004D7974"/>
    <w:rsid w:val="004E14F9"/>
    <w:rsid w:val="004F2A42"/>
    <w:rsid w:val="00500878"/>
    <w:rsid w:val="00504B63"/>
    <w:rsid w:val="0051141E"/>
    <w:rsid w:val="00514BE9"/>
    <w:rsid w:val="0051693F"/>
    <w:rsid w:val="005308F2"/>
    <w:rsid w:val="00530BD9"/>
    <w:rsid w:val="00530F38"/>
    <w:rsid w:val="00532C2A"/>
    <w:rsid w:val="00534BEF"/>
    <w:rsid w:val="005375AD"/>
    <w:rsid w:val="0054184E"/>
    <w:rsid w:val="0054338D"/>
    <w:rsid w:val="00562108"/>
    <w:rsid w:val="00564CB4"/>
    <w:rsid w:val="00566858"/>
    <w:rsid w:val="00570B33"/>
    <w:rsid w:val="005756E4"/>
    <w:rsid w:val="00581CB1"/>
    <w:rsid w:val="00591E65"/>
    <w:rsid w:val="00592C2D"/>
    <w:rsid w:val="005962CD"/>
    <w:rsid w:val="00596F91"/>
    <w:rsid w:val="0059715F"/>
    <w:rsid w:val="005A6E80"/>
    <w:rsid w:val="005B1FF4"/>
    <w:rsid w:val="005B6C90"/>
    <w:rsid w:val="005C2C7B"/>
    <w:rsid w:val="005C558B"/>
    <w:rsid w:val="005C5C27"/>
    <w:rsid w:val="005D4F7B"/>
    <w:rsid w:val="005D6054"/>
    <w:rsid w:val="005E1A82"/>
    <w:rsid w:val="005E550C"/>
    <w:rsid w:val="005E5A53"/>
    <w:rsid w:val="005E667A"/>
    <w:rsid w:val="005E6D48"/>
    <w:rsid w:val="005E7E8B"/>
    <w:rsid w:val="005F3FA2"/>
    <w:rsid w:val="006025D1"/>
    <w:rsid w:val="00610E63"/>
    <w:rsid w:val="00613279"/>
    <w:rsid w:val="00613C20"/>
    <w:rsid w:val="00624424"/>
    <w:rsid w:val="006257D3"/>
    <w:rsid w:val="006264E6"/>
    <w:rsid w:val="00626D66"/>
    <w:rsid w:val="006359E1"/>
    <w:rsid w:val="006374BB"/>
    <w:rsid w:val="00640E66"/>
    <w:rsid w:val="006509C9"/>
    <w:rsid w:val="00651368"/>
    <w:rsid w:val="006528EA"/>
    <w:rsid w:val="0065325F"/>
    <w:rsid w:val="006549FD"/>
    <w:rsid w:val="00661967"/>
    <w:rsid w:val="00665F51"/>
    <w:rsid w:val="00675ADF"/>
    <w:rsid w:val="00677B12"/>
    <w:rsid w:val="00683321"/>
    <w:rsid w:val="0069071D"/>
    <w:rsid w:val="00696400"/>
    <w:rsid w:val="00696C70"/>
    <w:rsid w:val="00697608"/>
    <w:rsid w:val="006A094A"/>
    <w:rsid w:val="006A3FCD"/>
    <w:rsid w:val="006A5597"/>
    <w:rsid w:val="006B21AC"/>
    <w:rsid w:val="006B482A"/>
    <w:rsid w:val="006B5CE0"/>
    <w:rsid w:val="006B79C8"/>
    <w:rsid w:val="006C3571"/>
    <w:rsid w:val="006C7539"/>
    <w:rsid w:val="006D3556"/>
    <w:rsid w:val="006D6A13"/>
    <w:rsid w:val="006E5D18"/>
    <w:rsid w:val="00710431"/>
    <w:rsid w:val="00710B93"/>
    <w:rsid w:val="007141C9"/>
    <w:rsid w:val="00721DA9"/>
    <w:rsid w:val="00726238"/>
    <w:rsid w:val="00727B9A"/>
    <w:rsid w:val="007304CD"/>
    <w:rsid w:val="00736D96"/>
    <w:rsid w:val="00740E46"/>
    <w:rsid w:val="00744543"/>
    <w:rsid w:val="007471EF"/>
    <w:rsid w:val="007557B0"/>
    <w:rsid w:val="00760689"/>
    <w:rsid w:val="0076380F"/>
    <w:rsid w:val="00764C7C"/>
    <w:rsid w:val="00771A17"/>
    <w:rsid w:val="00773ADA"/>
    <w:rsid w:val="00786BC7"/>
    <w:rsid w:val="007B7914"/>
    <w:rsid w:val="007E19E7"/>
    <w:rsid w:val="007F07A0"/>
    <w:rsid w:val="0080118D"/>
    <w:rsid w:val="008049A8"/>
    <w:rsid w:val="00815E57"/>
    <w:rsid w:val="0083759A"/>
    <w:rsid w:val="008422C2"/>
    <w:rsid w:val="00846A6F"/>
    <w:rsid w:val="00877B09"/>
    <w:rsid w:val="00881BF0"/>
    <w:rsid w:val="00883F8E"/>
    <w:rsid w:val="008A42FB"/>
    <w:rsid w:val="008A67A4"/>
    <w:rsid w:val="008A73F8"/>
    <w:rsid w:val="008B465D"/>
    <w:rsid w:val="008B4D3A"/>
    <w:rsid w:val="008B7E01"/>
    <w:rsid w:val="008C0355"/>
    <w:rsid w:val="008C7065"/>
    <w:rsid w:val="008D737C"/>
    <w:rsid w:val="008E5037"/>
    <w:rsid w:val="008E72A4"/>
    <w:rsid w:val="008F26F6"/>
    <w:rsid w:val="008F5D2F"/>
    <w:rsid w:val="00901877"/>
    <w:rsid w:val="0090313A"/>
    <w:rsid w:val="00905B48"/>
    <w:rsid w:val="00912B61"/>
    <w:rsid w:val="00921ABB"/>
    <w:rsid w:val="0093375A"/>
    <w:rsid w:val="00935B59"/>
    <w:rsid w:val="00937611"/>
    <w:rsid w:val="0094109A"/>
    <w:rsid w:val="0095511C"/>
    <w:rsid w:val="00956F35"/>
    <w:rsid w:val="00963BBF"/>
    <w:rsid w:val="00984DF7"/>
    <w:rsid w:val="0098652C"/>
    <w:rsid w:val="009925C1"/>
    <w:rsid w:val="009A55D9"/>
    <w:rsid w:val="009A7191"/>
    <w:rsid w:val="009B0DED"/>
    <w:rsid w:val="009B34A5"/>
    <w:rsid w:val="009B7832"/>
    <w:rsid w:val="009C07CF"/>
    <w:rsid w:val="009C24C2"/>
    <w:rsid w:val="009E16C4"/>
    <w:rsid w:val="009E494E"/>
    <w:rsid w:val="009E4E69"/>
    <w:rsid w:val="009F51FC"/>
    <w:rsid w:val="00A01768"/>
    <w:rsid w:val="00A04C0D"/>
    <w:rsid w:val="00A13521"/>
    <w:rsid w:val="00A15838"/>
    <w:rsid w:val="00A2420B"/>
    <w:rsid w:val="00A2617A"/>
    <w:rsid w:val="00A31991"/>
    <w:rsid w:val="00A35925"/>
    <w:rsid w:val="00A37774"/>
    <w:rsid w:val="00A40E80"/>
    <w:rsid w:val="00A42373"/>
    <w:rsid w:val="00A42817"/>
    <w:rsid w:val="00A47212"/>
    <w:rsid w:val="00A518EA"/>
    <w:rsid w:val="00A575C7"/>
    <w:rsid w:val="00A7212D"/>
    <w:rsid w:val="00A7339D"/>
    <w:rsid w:val="00A74B0C"/>
    <w:rsid w:val="00A755EA"/>
    <w:rsid w:val="00A81CE3"/>
    <w:rsid w:val="00A83BE9"/>
    <w:rsid w:val="00A859D1"/>
    <w:rsid w:val="00A87037"/>
    <w:rsid w:val="00A902A6"/>
    <w:rsid w:val="00A90FF4"/>
    <w:rsid w:val="00A9219B"/>
    <w:rsid w:val="00A92BD7"/>
    <w:rsid w:val="00A9398A"/>
    <w:rsid w:val="00A96C7B"/>
    <w:rsid w:val="00AA54CB"/>
    <w:rsid w:val="00AB4C2A"/>
    <w:rsid w:val="00AC3600"/>
    <w:rsid w:val="00AE47F5"/>
    <w:rsid w:val="00AF261C"/>
    <w:rsid w:val="00AF7969"/>
    <w:rsid w:val="00B0352F"/>
    <w:rsid w:val="00B1061F"/>
    <w:rsid w:val="00B13294"/>
    <w:rsid w:val="00B134FF"/>
    <w:rsid w:val="00B335AD"/>
    <w:rsid w:val="00B34925"/>
    <w:rsid w:val="00B40FF9"/>
    <w:rsid w:val="00B4357C"/>
    <w:rsid w:val="00B5728E"/>
    <w:rsid w:val="00B638A4"/>
    <w:rsid w:val="00B733B8"/>
    <w:rsid w:val="00B75EC4"/>
    <w:rsid w:val="00B822CE"/>
    <w:rsid w:val="00B86C47"/>
    <w:rsid w:val="00B90A4B"/>
    <w:rsid w:val="00B928B6"/>
    <w:rsid w:val="00B92A0E"/>
    <w:rsid w:val="00BB0050"/>
    <w:rsid w:val="00BC21FF"/>
    <w:rsid w:val="00BC2D30"/>
    <w:rsid w:val="00BC2EF2"/>
    <w:rsid w:val="00BD3BDA"/>
    <w:rsid w:val="00BE32D3"/>
    <w:rsid w:val="00BE66BC"/>
    <w:rsid w:val="00C015DF"/>
    <w:rsid w:val="00C02784"/>
    <w:rsid w:val="00C044AB"/>
    <w:rsid w:val="00C11419"/>
    <w:rsid w:val="00C1262A"/>
    <w:rsid w:val="00C13F51"/>
    <w:rsid w:val="00C14742"/>
    <w:rsid w:val="00C17B79"/>
    <w:rsid w:val="00C301FF"/>
    <w:rsid w:val="00C3065A"/>
    <w:rsid w:val="00C3372A"/>
    <w:rsid w:val="00C374E8"/>
    <w:rsid w:val="00C428DF"/>
    <w:rsid w:val="00C43EFB"/>
    <w:rsid w:val="00C4444F"/>
    <w:rsid w:val="00C64962"/>
    <w:rsid w:val="00C74B31"/>
    <w:rsid w:val="00C76E94"/>
    <w:rsid w:val="00C8186B"/>
    <w:rsid w:val="00C91B23"/>
    <w:rsid w:val="00CA5F73"/>
    <w:rsid w:val="00CC3E3F"/>
    <w:rsid w:val="00CD49BD"/>
    <w:rsid w:val="00CE01B5"/>
    <w:rsid w:val="00CE1860"/>
    <w:rsid w:val="00CE2C49"/>
    <w:rsid w:val="00CE5968"/>
    <w:rsid w:val="00CF244B"/>
    <w:rsid w:val="00CF54C3"/>
    <w:rsid w:val="00D046A6"/>
    <w:rsid w:val="00D239C0"/>
    <w:rsid w:val="00D26134"/>
    <w:rsid w:val="00D272B6"/>
    <w:rsid w:val="00D401C6"/>
    <w:rsid w:val="00D57CCE"/>
    <w:rsid w:val="00D6163C"/>
    <w:rsid w:val="00D62D51"/>
    <w:rsid w:val="00D807C8"/>
    <w:rsid w:val="00D8518D"/>
    <w:rsid w:val="00D912BA"/>
    <w:rsid w:val="00DA058D"/>
    <w:rsid w:val="00DA32C8"/>
    <w:rsid w:val="00DA704D"/>
    <w:rsid w:val="00DA7827"/>
    <w:rsid w:val="00DB1971"/>
    <w:rsid w:val="00DB5474"/>
    <w:rsid w:val="00DC3E36"/>
    <w:rsid w:val="00DC795F"/>
    <w:rsid w:val="00DD49DB"/>
    <w:rsid w:val="00DD77F3"/>
    <w:rsid w:val="00DE2298"/>
    <w:rsid w:val="00DE2B9E"/>
    <w:rsid w:val="00DE3FDF"/>
    <w:rsid w:val="00DE4CFB"/>
    <w:rsid w:val="00DE51C7"/>
    <w:rsid w:val="00DF4821"/>
    <w:rsid w:val="00DF4FE0"/>
    <w:rsid w:val="00E01B14"/>
    <w:rsid w:val="00E13AF8"/>
    <w:rsid w:val="00E204EE"/>
    <w:rsid w:val="00E328D2"/>
    <w:rsid w:val="00E33CEF"/>
    <w:rsid w:val="00E4149E"/>
    <w:rsid w:val="00E4180D"/>
    <w:rsid w:val="00E41E81"/>
    <w:rsid w:val="00E52F43"/>
    <w:rsid w:val="00E5507E"/>
    <w:rsid w:val="00E61830"/>
    <w:rsid w:val="00E71374"/>
    <w:rsid w:val="00E806FF"/>
    <w:rsid w:val="00E8097E"/>
    <w:rsid w:val="00E93503"/>
    <w:rsid w:val="00E95297"/>
    <w:rsid w:val="00EA0FE7"/>
    <w:rsid w:val="00EA793C"/>
    <w:rsid w:val="00EB099F"/>
    <w:rsid w:val="00ED041D"/>
    <w:rsid w:val="00ED271B"/>
    <w:rsid w:val="00ED579F"/>
    <w:rsid w:val="00EF2CA1"/>
    <w:rsid w:val="00F06C34"/>
    <w:rsid w:val="00F07050"/>
    <w:rsid w:val="00F12EE9"/>
    <w:rsid w:val="00F172EF"/>
    <w:rsid w:val="00F2119B"/>
    <w:rsid w:val="00F21DB3"/>
    <w:rsid w:val="00F22DD8"/>
    <w:rsid w:val="00F24224"/>
    <w:rsid w:val="00F258CF"/>
    <w:rsid w:val="00F33604"/>
    <w:rsid w:val="00F41039"/>
    <w:rsid w:val="00F479F4"/>
    <w:rsid w:val="00F554B4"/>
    <w:rsid w:val="00F5606E"/>
    <w:rsid w:val="00F65CE7"/>
    <w:rsid w:val="00F87E35"/>
    <w:rsid w:val="00F90F72"/>
    <w:rsid w:val="00F94E97"/>
    <w:rsid w:val="00F958F1"/>
    <w:rsid w:val="00FA0773"/>
    <w:rsid w:val="00FA16A6"/>
    <w:rsid w:val="00FA35CD"/>
    <w:rsid w:val="00FA38DB"/>
    <w:rsid w:val="00FA449A"/>
    <w:rsid w:val="00FA44E3"/>
    <w:rsid w:val="00FA481E"/>
    <w:rsid w:val="00FA5FCA"/>
    <w:rsid w:val="00FA727B"/>
    <w:rsid w:val="00FB0552"/>
    <w:rsid w:val="00FB27E4"/>
    <w:rsid w:val="00FC75B4"/>
    <w:rsid w:val="00FC7DDA"/>
    <w:rsid w:val="00FD6E1A"/>
    <w:rsid w:val="00FE2C1D"/>
    <w:rsid w:val="00FE3389"/>
    <w:rsid w:val="00FE4083"/>
    <w:rsid w:val="00FE59D0"/>
    <w:rsid w:val="00FE7243"/>
    <w:rsid w:val="00FF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243"/>
    <w:pPr>
      <w:ind w:left="720"/>
      <w:contextualSpacing/>
    </w:pPr>
  </w:style>
  <w:style w:type="character" w:styleId="Hyperlink">
    <w:name w:val="Hyperlink"/>
    <w:basedOn w:val="DefaultParagraphFont"/>
    <w:uiPriority w:val="99"/>
    <w:unhideWhenUsed/>
    <w:rsid w:val="00236C63"/>
    <w:rPr>
      <w:color w:val="0000FF" w:themeColor="hyperlink"/>
      <w:u w:val="single"/>
    </w:rPr>
  </w:style>
  <w:style w:type="paragraph" w:styleId="FootnoteText">
    <w:name w:val="footnote text"/>
    <w:basedOn w:val="Normal"/>
    <w:link w:val="FootnoteTextChar"/>
    <w:uiPriority w:val="99"/>
    <w:semiHidden/>
    <w:unhideWhenUsed/>
    <w:rsid w:val="00FA449A"/>
    <w:pPr>
      <w:spacing w:after="0" w:line="240" w:lineRule="auto"/>
    </w:pPr>
    <w:rPr>
      <w:sz w:val="20"/>
    </w:rPr>
  </w:style>
  <w:style w:type="character" w:customStyle="1" w:styleId="FootnoteTextChar">
    <w:name w:val="Footnote Text Char"/>
    <w:basedOn w:val="DefaultParagraphFont"/>
    <w:link w:val="FootnoteText"/>
    <w:uiPriority w:val="99"/>
    <w:semiHidden/>
    <w:rsid w:val="00FA449A"/>
    <w:rPr>
      <w:sz w:val="20"/>
      <w:lang w:val="en-ID"/>
    </w:rPr>
  </w:style>
  <w:style w:type="character" w:styleId="FootnoteReference">
    <w:name w:val="footnote reference"/>
    <w:basedOn w:val="DefaultParagraphFont"/>
    <w:uiPriority w:val="99"/>
    <w:semiHidden/>
    <w:unhideWhenUsed/>
    <w:rsid w:val="00FA449A"/>
    <w:rPr>
      <w:vertAlign w:val="superscript"/>
    </w:rPr>
  </w:style>
  <w:style w:type="paragraph" w:styleId="Header">
    <w:name w:val="header"/>
    <w:basedOn w:val="Normal"/>
    <w:link w:val="HeaderChar"/>
    <w:uiPriority w:val="99"/>
    <w:unhideWhenUsed/>
    <w:rsid w:val="00E93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503"/>
    <w:rPr>
      <w:lang w:val="en-ID"/>
    </w:rPr>
  </w:style>
  <w:style w:type="paragraph" w:styleId="Footer">
    <w:name w:val="footer"/>
    <w:basedOn w:val="Normal"/>
    <w:link w:val="FooterChar"/>
    <w:uiPriority w:val="99"/>
    <w:unhideWhenUsed/>
    <w:rsid w:val="00E93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503"/>
    <w:rPr>
      <w:lang w:val="en-ID"/>
    </w:rPr>
  </w:style>
  <w:style w:type="paragraph" w:styleId="BalloonText">
    <w:name w:val="Balloon Text"/>
    <w:basedOn w:val="Normal"/>
    <w:link w:val="BalloonTextChar"/>
    <w:uiPriority w:val="99"/>
    <w:semiHidden/>
    <w:unhideWhenUsed/>
    <w:rsid w:val="00BB0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050"/>
    <w:rPr>
      <w:rFonts w:ascii="Tahoma" w:hAnsi="Tahoma" w:cs="Tahoma"/>
      <w:sz w:val="16"/>
      <w:szCs w:val="16"/>
      <w:lang w:val="en-ID"/>
    </w:rPr>
  </w:style>
  <w:style w:type="table" w:styleId="TableGrid">
    <w:name w:val="Table Grid"/>
    <w:basedOn w:val="TableNormal"/>
    <w:uiPriority w:val="59"/>
    <w:rsid w:val="00262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076E8"/>
    <w:pPr>
      <w:spacing w:after="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243"/>
    <w:pPr>
      <w:ind w:left="720"/>
      <w:contextualSpacing/>
    </w:pPr>
  </w:style>
  <w:style w:type="character" w:styleId="Hyperlink">
    <w:name w:val="Hyperlink"/>
    <w:basedOn w:val="DefaultParagraphFont"/>
    <w:uiPriority w:val="99"/>
    <w:unhideWhenUsed/>
    <w:rsid w:val="00236C63"/>
    <w:rPr>
      <w:color w:val="0000FF" w:themeColor="hyperlink"/>
      <w:u w:val="single"/>
    </w:rPr>
  </w:style>
  <w:style w:type="paragraph" w:styleId="FootnoteText">
    <w:name w:val="footnote text"/>
    <w:basedOn w:val="Normal"/>
    <w:link w:val="FootnoteTextChar"/>
    <w:uiPriority w:val="99"/>
    <w:semiHidden/>
    <w:unhideWhenUsed/>
    <w:rsid w:val="00FA449A"/>
    <w:pPr>
      <w:spacing w:after="0" w:line="240" w:lineRule="auto"/>
    </w:pPr>
    <w:rPr>
      <w:sz w:val="20"/>
    </w:rPr>
  </w:style>
  <w:style w:type="character" w:customStyle="1" w:styleId="FootnoteTextChar">
    <w:name w:val="Footnote Text Char"/>
    <w:basedOn w:val="DefaultParagraphFont"/>
    <w:link w:val="FootnoteText"/>
    <w:uiPriority w:val="99"/>
    <w:semiHidden/>
    <w:rsid w:val="00FA449A"/>
    <w:rPr>
      <w:sz w:val="20"/>
      <w:lang w:val="en-ID"/>
    </w:rPr>
  </w:style>
  <w:style w:type="character" w:styleId="FootnoteReference">
    <w:name w:val="footnote reference"/>
    <w:basedOn w:val="DefaultParagraphFont"/>
    <w:uiPriority w:val="99"/>
    <w:semiHidden/>
    <w:unhideWhenUsed/>
    <w:rsid w:val="00FA449A"/>
    <w:rPr>
      <w:vertAlign w:val="superscript"/>
    </w:rPr>
  </w:style>
  <w:style w:type="paragraph" w:styleId="Header">
    <w:name w:val="header"/>
    <w:basedOn w:val="Normal"/>
    <w:link w:val="HeaderChar"/>
    <w:uiPriority w:val="99"/>
    <w:unhideWhenUsed/>
    <w:rsid w:val="00E93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503"/>
    <w:rPr>
      <w:lang w:val="en-ID"/>
    </w:rPr>
  </w:style>
  <w:style w:type="paragraph" w:styleId="Footer">
    <w:name w:val="footer"/>
    <w:basedOn w:val="Normal"/>
    <w:link w:val="FooterChar"/>
    <w:uiPriority w:val="99"/>
    <w:unhideWhenUsed/>
    <w:rsid w:val="00E93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503"/>
    <w:rPr>
      <w:lang w:val="en-ID"/>
    </w:rPr>
  </w:style>
  <w:style w:type="paragraph" w:styleId="BalloonText">
    <w:name w:val="Balloon Text"/>
    <w:basedOn w:val="Normal"/>
    <w:link w:val="BalloonTextChar"/>
    <w:uiPriority w:val="99"/>
    <w:semiHidden/>
    <w:unhideWhenUsed/>
    <w:rsid w:val="00BB0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050"/>
    <w:rPr>
      <w:rFonts w:ascii="Tahoma" w:hAnsi="Tahoma" w:cs="Tahoma"/>
      <w:sz w:val="16"/>
      <w:szCs w:val="16"/>
      <w:lang w:val="en-ID"/>
    </w:rPr>
  </w:style>
  <w:style w:type="table" w:styleId="TableGrid">
    <w:name w:val="Table Grid"/>
    <w:basedOn w:val="TableNormal"/>
    <w:uiPriority w:val="59"/>
    <w:rsid w:val="00262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076E8"/>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4515</TotalTime>
  <Pages>14</Pages>
  <Words>4474</Words>
  <Characters>25504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Aseng Samongilailai</dc:creator>
  <cp:lastModifiedBy>Aseng Samongilailai</cp:lastModifiedBy>
  <cp:revision>467</cp:revision>
  <dcterms:created xsi:type="dcterms:W3CDTF">2021-03-13T08:12:00Z</dcterms:created>
  <dcterms:modified xsi:type="dcterms:W3CDTF">2021-04-14T07:48:00Z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id="7NNI1fRL"/&gt;&lt;style id="http://www.zotero.org/styles/chicago-fullnote-bibliography" locale="en-GB"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