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61D" w:rsidRDefault="00BC561D" w:rsidP="00BC561D">
      <w:pPr>
        <w:spacing w:after="0" w:line="240" w:lineRule="auto"/>
        <w:jc w:val="center"/>
        <w:rPr>
          <w:rFonts w:ascii="Palatino Linotype" w:eastAsia="Palatino Linotype" w:hAnsi="Palatino Linotype" w:cs="Palatino Linotype"/>
          <w:i/>
          <w:sz w:val="22"/>
        </w:rPr>
      </w:pPr>
      <w:r w:rsidRPr="00F74954">
        <w:rPr>
          <w:sz w:val="22"/>
          <w:szCs w:val="20"/>
        </w:rPr>
        <w:t xml:space="preserve">Jurnal Moderasi: the Journal of Ushuluddin and Islamic Thought, and Muslim </w:t>
      </w:r>
      <w:r>
        <w:t>Societies</w:t>
      </w:r>
      <w:r>
        <w:rPr>
          <w:rFonts w:ascii="Palatino Linotype" w:eastAsia="Palatino Linotype" w:hAnsi="Palatino Linotype" w:cs="Palatino Linotype"/>
          <w:i/>
          <w:sz w:val="22"/>
        </w:rPr>
        <w:t xml:space="preserve">. </w:t>
      </w:r>
      <w:r w:rsidRPr="00F74954">
        <w:rPr>
          <w:rFonts w:ascii="Palatino Linotype" w:eastAsia="Palatino Linotype" w:hAnsi="Palatino Linotype" w:cs="Palatino Linotype"/>
          <w:i/>
          <w:sz w:val="20"/>
          <w:szCs w:val="20"/>
        </w:rPr>
        <w:t>ISSN: 2808</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 xml:space="preserve">2376 </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p</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 2809</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 xml:space="preserve">221x </w:t>
      </w:r>
      <w:r w:rsidRPr="00F74954">
        <w:rPr>
          <w:rFonts w:ascii="Verdana" w:eastAsia="Verdana" w:hAnsi="Verdana" w:cs="Verdana"/>
          <w:i/>
          <w:sz w:val="20"/>
          <w:szCs w:val="20"/>
        </w:rPr>
        <w:t>(</w:t>
      </w:r>
      <w:r w:rsidRPr="00F74954">
        <w:rPr>
          <w:rFonts w:ascii="Palatino Linotype" w:eastAsia="Palatino Linotype" w:hAnsi="Palatino Linotype" w:cs="Palatino Linotype"/>
          <w:i/>
          <w:sz w:val="20"/>
          <w:szCs w:val="20"/>
        </w:rPr>
        <w:t>e</w:t>
      </w:r>
      <w:r w:rsidRPr="00F74954">
        <w:rPr>
          <w:rFonts w:ascii="Verdana" w:eastAsia="Verdana" w:hAnsi="Verdana" w:cs="Verdana"/>
          <w:i/>
          <w:sz w:val="20"/>
          <w:szCs w:val="20"/>
        </w:rPr>
        <w:t>)</w:t>
      </w:r>
      <w:r w:rsidRPr="00F74954">
        <w:rPr>
          <w:sz w:val="22"/>
          <w:szCs w:val="20"/>
        </w:rPr>
        <w:t xml:space="preserve"> </w:t>
      </w:r>
      <w:r>
        <w:rPr>
          <w:rFonts w:ascii="Tahoma" w:eastAsia="Tahoma" w:hAnsi="Tahoma" w:cs="Tahoma"/>
          <w:sz w:val="16"/>
          <w:szCs w:val="20"/>
        </w:rPr>
        <w:t>Vol. 3. No. 1, Januari-Juni</w:t>
      </w:r>
      <w:r w:rsidRPr="00F74954">
        <w:rPr>
          <w:rFonts w:ascii="Tahoma" w:eastAsia="Tahoma" w:hAnsi="Tahoma" w:cs="Tahoma"/>
          <w:sz w:val="16"/>
          <w:szCs w:val="20"/>
        </w:rPr>
        <w:t xml:space="preserve"> 2022</w:t>
      </w:r>
    </w:p>
    <w:p w:rsidR="00BC561D" w:rsidRPr="00DC4099" w:rsidRDefault="0075012C" w:rsidP="00BC561D">
      <w:pPr>
        <w:spacing w:after="0" w:line="240" w:lineRule="auto"/>
        <w:jc w:val="center"/>
        <w:rPr>
          <w:rFonts w:ascii="Palatino Linotype" w:eastAsia="Palatino Linotype" w:hAnsi="Palatino Linotype" w:cs="Palatino Linotype"/>
          <w:i/>
          <w:sz w:val="22"/>
        </w:rPr>
      </w:pPr>
      <w:hyperlink r:id="rId8">
        <w:r w:rsidR="00BC561D" w:rsidRPr="00F74954">
          <w:rPr>
            <w:rFonts w:ascii="Tahoma" w:eastAsia="Tahoma" w:hAnsi="Tahoma" w:cs="Tahoma"/>
            <w:sz w:val="16"/>
            <w:szCs w:val="20"/>
            <w:u w:val="single" w:color="000000"/>
          </w:rPr>
          <w:t>http://ejournal.uin</w:t>
        </w:r>
      </w:hyperlink>
      <w:hyperlink r:id="rId9">
        <w:r w:rsidR="00BC561D" w:rsidRPr="00F74954">
          <w:rPr>
            <w:rFonts w:ascii="Tahoma" w:eastAsia="Tahoma" w:hAnsi="Tahoma" w:cs="Tahoma"/>
            <w:sz w:val="16"/>
            <w:szCs w:val="20"/>
            <w:u w:val="single" w:color="000000"/>
          </w:rPr>
          <w:t>-</w:t>
        </w:r>
      </w:hyperlink>
      <w:r w:rsidR="00BC561D" w:rsidRPr="00F74954">
        <w:rPr>
          <w:rFonts w:ascii="Tahoma" w:eastAsia="Tahoma" w:hAnsi="Tahoma" w:cs="Tahoma"/>
          <w:sz w:val="16"/>
          <w:szCs w:val="20"/>
          <w:u w:val="single" w:color="000000"/>
        </w:rPr>
        <w:t>suka.ac.id/ushuluddin/moderasi/index</w:t>
      </w:r>
    </w:p>
    <w:p w:rsidR="00BC561D" w:rsidRDefault="00BC561D" w:rsidP="00BC561D">
      <w:pPr>
        <w:pStyle w:val="judul"/>
      </w:pPr>
    </w:p>
    <w:p w:rsidR="00BC561D" w:rsidRDefault="00BC561D" w:rsidP="00BC561D">
      <w:pPr>
        <w:pStyle w:val="judul"/>
      </w:pPr>
    </w:p>
    <w:p w:rsidR="00BC561D" w:rsidRDefault="00BC561D" w:rsidP="00BC561D">
      <w:pPr>
        <w:pStyle w:val="judul"/>
      </w:pPr>
      <w:bookmarkStart w:id="0" w:name="_GoBack"/>
      <w:bookmarkEnd w:id="0"/>
    </w:p>
    <w:p w:rsidR="00BC561D" w:rsidRDefault="00BC561D" w:rsidP="00BC561D">
      <w:pPr>
        <w:pStyle w:val="judul"/>
      </w:pPr>
    </w:p>
    <w:p w:rsidR="00BC561D" w:rsidRDefault="00BC561D" w:rsidP="00BC561D">
      <w:pPr>
        <w:pStyle w:val="judul"/>
      </w:pPr>
    </w:p>
    <w:p w:rsidR="00BC561D" w:rsidRDefault="00BC561D" w:rsidP="00BC561D">
      <w:pPr>
        <w:pStyle w:val="judul"/>
        <w:sectPr w:rsidR="00BC561D" w:rsidSect="001C1095">
          <w:headerReference w:type="even" r:id="rId10"/>
          <w:headerReference w:type="default" r:id="rId11"/>
          <w:footerReference w:type="even" r:id="rId12"/>
          <w:footerReference w:type="default" r:id="rId13"/>
          <w:pgSz w:w="11906" w:h="16838"/>
          <w:pgMar w:top="2268" w:right="1701" w:bottom="1701" w:left="2268" w:header="709" w:footer="709" w:gutter="0"/>
          <w:pgNumType w:start="18"/>
          <w:cols w:space="708"/>
          <w:titlePg/>
          <w:docGrid w:linePitch="360"/>
        </w:sectPr>
      </w:pPr>
    </w:p>
    <w:p w:rsidR="00BC561D" w:rsidRDefault="00BC561D" w:rsidP="00BC561D">
      <w:pPr>
        <w:pStyle w:val="judul"/>
      </w:pPr>
    </w:p>
    <w:p w:rsidR="00BC561D" w:rsidRDefault="00BC561D" w:rsidP="00BC561D">
      <w:pPr>
        <w:pStyle w:val="judul"/>
      </w:pPr>
    </w:p>
    <w:p w:rsidR="00BC561D" w:rsidRPr="00B70A44" w:rsidRDefault="00BC561D" w:rsidP="00BC561D">
      <w:pPr>
        <w:pStyle w:val="judul"/>
      </w:pPr>
      <w:r w:rsidRPr="00B70A44">
        <w:lastRenderedPageBreak/>
        <w:t>PEMBERDAYAAN PERE</w:t>
      </w:r>
      <w:r>
        <w:t>MPUAN SEBAGAI SOLUSI PENCEGAHAN</w:t>
      </w:r>
      <w:r>
        <w:rPr>
          <w:lang w:val="en-US"/>
        </w:rPr>
        <w:t xml:space="preserve"> </w:t>
      </w:r>
      <w:r w:rsidRPr="00B70A44">
        <w:t>RADIKALISME</w:t>
      </w:r>
    </w:p>
    <w:p w:rsidR="00BC561D" w:rsidRDefault="00BC561D" w:rsidP="00BC561D">
      <w:pPr>
        <w:autoSpaceDE w:val="0"/>
        <w:autoSpaceDN w:val="0"/>
        <w:adjustRightInd w:val="0"/>
        <w:spacing w:after="0"/>
        <w:jc w:val="center"/>
        <w:rPr>
          <w:rFonts w:ascii="Gentium" w:hAnsi="Gentium" w:cs="Times New Roman"/>
          <w:b/>
          <w:szCs w:val="24"/>
        </w:rPr>
        <w:sectPr w:rsidR="00BC561D" w:rsidSect="00E563EC">
          <w:type w:val="continuous"/>
          <w:pgSz w:w="11906" w:h="16838"/>
          <w:pgMar w:top="2268" w:right="1701" w:bottom="1701" w:left="2268" w:header="709" w:footer="709" w:gutter="0"/>
          <w:cols w:num="2" w:space="397" w:equalWidth="0">
            <w:col w:w="2173" w:space="397"/>
            <w:col w:w="5367"/>
          </w:cols>
          <w:docGrid w:linePitch="360"/>
        </w:sectPr>
      </w:pPr>
    </w:p>
    <w:p w:rsidR="00BC561D" w:rsidRDefault="00BC561D" w:rsidP="00BC561D">
      <w:pPr>
        <w:autoSpaceDE w:val="0"/>
        <w:autoSpaceDN w:val="0"/>
        <w:adjustRightInd w:val="0"/>
        <w:spacing w:after="0"/>
        <w:jc w:val="center"/>
        <w:rPr>
          <w:rFonts w:ascii="Gentium" w:hAnsi="Gentium" w:cs="Times New Roman"/>
          <w:b/>
          <w:szCs w:val="24"/>
        </w:rPr>
      </w:pPr>
    </w:p>
    <w:p w:rsidR="00BC561D" w:rsidRDefault="00BC561D" w:rsidP="00BC561D">
      <w:pPr>
        <w:autoSpaceDE w:val="0"/>
        <w:autoSpaceDN w:val="0"/>
        <w:adjustRightInd w:val="0"/>
        <w:spacing w:after="0"/>
        <w:jc w:val="center"/>
        <w:rPr>
          <w:rFonts w:ascii="Gentium" w:hAnsi="Gentium" w:cs="Times New Roman"/>
          <w:b/>
          <w:szCs w:val="24"/>
        </w:rPr>
      </w:pPr>
    </w:p>
    <w:p w:rsidR="00BC561D" w:rsidRDefault="00BC561D" w:rsidP="00BC561D">
      <w:pPr>
        <w:autoSpaceDE w:val="0"/>
        <w:autoSpaceDN w:val="0"/>
        <w:adjustRightInd w:val="0"/>
        <w:spacing w:after="0"/>
        <w:jc w:val="center"/>
        <w:rPr>
          <w:rFonts w:ascii="Gentium" w:hAnsi="Gentium" w:cs="Times New Roman"/>
          <w:b/>
          <w:szCs w:val="24"/>
        </w:rPr>
      </w:pPr>
    </w:p>
    <w:p w:rsidR="00BC561D" w:rsidRPr="00B70A44" w:rsidRDefault="00BC561D" w:rsidP="00BC561D">
      <w:pPr>
        <w:autoSpaceDE w:val="0"/>
        <w:autoSpaceDN w:val="0"/>
        <w:adjustRightInd w:val="0"/>
        <w:spacing w:after="0"/>
        <w:jc w:val="center"/>
        <w:rPr>
          <w:rFonts w:ascii="Gentium" w:hAnsi="Gentium" w:cs="Times New Roman"/>
          <w:b/>
          <w:szCs w:val="24"/>
        </w:rPr>
      </w:pPr>
    </w:p>
    <w:p w:rsidR="00BC561D" w:rsidRDefault="00BC561D" w:rsidP="00BC561D">
      <w:pPr>
        <w:pStyle w:val="abstrak"/>
        <w:rPr>
          <w:shd w:val="clear" w:color="auto" w:fill="FFFFFF"/>
        </w:rPr>
        <w:sectPr w:rsidR="00BC561D" w:rsidSect="00E563EC">
          <w:type w:val="continuous"/>
          <w:pgSz w:w="11906" w:h="16838"/>
          <w:pgMar w:top="2268" w:right="1701" w:bottom="1701" w:left="2268" w:header="709" w:footer="709" w:gutter="0"/>
          <w:cols w:space="708"/>
          <w:docGrid w:linePitch="360"/>
        </w:sectPr>
      </w:pPr>
    </w:p>
    <w:p w:rsidR="00BC561D" w:rsidRPr="0017019E" w:rsidRDefault="00BC561D" w:rsidP="00055C3E">
      <w:pPr>
        <w:pStyle w:val="abstrak"/>
        <w:jc w:val="right"/>
        <w:rPr>
          <w:sz w:val="22"/>
          <w:szCs w:val="22"/>
          <w:shd w:val="clear" w:color="auto" w:fill="FFFFFF"/>
        </w:rPr>
      </w:pPr>
      <w:proofErr w:type="spellStart"/>
      <w:r w:rsidRPr="0017019E">
        <w:rPr>
          <w:sz w:val="22"/>
          <w:szCs w:val="22"/>
          <w:shd w:val="clear" w:color="auto" w:fill="FFFFFF"/>
        </w:rPr>
        <w:lastRenderedPageBreak/>
        <w:t>Nurul</w:t>
      </w:r>
      <w:proofErr w:type="spellEnd"/>
      <w:r w:rsidRPr="0017019E">
        <w:rPr>
          <w:sz w:val="22"/>
          <w:szCs w:val="22"/>
          <w:shd w:val="clear" w:color="auto" w:fill="FFFFFF"/>
        </w:rPr>
        <w:t xml:space="preserve"> </w:t>
      </w:r>
      <w:proofErr w:type="spellStart"/>
      <w:r w:rsidRPr="0017019E">
        <w:rPr>
          <w:sz w:val="22"/>
          <w:szCs w:val="22"/>
          <w:shd w:val="clear" w:color="auto" w:fill="FFFFFF"/>
        </w:rPr>
        <w:t>Qolbi</w:t>
      </w:r>
      <w:proofErr w:type="spellEnd"/>
      <w:r w:rsidRPr="0017019E">
        <w:rPr>
          <w:sz w:val="22"/>
          <w:szCs w:val="22"/>
          <w:shd w:val="clear" w:color="auto" w:fill="FFFFFF"/>
        </w:rPr>
        <w:t xml:space="preserve"> </w:t>
      </w:r>
      <w:proofErr w:type="spellStart"/>
      <w:r w:rsidRPr="0017019E">
        <w:rPr>
          <w:sz w:val="22"/>
          <w:szCs w:val="22"/>
          <w:shd w:val="clear" w:color="auto" w:fill="FFFFFF"/>
        </w:rPr>
        <w:t>Kurniawati</w:t>
      </w:r>
      <w:proofErr w:type="spellEnd"/>
    </w:p>
    <w:p w:rsidR="00BC561D" w:rsidRPr="00E563EC" w:rsidRDefault="00BC561D" w:rsidP="00055C3E">
      <w:pPr>
        <w:pStyle w:val="abstrak"/>
        <w:jc w:val="right"/>
        <w:rPr>
          <w:b/>
          <w:sz w:val="18"/>
          <w:szCs w:val="18"/>
        </w:rPr>
      </w:pPr>
      <w:r w:rsidRPr="00E563EC">
        <w:rPr>
          <w:sz w:val="18"/>
          <w:szCs w:val="18"/>
          <w:shd w:val="clear" w:color="auto" w:fill="FFFFFF"/>
        </w:rPr>
        <w:t xml:space="preserve">UIN </w:t>
      </w:r>
      <w:proofErr w:type="spellStart"/>
      <w:r w:rsidRPr="00E563EC">
        <w:rPr>
          <w:sz w:val="18"/>
          <w:szCs w:val="18"/>
          <w:shd w:val="clear" w:color="auto" w:fill="FFFFFF"/>
        </w:rPr>
        <w:t>Sunan</w:t>
      </w:r>
      <w:proofErr w:type="spellEnd"/>
      <w:r w:rsidRPr="00E563EC">
        <w:rPr>
          <w:sz w:val="18"/>
          <w:szCs w:val="18"/>
          <w:shd w:val="clear" w:color="auto" w:fill="FFFFFF"/>
        </w:rPr>
        <w:t xml:space="preserve"> </w:t>
      </w:r>
      <w:proofErr w:type="spellStart"/>
      <w:r w:rsidRPr="00E563EC">
        <w:rPr>
          <w:sz w:val="18"/>
          <w:szCs w:val="18"/>
          <w:shd w:val="clear" w:color="auto" w:fill="FFFFFF"/>
        </w:rPr>
        <w:t>Kalijaga</w:t>
      </w:r>
      <w:proofErr w:type="spellEnd"/>
      <w:r w:rsidRPr="00E563EC">
        <w:rPr>
          <w:sz w:val="18"/>
          <w:szCs w:val="18"/>
          <w:shd w:val="clear" w:color="auto" w:fill="FFFFFF"/>
        </w:rPr>
        <w:t xml:space="preserve"> Yogyakar</w:t>
      </w:r>
      <w:r w:rsidR="0017019E" w:rsidRPr="00E563EC">
        <w:rPr>
          <w:sz w:val="18"/>
          <w:szCs w:val="18"/>
          <w:shd w:val="clear" w:color="auto" w:fill="FFFFFF"/>
        </w:rPr>
        <w:t>ta</w:t>
      </w:r>
    </w:p>
    <w:p w:rsidR="00BC561D" w:rsidRPr="00BC561D" w:rsidRDefault="00BC561D" w:rsidP="00BC561D">
      <w:pPr>
        <w:pStyle w:val="abstrak"/>
        <w:rPr>
          <w:b/>
        </w:rPr>
      </w:pPr>
    </w:p>
    <w:p w:rsidR="00BC561D" w:rsidRPr="00BC561D" w:rsidRDefault="00BC561D" w:rsidP="00BC561D">
      <w:pPr>
        <w:pStyle w:val="abstrak"/>
      </w:pPr>
    </w:p>
    <w:p w:rsidR="00BC561D" w:rsidRPr="00BC561D" w:rsidRDefault="00BC561D" w:rsidP="00BC561D">
      <w:pPr>
        <w:pStyle w:val="abstrak"/>
        <w:rPr>
          <w:rStyle w:val="Hyperlink"/>
          <w:color w:val="auto"/>
          <w:u w:val="none"/>
        </w:rPr>
      </w:pPr>
      <w:r w:rsidRPr="00BC561D">
        <w:rPr>
          <w:noProof/>
          <w:lang w:val="en-ID" w:eastAsia="en-ID"/>
        </w:rPr>
        <w:drawing>
          <wp:anchor distT="0" distB="0" distL="114300" distR="114300" simplePos="0" relativeHeight="251659264" behindDoc="0" locked="0" layoutInCell="1" allowOverlap="0" wp14:anchorId="3ED0E823" wp14:editId="6F6656F6">
            <wp:simplePos x="0" y="0"/>
            <wp:positionH relativeFrom="column">
              <wp:posOffset>541020</wp:posOffset>
            </wp:positionH>
            <wp:positionV relativeFrom="paragraph">
              <wp:posOffset>43180</wp:posOffset>
            </wp:positionV>
            <wp:extent cx="808990" cy="286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8990" cy="28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561D" w:rsidRPr="00BC561D" w:rsidRDefault="00BC561D" w:rsidP="00BC561D">
      <w:pPr>
        <w:pStyle w:val="abstrak"/>
        <w:rPr>
          <w:rStyle w:val="Hyperlink"/>
          <w:color w:val="auto"/>
          <w:szCs w:val="22"/>
          <w:u w:val="none"/>
        </w:rPr>
      </w:pPr>
    </w:p>
    <w:p w:rsidR="00BC561D" w:rsidRPr="00BC561D" w:rsidRDefault="00BC561D" w:rsidP="00BC561D">
      <w:pPr>
        <w:pStyle w:val="abstrak"/>
        <w:rPr>
          <w:rStyle w:val="Hyperlink"/>
          <w:sz w:val="16"/>
          <w:szCs w:val="16"/>
        </w:rPr>
      </w:pPr>
    </w:p>
    <w:p w:rsidR="00BC561D" w:rsidRPr="00BC561D" w:rsidRDefault="00BC561D" w:rsidP="00BC561D">
      <w:pPr>
        <w:spacing w:line="240" w:lineRule="auto"/>
        <w:rPr>
          <w:rFonts w:cs="Times New Roman"/>
          <w:sz w:val="18"/>
          <w:szCs w:val="18"/>
        </w:rPr>
      </w:pPr>
      <w:r w:rsidRPr="00BC561D">
        <w:rPr>
          <w:rFonts w:cs="Times New Roman"/>
          <w:sz w:val="18"/>
          <w:szCs w:val="18"/>
        </w:rPr>
        <w:t>Copyright: © 2023 by the authros. Submitted for possible open access publication under the terms and co</w:t>
      </w:r>
      <w:r w:rsidR="0017019E">
        <w:rPr>
          <w:rFonts w:cs="Times New Roman"/>
          <w:sz w:val="18"/>
          <w:szCs w:val="18"/>
        </w:rPr>
        <w:t>nditions of the Creative</w:t>
      </w:r>
      <w:r w:rsidR="0017019E">
        <w:rPr>
          <w:rFonts w:cs="Times New Roman"/>
          <w:sz w:val="18"/>
          <w:szCs w:val="18"/>
          <w:lang w:val="en-US"/>
        </w:rPr>
        <w:t xml:space="preserve"> </w:t>
      </w:r>
      <w:r w:rsidR="0017019E">
        <w:rPr>
          <w:rFonts w:cs="Times New Roman"/>
          <w:sz w:val="18"/>
          <w:szCs w:val="18"/>
        </w:rPr>
        <w:t>Commons</w:t>
      </w:r>
      <w:r w:rsidR="0017019E">
        <w:rPr>
          <w:rFonts w:cs="Times New Roman"/>
          <w:sz w:val="18"/>
          <w:szCs w:val="18"/>
          <w:lang w:val="en-US"/>
        </w:rPr>
        <w:t xml:space="preserve"> </w:t>
      </w:r>
      <w:r w:rsidRPr="00BC561D">
        <w:rPr>
          <w:rFonts w:cs="Times New Roman"/>
          <w:sz w:val="18"/>
          <w:szCs w:val="18"/>
        </w:rPr>
        <w:t>Attribution (CC BY NC SA) lience (</w:t>
      </w:r>
      <w:r w:rsidRPr="00BC561D">
        <w:rPr>
          <w:rFonts w:cs="Times New Roman"/>
          <w:b/>
          <w:sz w:val="18"/>
          <w:szCs w:val="18"/>
          <w:u w:val="single" w:color="000000"/>
        </w:rPr>
        <w:t>http://</w:t>
      </w:r>
      <w:r w:rsidRPr="00BC561D">
        <w:rPr>
          <w:rFonts w:cs="Times New Roman"/>
          <w:sz w:val="18"/>
          <w:szCs w:val="18"/>
        </w:rPr>
        <w:t xml:space="preserve"> </w:t>
      </w:r>
      <w:r w:rsidRPr="00BC561D">
        <w:rPr>
          <w:rFonts w:cs="Times New Roman"/>
          <w:b/>
          <w:sz w:val="18"/>
          <w:szCs w:val="18"/>
          <w:u w:val="single" w:color="000000"/>
        </w:rPr>
        <w:t>creativecommons.org/licenses/ by-sa/</w:t>
      </w:r>
      <w:r w:rsidRPr="00BC561D">
        <w:rPr>
          <w:rFonts w:cs="Times New Roman"/>
          <w:b/>
          <w:sz w:val="18"/>
          <w:szCs w:val="18"/>
        </w:rPr>
        <w:t xml:space="preserve"> </w:t>
      </w:r>
      <w:r w:rsidRPr="00BC561D">
        <w:rPr>
          <w:rFonts w:cs="Times New Roman"/>
          <w:b/>
          <w:sz w:val="18"/>
          <w:szCs w:val="18"/>
          <w:u w:val="single" w:color="000000"/>
        </w:rPr>
        <w:t>4.0</w:t>
      </w:r>
      <w:r w:rsidRPr="00BC561D">
        <w:rPr>
          <w:rFonts w:cs="Times New Roman"/>
          <w:sz w:val="18"/>
          <w:szCs w:val="18"/>
        </w:rPr>
        <w:t>)</w:t>
      </w:r>
    </w:p>
    <w:p w:rsidR="00BC561D" w:rsidRPr="00BC561D" w:rsidRDefault="00BC561D" w:rsidP="00BC561D">
      <w:pPr>
        <w:pStyle w:val="abstrak"/>
        <w:rPr>
          <w:b/>
        </w:rPr>
      </w:pPr>
    </w:p>
    <w:p w:rsidR="00BC561D" w:rsidRPr="00BC561D" w:rsidRDefault="00BC561D" w:rsidP="00BC561D">
      <w:pPr>
        <w:pStyle w:val="abstrak"/>
        <w:rPr>
          <w:b/>
        </w:rPr>
      </w:pPr>
    </w:p>
    <w:p w:rsidR="00BC561D" w:rsidRPr="00BC561D" w:rsidRDefault="00BC561D" w:rsidP="00BC561D">
      <w:pPr>
        <w:pStyle w:val="abstrak"/>
        <w:rPr>
          <w:b/>
        </w:rPr>
      </w:pPr>
    </w:p>
    <w:p w:rsidR="00BC561D" w:rsidRPr="00BC561D" w:rsidRDefault="00BC561D" w:rsidP="00BC561D">
      <w:pPr>
        <w:pStyle w:val="abstrak"/>
        <w:rPr>
          <w:b/>
        </w:rPr>
      </w:pPr>
    </w:p>
    <w:p w:rsidR="00BC561D" w:rsidRPr="00BC561D" w:rsidRDefault="00BC561D" w:rsidP="00BC561D">
      <w:pPr>
        <w:pStyle w:val="abstrak"/>
        <w:rPr>
          <w:b/>
        </w:rPr>
      </w:pPr>
    </w:p>
    <w:p w:rsidR="00BC561D" w:rsidRPr="00BC561D" w:rsidRDefault="00BC561D" w:rsidP="00BC561D">
      <w:pPr>
        <w:pStyle w:val="abstrak"/>
        <w:rPr>
          <w:b/>
        </w:rPr>
      </w:pPr>
    </w:p>
    <w:p w:rsidR="00BC561D" w:rsidRPr="00BC561D" w:rsidRDefault="00BC561D" w:rsidP="00BC561D">
      <w:pPr>
        <w:pStyle w:val="abstrak"/>
        <w:rPr>
          <w:b/>
        </w:rPr>
      </w:pPr>
    </w:p>
    <w:p w:rsidR="00BC561D" w:rsidRDefault="00BC561D" w:rsidP="00BC561D">
      <w:pPr>
        <w:pStyle w:val="abstrak"/>
        <w:rPr>
          <w:b/>
        </w:rPr>
      </w:pPr>
    </w:p>
    <w:p w:rsidR="0017019E" w:rsidRPr="00BC561D" w:rsidRDefault="0017019E" w:rsidP="00BC561D">
      <w:pPr>
        <w:pStyle w:val="abstrak"/>
        <w:rPr>
          <w:b/>
        </w:rPr>
      </w:pPr>
    </w:p>
    <w:p w:rsidR="00BC561D" w:rsidRDefault="00BC561D" w:rsidP="00BC561D">
      <w:pPr>
        <w:pStyle w:val="abstrak"/>
        <w:rPr>
          <w:b/>
        </w:rPr>
      </w:pPr>
    </w:p>
    <w:p w:rsidR="0017019E" w:rsidRPr="00BC561D" w:rsidRDefault="0017019E" w:rsidP="00BC561D">
      <w:pPr>
        <w:pStyle w:val="abstrak"/>
        <w:rPr>
          <w:b/>
        </w:rPr>
      </w:pPr>
    </w:p>
    <w:p w:rsidR="00BC561D" w:rsidRPr="00BC561D" w:rsidRDefault="00BC561D" w:rsidP="00BC561D">
      <w:pPr>
        <w:pStyle w:val="abstrak"/>
        <w:rPr>
          <w:b/>
        </w:rPr>
      </w:pPr>
    </w:p>
    <w:p w:rsidR="00BC561D" w:rsidRDefault="00BC561D" w:rsidP="00BC561D">
      <w:pPr>
        <w:pStyle w:val="abstrak"/>
        <w:rPr>
          <w:b/>
        </w:rPr>
      </w:pPr>
    </w:p>
    <w:p w:rsidR="00BC561D" w:rsidRPr="00BC561D" w:rsidRDefault="00BC561D" w:rsidP="00BC561D">
      <w:pPr>
        <w:pStyle w:val="abstrak"/>
        <w:rPr>
          <w:b/>
        </w:rPr>
      </w:pPr>
      <w:r w:rsidRPr="00BC561D">
        <w:rPr>
          <w:b/>
        </w:rPr>
        <w:lastRenderedPageBreak/>
        <w:t>Abstract</w:t>
      </w:r>
    </w:p>
    <w:p w:rsidR="00BC561D" w:rsidRPr="00BC561D" w:rsidRDefault="00BC561D" w:rsidP="0017019E">
      <w:pPr>
        <w:pStyle w:val="abstrak"/>
      </w:pPr>
      <w:r w:rsidRPr="00BC561D">
        <w:t xml:space="preserve">The act of radicalism and terrorism under the name of ethnic, religion and gender are becoming rampant. The new </w:t>
      </w:r>
      <w:r w:rsidRPr="0017019E">
        <w:t>motive</w:t>
      </w:r>
      <w:r w:rsidRPr="00BC561D">
        <w:t xml:space="preserve"> was targeting woman, to be the subject of the violence. However, the term woman and radicalism itself have several paradoxes in its discourses. As oppose that woman might be both the subject and object of violence, they could also actively and collectively prevent the radicalism. </w:t>
      </w:r>
      <w:proofErr w:type="gramStart"/>
      <w:r w:rsidRPr="00BC561D">
        <w:t>thus</w:t>
      </w:r>
      <w:proofErr w:type="gramEnd"/>
      <w:r w:rsidRPr="00BC561D">
        <w:t xml:space="preserve">, there should be enough generalization of woman as the weak target of radicalism and terrorism. Woman are crucial in the contribution of radicalism prevention. This research intended to seek the complicity of woman in terrorism movement. It revealed the reasons behind many acts of terrorism that had happened. Moreover, this research alsooffer solutions to empower </w:t>
      </w:r>
      <w:proofErr w:type="gramStart"/>
      <w:r w:rsidRPr="00BC561D">
        <w:t>women  to</w:t>
      </w:r>
      <w:proofErr w:type="gramEnd"/>
      <w:r w:rsidRPr="00BC561D">
        <w:t xml:space="preserve"> prevent radicalism  served several facts of woman abilities that were actively and collectively contributed in radicalism prevention.</w:t>
      </w:r>
    </w:p>
    <w:p w:rsidR="00BC561D" w:rsidRPr="00BC561D" w:rsidRDefault="00BC561D" w:rsidP="00BC561D">
      <w:pPr>
        <w:pStyle w:val="abstrak"/>
        <w:rPr>
          <w:b/>
          <w:bCs w:val="0"/>
        </w:rPr>
      </w:pPr>
      <w:r w:rsidRPr="00BC561D">
        <w:rPr>
          <w:b/>
          <w:bCs w:val="0"/>
        </w:rPr>
        <w:t>Keywords: Women, Radicalism Movement</w:t>
      </w:r>
    </w:p>
    <w:p w:rsidR="00BC561D" w:rsidRPr="00BC561D" w:rsidRDefault="00BC561D" w:rsidP="00BC561D">
      <w:pPr>
        <w:pStyle w:val="abstrak"/>
        <w:rPr>
          <w:b/>
        </w:rPr>
      </w:pPr>
    </w:p>
    <w:p w:rsidR="00BC561D" w:rsidRPr="00BC561D" w:rsidRDefault="00BC561D" w:rsidP="00BC561D">
      <w:pPr>
        <w:pStyle w:val="abstrak"/>
        <w:rPr>
          <w:b/>
        </w:rPr>
      </w:pPr>
      <w:r w:rsidRPr="00BC561D">
        <w:rPr>
          <w:b/>
        </w:rPr>
        <w:t>Abstrak</w:t>
      </w:r>
    </w:p>
    <w:p w:rsidR="0017019E" w:rsidRDefault="00BC561D" w:rsidP="0017019E">
      <w:pPr>
        <w:pStyle w:val="abstrak"/>
      </w:pPr>
      <w:proofErr w:type="spellStart"/>
      <w:r w:rsidRPr="00BC561D">
        <w:t>Aksi</w:t>
      </w:r>
      <w:proofErr w:type="spellEnd"/>
      <w:r w:rsidRPr="00BC561D">
        <w:t xml:space="preserve"> </w:t>
      </w:r>
      <w:proofErr w:type="spellStart"/>
      <w:r w:rsidRPr="00BC561D">
        <w:t>radikalisme</w:t>
      </w:r>
      <w:proofErr w:type="spellEnd"/>
      <w:r w:rsidRPr="00BC561D">
        <w:t xml:space="preserve"> </w:t>
      </w:r>
      <w:proofErr w:type="spellStart"/>
      <w:r w:rsidRPr="00BC561D">
        <w:t>dan</w:t>
      </w:r>
      <w:proofErr w:type="spellEnd"/>
      <w:r w:rsidRPr="00BC561D">
        <w:t xml:space="preserve"> </w:t>
      </w:r>
      <w:proofErr w:type="spellStart"/>
      <w:r w:rsidRPr="00BC561D">
        <w:t>terorisme</w:t>
      </w:r>
      <w:proofErr w:type="spellEnd"/>
      <w:r w:rsidRPr="00BC561D">
        <w:t xml:space="preserve"> atas </w:t>
      </w:r>
      <w:proofErr w:type="gramStart"/>
      <w:r w:rsidRPr="00BC561D">
        <w:t>nama</w:t>
      </w:r>
      <w:proofErr w:type="gramEnd"/>
      <w:r w:rsidRPr="00BC561D">
        <w:t xml:space="preserve"> etnis, agama dan gender seringkali terjadi. Modus baru dalam aksi terorisme menjadikan perempuan sebagai pelaku. Namun berbicara perempuan dan radikalisme keduanya </w:t>
      </w: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17019E" w:rsidRDefault="0017019E" w:rsidP="0017019E">
      <w:pPr>
        <w:pStyle w:val="abstrak"/>
      </w:pPr>
    </w:p>
    <w:p w:rsidR="00BC561D" w:rsidRPr="00BC561D" w:rsidRDefault="00BC561D" w:rsidP="0017019E">
      <w:pPr>
        <w:pStyle w:val="abstrak"/>
      </w:pPr>
      <w:proofErr w:type="spellStart"/>
      <w:proofErr w:type="gramStart"/>
      <w:r w:rsidRPr="00BC561D">
        <w:lastRenderedPageBreak/>
        <w:t>memiliki</w:t>
      </w:r>
      <w:proofErr w:type="spellEnd"/>
      <w:proofErr w:type="gramEnd"/>
      <w:r w:rsidRPr="00BC561D">
        <w:t xml:space="preserve"> </w:t>
      </w:r>
      <w:proofErr w:type="spellStart"/>
      <w:r w:rsidRPr="00BC561D">
        <w:t>beberapa</w:t>
      </w:r>
      <w:proofErr w:type="spellEnd"/>
      <w:r w:rsidRPr="00BC561D">
        <w:t xml:space="preserve"> </w:t>
      </w:r>
      <w:proofErr w:type="spellStart"/>
      <w:r w:rsidRPr="00BC561D">
        <w:t>sisi</w:t>
      </w:r>
      <w:proofErr w:type="spellEnd"/>
      <w:r w:rsidRPr="00BC561D">
        <w:t xml:space="preserve"> </w:t>
      </w:r>
      <w:proofErr w:type="spellStart"/>
      <w:r w:rsidRPr="00BC561D">
        <w:t>paradoks</w:t>
      </w:r>
      <w:proofErr w:type="spellEnd"/>
      <w:r w:rsidRPr="00BC561D">
        <w:t xml:space="preserve">. </w:t>
      </w:r>
      <w:proofErr w:type="spellStart"/>
      <w:r w:rsidRPr="00BC561D">
        <w:t>Disatu</w:t>
      </w:r>
      <w:proofErr w:type="spellEnd"/>
      <w:r w:rsidRPr="00BC561D">
        <w:t xml:space="preserve"> </w:t>
      </w:r>
      <w:proofErr w:type="spellStart"/>
      <w:r w:rsidRPr="00BC561D">
        <w:t>sisi</w:t>
      </w:r>
      <w:proofErr w:type="spellEnd"/>
      <w:r w:rsidRPr="00BC561D">
        <w:t xml:space="preserve"> </w:t>
      </w:r>
      <w:proofErr w:type="spellStart"/>
      <w:r w:rsidRPr="00BC561D">
        <w:t>merupakan</w:t>
      </w:r>
      <w:proofErr w:type="spellEnd"/>
      <w:r w:rsidRPr="00BC561D">
        <w:t xml:space="preserve"> </w:t>
      </w:r>
      <w:proofErr w:type="spellStart"/>
      <w:r w:rsidRPr="00BC561D">
        <w:t>pelaku</w:t>
      </w:r>
      <w:proofErr w:type="spellEnd"/>
      <w:r w:rsidRPr="00BC561D">
        <w:t xml:space="preserve"> </w:t>
      </w:r>
      <w:proofErr w:type="spellStart"/>
      <w:r w:rsidRPr="00BC561D">
        <w:t>dan</w:t>
      </w:r>
      <w:proofErr w:type="spellEnd"/>
      <w:r w:rsidRPr="00BC561D">
        <w:t xml:space="preserve"> </w:t>
      </w:r>
      <w:proofErr w:type="spellStart"/>
      <w:r w:rsidRPr="00BC561D">
        <w:t>korban</w:t>
      </w:r>
      <w:proofErr w:type="spellEnd"/>
      <w:r w:rsidRPr="00BC561D">
        <w:t xml:space="preserve"> </w:t>
      </w:r>
      <w:proofErr w:type="spellStart"/>
      <w:r w:rsidRPr="00BC561D">
        <w:t>radikalisme</w:t>
      </w:r>
      <w:proofErr w:type="spellEnd"/>
      <w:r w:rsidRPr="00BC561D">
        <w:t xml:space="preserve">, </w:t>
      </w:r>
      <w:proofErr w:type="spellStart"/>
      <w:r w:rsidRPr="00BC561D">
        <w:t>disisi</w:t>
      </w:r>
      <w:proofErr w:type="spellEnd"/>
      <w:r w:rsidRPr="00BC561D">
        <w:t xml:space="preserve"> yang lain </w:t>
      </w:r>
      <w:proofErr w:type="spellStart"/>
      <w:r w:rsidRPr="00BC561D">
        <w:t>perempuan</w:t>
      </w:r>
      <w:proofErr w:type="spellEnd"/>
      <w:r w:rsidRPr="00BC561D">
        <w:t xml:space="preserve"> </w:t>
      </w:r>
      <w:proofErr w:type="spellStart"/>
      <w:r w:rsidRPr="00BC561D">
        <w:t>mampu</w:t>
      </w:r>
      <w:proofErr w:type="spellEnd"/>
      <w:r w:rsidRPr="00BC561D">
        <w:t xml:space="preserve"> </w:t>
      </w:r>
      <w:proofErr w:type="spellStart"/>
      <w:r w:rsidRPr="00BC561D">
        <w:t>berperan</w:t>
      </w:r>
      <w:proofErr w:type="spellEnd"/>
      <w:r w:rsidRPr="00BC561D">
        <w:t xml:space="preserve"> </w:t>
      </w:r>
      <w:proofErr w:type="spellStart"/>
      <w:r w:rsidRPr="00BC561D">
        <w:t>secara</w:t>
      </w:r>
      <w:proofErr w:type="spellEnd"/>
      <w:r w:rsidRPr="00BC561D">
        <w:t xml:space="preserve"> </w:t>
      </w:r>
      <w:proofErr w:type="spellStart"/>
      <w:r w:rsidRPr="00BC561D">
        <w:t>aktif</w:t>
      </w:r>
      <w:proofErr w:type="spellEnd"/>
      <w:r w:rsidRPr="00BC561D">
        <w:t xml:space="preserve"> </w:t>
      </w:r>
      <w:proofErr w:type="spellStart"/>
      <w:r w:rsidRPr="00BC561D">
        <w:t>dan</w:t>
      </w:r>
      <w:proofErr w:type="spellEnd"/>
      <w:r w:rsidRPr="00BC561D">
        <w:t xml:space="preserve"> </w:t>
      </w:r>
      <w:proofErr w:type="spellStart"/>
      <w:r w:rsidRPr="00BC561D">
        <w:t>kolektif</w:t>
      </w:r>
      <w:proofErr w:type="spellEnd"/>
      <w:r w:rsidRPr="00BC561D">
        <w:t xml:space="preserve"> </w:t>
      </w:r>
      <w:proofErr w:type="spellStart"/>
      <w:r w:rsidRPr="00BC561D">
        <w:t>sebagai</w:t>
      </w:r>
      <w:proofErr w:type="spellEnd"/>
      <w:r w:rsidRPr="00BC561D">
        <w:t xml:space="preserve"> seorang yang terlibat dalam upaya pencegahan radikalisme. Kiranya tidak bisa hanya merlihat perempuan sebagai kelompok rentan dalam kasus radikalisme dan teroriseme. Namun tidak bisa diabaikan bahwa perempuan memiliki sumbangsih yang besar upaya pencegahan radikalisme. Tulisan ini mencoba menguak keterlibatan perempuan dalam gerakan terorisme. Di antaranya, menggali latar-belakang,  motif utama terlibat dalam aksi-aksi terorisme, mengapa gerakan radikalisme dan terorisme menarik bagi kelompok perempuan. Selain itu tulisan  menawarkan solusi pemberdayaan perempuan untuk mencegah radikalisme. </w:t>
      </w:r>
      <w:proofErr w:type="gramStart"/>
      <w:r w:rsidRPr="00BC561D">
        <w:t>menyajikan</w:t>
      </w:r>
      <w:proofErr w:type="gramEnd"/>
      <w:r w:rsidRPr="00BC561D">
        <w:t xml:space="preserve"> beberapa fakta </w:t>
      </w:r>
      <w:proofErr w:type="spellStart"/>
      <w:r w:rsidRPr="00BC561D">
        <w:t>kemamapuan</w:t>
      </w:r>
      <w:proofErr w:type="spellEnd"/>
      <w:r w:rsidRPr="00BC561D">
        <w:t xml:space="preserve"> </w:t>
      </w:r>
      <w:proofErr w:type="spellStart"/>
      <w:r w:rsidRPr="00BC561D">
        <w:t>perempuan</w:t>
      </w:r>
      <w:proofErr w:type="spellEnd"/>
      <w:r w:rsidRPr="00BC561D">
        <w:t xml:space="preserve"> </w:t>
      </w:r>
      <w:proofErr w:type="spellStart"/>
      <w:r w:rsidRPr="00BC561D">
        <w:t>berperan</w:t>
      </w:r>
      <w:proofErr w:type="spellEnd"/>
      <w:r w:rsidRPr="00BC561D">
        <w:t xml:space="preserve"> </w:t>
      </w:r>
      <w:proofErr w:type="spellStart"/>
      <w:r w:rsidRPr="00BC561D">
        <w:t>secara</w:t>
      </w:r>
      <w:proofErr w:type="spellEnd"/>
      <w:r w:rsidRPr="00BC561D">
        <w:t xml:space="preserve"> </w:t>
      </w:r>
      <w:proofErr w:type="spellStart"/>
      <w:r w:rsidRPr="00BC561D">
        <w:t>aktif</w:t>
      </w:r>
      <w:proofErr w:type="spellEnd"/>
      <w:r w:rsidRPr="00BC561D">
        <w:t xml:space="preserve"> </w:t>
      </w:r>
      <w:proofErr w:type="spellStart"/>
      <w:r w:rsidRPr="00BC561D">
        <w:t>dan</w:t>
      </w:r>
      <w:proofErr w:type="spellEnd"/>
      <w:r w:rsidRPr="00BC561D">
        <w:t xml:space="preserve"> </w:t>
      </w:r>
      <w:proofErr w:type="spellStart"/>
      <w:r w:rsidRPr="00BC561D">
        <w:t>kolektif</w:t>
      </w:r>
      <w:proofErr w:type="spellEnd"/>
      <w:r w:rsidRPr="00BC561D">
        <w:t xml:space="preserve"> </w:t>
      </w:r>
      <w:proofErr w:type="spellStart"/>
      <w:r w:rsidRPr="00BC561D">
        <w:t>sebagai</w:t>
      </w:r>
      <w:proofErr w:type="spellEnd"/>
      <w:r w:rsidRPr="00BC561D">
        <w:t xml:space="preserve"> </w:t>
      </w:r>
      <w:proofErr w:type="spellStart"/>
      <w:r w:rsidRPr="00BC561D">
        <w:t>seorang</w:t>
      </w:r>
      <w:proofErr w:type="spellEnd"/>
      <w:r w:rsidRPr="00BC561D">
        <w:t xml:space="preserve"> yang </w:t>
      </w:r>
      <w:proofErr w:type="spellStart"/>
      <w:r w:rsidRPr="00BC561D">
        <w:t>terlibat</w:t>
      </w:r>
      <w:proofErr w:type="spellEnd"/>
      <w:r w:rsidRPr="00BC561D">
        <w:t xml:space="preserve"> dalam upaya pencegahan radikalisme.. </w:t>
      </w:r>
    </w:p>
    <w:p w:rsidR="00BC561D" w:rsidRPr="00BC561D" w:rsidRDefault="00BC561D" w:rsidP="00BC561D">
      <w:pPr>
        <w:pStyle w:val="abstrak"/>
      </w:pPr>
    </w:p>
    <w:p w:rsidR="00BC561D" w:rsidRPr="00BC561D" w:rsidRDefault="00BC561D" w:rsidP="00BC561D">
      <w:pPr>
        <w:pStyle w:val="abstrak"/>
        <w:rPr>
          <w:b/>
          <w:bCs w:val="0"/>
        </w:rPr>
        <w:sectPr w:rsidR="00BC561D" w:rsidRPr="00BC561D" w:rsidSect="00E563EC">
          <w:footerReference w:type="even" r:id="rId15"/>
          <w:type w:val="continuous"/>
          <w:pgSz w:w="11906" w:h="16838"/>
          <w:pgMar w:top="2268" w:right="1701" w:bottom="1701" w:left="2268" w:header="709" w:footer="709" w:gutter="0"/>
          <w:cols w:num="2" w:space="397" w:equalWidth="0">
            <w:col w:w="2173" w:space="397"/>
            <w:col w:w="5367"/>
          </w:cols>
          <w:docGrid w:linePitch="360"/>
        </w:sectPr>
      </w:pPr>
      <w:r w:rsidRPr="00BC561D">
        <w:rPr>
          <w:b/>
          <w:bCs w:val="0"/>
        </w:rPr>
        <w:t xml:space="preserve">Kata </w:t>
      </w:r>
      <w:proofErr w:type="spellStart"/>
      <w:r w:rsidRPr="00BC561D">
        <w:rPr>
          <w:b/>
          <w:bCs w:val="0"/>
        </w:rPr>
        <w:t>Kunci</w:t>
      </w:r>
      <w:proofErr w:type="spellEnd"/>
      <w:r w:rsidRPr="00BC561D">
        <w:rPr>
          <w:b/>
          <w:bCs w:val="0"/>
        </w:rPr>
        <w:t xml:space="preserve">: </w:t>
      </w:r>
      <w:proofErr w:type="spellStart"/>
      <w:r w:rsidRPr="00BC561D">
        <w:rPr>
          <w:b/>
          <w:bCs w:val="0"/>
        </w:rPr>
        <w:t>Perempuan</w:t>
      </w:r>
      <w:proofErr w:type="spellEnd"/>
      <w:r w:rsidRPr="00BC561D">
        <w:rPr>
          <w:b/>
          <w:bCs w:val="0"/>
        </w:rPr>
        <w:t xml:space="preserve">, </w:t>
      </w:r>
      <w:proofErr w:type="spellStart"/>
      <w:r w:rsidRPr="00BC561D">
        <w:rPr>
          <w:b/>
          <w:bCs w:val="0"/>
        </w:rPr>
        <w:t>Gerakan</w:t>
      </w:r>
      <w:proofErr w:type="spellEnd"/>
      <w:r w:rsidRPr="00BC561D">
        <w:rPr>
          <w:b/>
          <w:bCs w:val="0"/>
        </w:rPr>
        <w:t xml:space="preserve"> </w:t>
      </w:r>
      <w:proofErr w:type="spellStart"/>
      <w:r w:rsidRPr="00BC561D">
        <w:rPr>
          <w:b/>
          <w:bCs w:val="0"/>
        </w:rPr>
        <w:t>Radikalisme</w:t>
      </w:r>
      <w:proofErr w:type="spellEnd"/>
    </w:p>
    <w:p w:rsidR="00BC561D" w:rsidRPr="00BC561D" w:rsidRDefault="00BC561D" w:rsidP="00BC561D">
      <w:pPr>
        <w:pStyle w:val="abstrak"/>
        <w:rPr>
          <w:b/>
          <w:bCs w:val="0"/>
        </w:rPr>
      </w:pPr>
    </w:p>
    <w:p w:rsidR="00BC561D" w:rsidRDefault="00BC561D" w:rsidP="00BC561D">
      <w:pPr>
        <w:spacing w:after="0"/>
        <w:rPr>
          <w:rFonts w:ascii="Gentium" w:hAnsi="Gentium" w:cs="Times New Roman"/>
          <w:szCs w:val="24"/>
        </w:rPr>
      </w:pPr>
    </w:p>
    <w:p w:rsidR="00BC561D" w:rsidRPr="00B70A44" w:rsidRDefault="00BC561D" w:rsidP="00BC561D">
      <w:pPr>
        <w:spacing w:after="0"/>
        <w:rPr>
          <w:rFonts w:ascii="Gentium" w:hAnsi="Gentium" w:cs="Times New Roman"/>
          <w:szCs w:val="24"/>
        </w:rPr>
      </w:pPr>
    </w:p>
    <w:p w:rsidR="00BC561D" w:rsidRPr="00B70A44" w:rsidRDefault="00BC561D" w:rsidP="00BC561D">
      <w:pPr>
        <w:pStyle w:val="Heading1"/>
      </w:pPr>
      <w:r w:rsidRPr="00BC561D">
        <w:t>Pendahuluan</w:t>
      </w:r>
      <w:r w:rsidRPr="00B70A44">
        <w:t xml:space="preserve"> </w:t>
      </w:r>
    </w:p>
    <w:p w:rsidR="00BC561D" w:rsidRPr="00B70A44" w:rsidRDefault="00BC561D" w:rsidP="00BC561D">
      <w:r w:rsidRPr="00B70A44">
        <w:t xml:space="preserve">Dewasa ini seringkali kita jumpai berbagai peristiwa kekerasan atas nama agama, etnis dan gender yang tak terhenti. Beberapa peristiwa kemanusiaan seperti kasus intoleransi, radikalisme dan terorisme sering kali melibatkan perempuan. Pada posisi ini perempuan berkedudukan sebagai subyek dan obyek sekaligus. Dalam satu sisi perempuan berposisi sebagai pelaku dalam sisi lain juga sekaligus menjadi korban. Berbicara soal radikalisme dan perempuan keduanya memiliki beberapa sisi paradoks, di satu sisi mereka adalah korban dari radikalisme dan terlibat menjadi pelaku radikalisme. Di sisi lain dalam beberapa penelitian menunjukkan bahwa perempuan mampu berperan secara aktif dan kolektif sebagai seorang yang terlibat dalam upaya pencegahan radikalisme. Kiranya tidak bisa hanya melihat perempuan sebagai kelompok rentan dalam kasus radikalisme dan teroriseme. Namun tidak bisa diabaikan bahwa sumbangsih perempuan dalam upaya </w:t>
      </w:r>
      <w:r w:rsidRPr="00B70A44">
        <w:lastRenderedPageBreak/>
        <w:t xml:space="preserve">pencegahan  radikalisme juga sangat besar. Oleh karenanya, sangat penting dalam penanganan radikalisme melibatkan perempuan didalamnya. Karena dalam catatan sejarah upaya memperbaiki keadaan sosial masih besar terhadap peradaban manusia berbangsa dan bernegara. </w:t>
      </w:r>
    </w:p>
    <w:p w:rsidR="00BC561D" w:rsidRPr="00B70A44" w:rsidRDefault="00BC561D" w:rsidP="00BC561D">
      <w:r w:rsidRPr="00B70A44">
        <w:t xml:space="preserve">Baru-baru ini  bom bunuh diri yang melibatkan perempuan terjadi di Gereja Katerdal Makasar pada Maret 2021 merupakan fakta baru dari keterkaitan perempuan dan aksi radikalisme. Menurut Ali Musa (Ketua ISNU) </w:t>
      </w:r>
      <w:r w:rsidRPr="00B70A44">
        <w:rPr>
          <w:rFonts w:eastAsia="Times New Roman"/>
          <w:lang w:eastAsia="id-ID"/>
        </w:rPr>
        <w:t>dengan mengutip paparan data  Badan Nasional Penanggulangan Terorisme (BNPT) bahwa ada sejumlah faktor yang mempengaruhi  perempuan dalam terlibat aksi-aksi terorisme. Diantara beberapa faktor tersebut diantaranya pertama,</w:t>
      </w:r>
      <w:r w:rsidRPr="00B70A44">
        <w:t xml:space="preserve"> karena perempuan termasuk dalam kelompok marjinal dan renta. Kemudian kerentanan tersebut dimanfaatkan oleh kelompok radikal untuk diindoktrinasi melakukan teror. Kedua, adanya kondisi keterpaksaan menerima berbagai desakan, keluarga, lingkungan, dan juga ekonomi. Secara kultural kepatuhan pada suami juga menjadi sebab perempuan masuk dalam gerakan radikalisme. Ketiga dari aspek psikologis karena keterbatasan akases, perempuan tidak memiliki cukup pengetahuan untuk memfilter pengetahuan baru yang didapatkan. Dari faktor lain yakni dalam melakukan aksi radikalisme dan terorisme perempuan dipilih karena secara teknis dan praktis tidak mudah dicurigai.</w:t>
      </w:r>
      <w:r w:rsidRPr="00B70A44">
        <w:rPr>
          <w:rStyle w:val="FootnoteReference"/>
          <w:rFonts w:ascii="Gentium" w:hAnsi="Gentium" w:cs="Times New Roman"/>
          <w:szCs w:val="24"/>
        </w:rPr>
        <w:footnoteReference w:id="1"/>
      </w:r>
    </w:p>
    <w:p w:rsidR="00BC561D" w:rsidRPr="00B70A44" w:rsidRDefault="00BC561D" w:rsidP="00BC561D">
      <w:pPr>
        <w:autoSpaceDE w:val="0"/>
        <w:autoSpaceDN w:val="0"/>
        <w:adjustRightInd w:val="0"/>
        <w:spacing w:after="0"/>
        <w:ind w:left="284" w:firstLine="578"/>
        <w:rPr>
          <w:rFonts w:ascii="Gentium" w:hAnsi="Gentium" w:cs="Times New Roman"/>
          <w:szCs w:val="24"/>
        </w:rPr>
      </w:pPr>
    </w:p>
    <w:p w:rsidR="00BC561D" w:rsidRPr="00B70A44" w:rsidRDefault="00BC561D" w:rsidP="00BC561D">
      <w:r w:rsidRPr="00B70A44">
        <w:t>Dalam beberapa catatan ada beberapa fakta yang menunjukkan bahwa kasus terorisme pada tahun 2016, tercatat ada enam perempuan terlibat aksi radikalime dan terorisme. Diantara mereka adalah Dian Yulia Novi, Arinda Putri Maharani, dan Anggi. Data tersebut meskipun secara kuantitatif terlihat kecil, namun  setiap tahunnya semakin meningkat.</w:t>
      </w:r>
      <w:r w:rsidRPr="00B70A44">
        <w:rPr>
          <w:rStyle w:val="FootnoteReference"/>
          <w:rFonts w:ascii="Gentium" w:hAnsi="Gentium"/>
        </w:rPr>
        <w:footnoteReference w:id="2"/>
      </w:r>
      <w:r w:rsidRPr="00B70A44">
        <w:t xml:space="preserve"> Namun sebagai manusia seutuhnya dan warga negara, perempuan juga memiliki kesadaran dalam bernegara tentang pentingnya </w:t>
      </w:r>
      <w:r w:rsidRPr="00B70A44">
        <w:lastRenderedPageBreak/>
        <w:t>menjaga keutuhan. Tidak hanya dinilai sebagai kelompok rentan dalam aksi-akasi radikalisme. Perempuan memiliki peranan penting pada kesadaran pembangunan keutuhan dan perdamaian. Tidak hanya dipandang lemah sehingga berpotensi dimanfaatkan sebagai kelompok teroris, peran penting dalam mencegah radikalisme juga dimiliki perempuan. Kesadaran kemanusian merupakan kesadaran yang dimiliki oleh laki-laki maupun perempuan dalam aspek kehidupan. Tidak mebedakan itu laki-laki atau perempuan, semuanya memiliki kesadaran, kewajiban dan hak yang sama. Karena perempuan adalah manusia yang sama utuh yang diciptakan oleh Tuhan seperti halnya laki-laki ada kelebihan dan kekurangannya.</w:t>
      </w:r>
    </w:p>
    <w:p w:rsidR="00BC561D" w:rsidRPr="00B70A44" w:rsidRDefault="00BC561D" w:rsidP="00BC561D">
      <w:r w:rsidRPr="00B70A44">
        <w:t>Dalam penelitian terdahulu tentang peran perempuan dalam deradikalisasi  dengamenganalisa beberapa cara dan upaya yang dilakukan oleh BNPT dalam melibatkan perempuan dalam proses deradikalisasi, ditemukan fakta bahwa perempuan mampu menjadi aktor dalam upaya pencegahan radikalisme. BNPT dalam upaya deradikalisasi  melibatkan beberapa organisasi perempuan diantaranya Fatayat NU dan Aisiyah sebagai organisasi keislaman perempuan. Pendekatan feminisme kultural digunakan oleh BNPT dalam upaya melibatkan perempuan dalam proses deradikalisasi. Upaya dalam program tersebut merupakan cara penyelesaian  paham radikal dengan siasat tanpa menggunakan unsur kekerasan. Dalam penelitian tersebut ada beberapa tahapan dalam upaya deradikalisasi meliputi identifikasi, rehabilitasi, reedukasi, resosialisasi, monitoring dan yang terakhir evaluasi. Pendekatan feminisme kultural menurut BNPT dibutuhkan dalam penangganan deradikalisai pada seseorang dan kelompok. Perempuan oleh karenanya dimasukkan dalam strategi deradikalisasi karena dinilai lebih persuasif.</w:t>
      </w:r>
      <w:r w:rsidRPr="00B70A44">
        <w:rPr>
          <w:rStyle w:val="FootnoteReference"/>
          <w:rFonts w:ascii="Gentium" w:hAnsi="Gentium"/>
        </w:rPr>
        <w:footnoteReference w:id="3"/>
      </w:r>
    </w:p>
    <w:p w:rsidR="00BC561D" w:rsidRDefault="00BC561D" w:rsidP="00BC561D">
      <w:r w:rsidRPr="00B70A44">
        <w:t xml:space="preserve">Beberapa penelitian banyak yang berfokus pada keterlibatan perempuan dalam aksi radikalisme dan terorisme. Namun beberapa penelitian dan literatur yang memotret upaya dilakukan oleh perempuan dalam pencegahan radikalisme belum mendapatkan banyak perhatian. Padahal, perempuan telah banyak melakukan kerja-kerja publik dalam upaya deradikalisi terlebih di daerah-daerah rawan aksi </w:t>
      </w:r>
      <w:r w:rsidRPr="00B70A44">
        <w:lastRenderedPageBreak/>
        <w:t xml:space="preserve">teror. Oleh karena itu, penelitian ini selain menganalisa  keterlibatan perempuan t dalam aksi-aski teroriseme juga menggali fakta potensi-potensi perempuan dalam kerja deradikalisa. Tulisan ini  akan mengungkap berbagai hal terkait faktor keterlibatan perempuan dalam gerakan terorisme di Indonesia. Diantaranya melihat bagaimana  latar-belakang, motif utama terlibat dalam aksi-aksi terorisme,  dan mengapa gerakan radikalisme dan terorisme ini menarik bagi kelompok perempuan.   Kemudian menawarkan solusi pemberdayaan perempuan untuk mencegah radikalisme.  </w:t>
      </w:r>
    </w:p>
    <w:p w:rsidR="00BC561D" w:rsidRPr="00B70A44" w:rsidRDefault="00BC561D" w:rsidP="00BC561D">
      <w:pPr>
        <w:pStyle w:val="Heading1"/>
      </w:pPr>
      <w:r w:rsidRPr="00B70A44">
        <w:t>Metode Penelitian</w:t>
      </w:r>
    </w:p>
    <w:p w:rsidR="00BC561D" w:rsidRPr="00BC561D" w:rsidRDefault="00BC561D" w:rsidP="00BC561D">
      <w:pPr>
        <w:rPr>
          <w:rFonts w:eastAsia="EB GARAMOND REGULAR ROMAN"/>
        </w:rPr>
      </w:pPr>
      <w:r w:rsidRPr="00B70A44">
        <w:t xml:space="preserve">Penelitian ini merupakan penelitian studi </w:t>
      </w:r>
      <w:r w:rsidRPr="00B70A44">
        <w:rPr>
          <w:i/>
        </w:rPr>
        <w:t>library research</w:t>
      </w:r>
      <w:r w:rsidRPr="00B70A44">
        <w:t xml:space="preserve"> dengan menggunkan metode kualitatif deskriptif. Sumber data yang digunakan peneliti diperoleh dari beberapa buku literatur teori dan jurnal penelitian terkait yang mengkaji perempuan dan radikalisme. Data dalam penelitian ini diperoleh dengan studi literatur, yaitu peneliti mengumpulkan beberapa data melalui beberapa sumber data teks yang kemudian diolah secra deskriptif. Sumber data peneliti melakukan pemilihan berbagai sember data yang kredibel. Analisis data yang digunakan yaitu metode analisis isi atau analisis dokumen. Kemudian yang terakhir yaitu menarik kesimpulan berdasarakan data yang ditemukan mengenai pemberdayaan perempuan sebagai pencegahan radikalisme. </w:t>
      </w:r>
    </w:p>
    <w:p w:rsidR="00BC561D" w:rsidRPr="00B70A44" w:rsidRDefault="00BC561D" w:rsidP="00BC561D">
      <w:pPr>
        <w:pStyle w:val="Heading1"/>
      </w:pPr>
      <w:r w:rsidRPr="00B70A44">
        <w:t xml:space="preserve">Perempuan Dan Radikalisme </w:t>
      </w:r>
    </w:p>
    <w:p w:rsidR="00BC561D" w:rsidRPr="00B70A44" w:rsidRDefault="00BC561D" w:rsidP="00BC561D">
      <w:pPr>
        <w:pStyle w:val="Heading2"/>
        <w:numPr>
          <w:ilvl w:val="0"/>
          <w:numId w:val="4"/>
        </w:numPr>
      </w:pPr>
      <w:r w:rsidRPr="00B70A44">
        <w:t xml:space="preserve">Perempuan dalam </w:t>
      </w:r>
      <w:r w:rsidRPr="00BC561D">
        <w:t>Kasus</w:t>
      </w:r>
      <w:r w:rsidRPr="00B70A44">
        <w:t xml:space="preserve"> Radikalisme</w:t>
      </w:r>
    </w:p>
    <w:p w:rsidR="00BC561D" w:rsidRPr="00BC561D" w:rsidRDefault="00BC561D" w:rsidP="00BC561D">
      <w:pPr>
        <w:autoSpaceDE w:val="0"/>
        <w:autoSpaceDN w:val="0"/>
        <w:adjustRightInd w:val="0"/>
        <w:spacing w:after="0"/>
        <w:ind w:left="284"/>
        <w:rPr>
          <w:rFonts w:cs="Times New Roman"/>
          <w:szCs w:val="24"/>
        </w:rPr>
      </w:pPr>
      <w:r w:rsidRPr="00BC561D">
        <w:rPr>
          <w:rFonts w:cs="Times New Roman"/>
          <w:szCs w:val="24"/>
        </w:rPr>
        <w:t xml:space="preserve">Beberapa tahun terakhir banyak bukti-bukti yang menunjukkan keterlibatan kaum perempuan dalam aksi-aksi terorisme global yang terus meningkat. Di beberapa negara di Eropa, Amerika dan beberapa negara Timur tengah data menunjukkan semakian menguatnya keterlibatan perempuan dalam aksi terorisme. Kelompok-kelompok teroris menunjukkan kecenderungan untuk mengandalkan perempuan dalam melakukan aksi teror. Para perempuan menjalankan beberapa tugas beragam dalam aksi terorisme, misanya sebagai mereka bertugas sebagai pendidik,  informan mata-mata, perekrut, pelindung </w:t>
      </w:r>
      <w:r w:rsidRPr="00BC561D">
        <w:rPr>
          <w:rFonts w:cs="Times New Roman"/>
          <w:szCs w:val="24"/>
        </w:rPr>
        <w:lastRenderedPageBreak/>
        <w:t>dan mata-mata atau menjadi pemuas kebutuhan seks teroris laki-laki. Selain itu dalam beberapa waktu terakhir dengan semakin memanfaatkan perkembangan teknologi bagi pencapaian tujuan terorisme, partisipatif perempuan lebih kompleks. Mereka terlubat aktif mengelola organisasi teroris. Dan sampai pada titik perempuan rela menjadikan tubuhnya sebagai senjata mematikan  dalam aksi teror.</w:t>
      </w:r>
      <w:r w:rsidRPr="00BC561D">
        <w:rPr>
          <w:rStyle w:val="FootnoteReference"/>
          <w:rFonts w:cs="Times New Roman"/>
          <w:szCs w:val="24"/>
        </w:rPr>
        <w:footnoteReference w:id="4"/>
      </w:r>
    </w:p>
    <w:p w:rsidR="00BC561D" w:rsidRPr="00BC561D" w:rsidRDefault="00BC561D" w:rsidP="00BC561D">
      <w:pPr>
        <w:pStyle w:val="ListParagraph"/>
        <w:autoSpaceDE w:val="0"/>
        <w:autoSpaceDN w:val="0"/>
        <w:adjustRightInd w:val="0"/>
        <w:spacing w:after="0"/>
        <w:ind w:left="284" w:firstLine="436"/>
        <w:rPr>
          <w:rFonts w:cs="Times New Roman"/>
          <w:szCs w:val="24"/>
        </w:rPr>
      </w:pPr>
    </w:p>
    <w:p w:rsidR="00BC561D" w:rsidRPr="00BC561D" w:rsidRDefault="00BC561D" w:rsidP="00BC561D">
      <w:pPr>
        <w:pStyle w:val="ListParagraph"/>
        <w:autoSpaceDE w:val="0"/>
        <w:autoSpaceDN w:val="0"/>
        <w:adjustRightInd w:val="0"/>
        <w:spacing w:after="0"/>
        <w:ind w:left="284"/>
        <w:rPr>
          <w:rFonts w:cs="Times New Roman"/>
          <w:szCs w:val="24"/>
        </w:rPr>
      </w:pPr>
      <w:r w:rsidRPr="00BC561D">
        <w:rPr>
          <w:rFonts w:cs="Times New Roman"/>
          <w:szCs w:val="24"/>
        </w:rPr>
        <w:t>Gerakan baru dalam aksi terorisme yang  nampak terjadi saat ini kemudian menjadikan perempuan sebagai aktor utama. Aksi teror yang dulunya seringkali berwajah maskulin dengan menggunakan pendekatan patriarkal, berbeda dengan belakangan ini yang memanfaatkan perempuan sebagai pelaku dengan  menggunakan pendekatan feminin. Meskipun perempuan adalah aktor dalam tindak teror, pada hakikatnya perempuan tetap menjadi korban dari ketidakberdayaan dan ketidaktahuan.  Kemudian hal itu secara terstuktur dimanfaatkan oleh pihak-pihak berekepentingan untuk tujuan terorisme. Dalam kasus-kasus terbaru perempuan bukan lagi sebagai peran pembantu yang menyiapkan logistik dan perlengkapan, namun sudah menjadi eksekutor dalam pasukan perang. Bahkan, menjadi aktor utama aksi terorisme.</w:t>
      </w:r>
      <w:r w:rsidRPr="00BC561D">
        <w:rPr>
          <w:rStyle w:val="FootnoteReference"/>
          <w:rFonts w:cs="Times New Roman"/>
          <w:szCs w:val="24"/>
        </w:rPr>
        <w:footnoteReference w:id="5"/>
      </w:r>
    </w:p>
    <w:p w:rsidR="00BC561D" w:rsidRPr="00BC561D" w:rsidRDefault="00BC561D" w:rsidP="00BC561D">
      <w:pPr>
        <w:pStyle w:val="ListParagraph"/>
        <w:autoSpaceDE w:val="0"/>
        <w:autoSpaceDN w:val="0"/>
        <w:adjustRightInd w:val="0"/>
        <w:spacing w:after="0"/>
        <w:ind w:left="284"/>
        <w:rPr>
          <w:rFonts w:cs="Times New Roman"/>
          <w:szCs w:val="24"/>
        </w:rPr>
      </w:pPr>
    </w:p>
    <w:p w:rsidR="00BC561D" w:rsidRPr="00BC561D" w:rsidRDefault="00BC561D" w:rsidP="00BC561D">
      <w:pPr>
        <w:pStyle w:val="ListParagraph"/>
        <w:autoSpaceDE w:val="0"/>
        <w:autoSpaceDN w:val="0"/>
        <w:adjustRightInd w:val="0"/>
        <w:spacing w:after="0"/>
        <w:ind w:left="284"/>
        <w:rPr>
          <w:rFonts w:cs="Times New Roman"/>
          <w:szCs w:val="24"/>
        </w:rPr>
      </w:pPr>
      <w:r w:rsidRPr="00BC561D">
        <w:rPr>
          <w:rFonts w:cs="Times New Roman"/>
          <w:szCs w:val="24"/>
        </w:rPr>
        <w:t xml:space="preserve">Namun sebagian besar literatur dan penelitian lama memfokuskan kajian radikalisme dan terorisme pada maskulinitas sosok laki-laki sebagai pelaku kekerasan. Kemudian kurang menampakkan perspektif gender tentang keterlibatan perempuan dalam kelompok-kelompok radikal. Sehingga terjadi kesalahpahaman bahwa tindakan ekstremisme dan terorisme hanya melibatkan perkara maskulinitas dan laki-laki. Sedangkan posisi perempuan hanya dianggap  sebagai pihak yang pasif, bawahan, dan hanya memiliki peran sebagai penggurus kebutuhan domestik rumah tangga. Pada kenyataannya beberapa faktor pendorong laki-laki tertibat dalam jaringan teroris sebenarnya juga menjadi </w:t>
      </w:r>
      <w:r w:rsidRPr="00BC561D">
        <w:rPr>
          <w:rFonts w:cs="Times New Roman"/>
          <w:szCs w:val="24"/>
        </w:rPr>
        <w:lastRenderedPageBreak/>
        <w:t xml:space="preserve">pendorong bagi perempuan.  Kesalahpahaman yang mengakar di masyarakat dianggapnya bahwa radikalisme dan ekstremisme merupakan tindakan eksklusif yang identik dengan dunia laki-laki. Hal ini dapat dilihat bahwa beberapa strategi terorisme sering dikonstruk dengan nuansa yang bias gender. Padahal sejatinya laki-laki dan perempuan sama-sama memiliki potensi melakukan tindakan ekstrimisme dan terorisme. Sebagaimana pula laki-laki dan perempuan juga sama-sama memiliki potensi dan peran yan sama dalam upaya pencegahan radikalisme dan terorisme. </w:t>
      </w:r>
    </w:p>
    <w:p w:rsidR="00BC561D" w:rsidRPr="00B70A44" w:rsidRDefault="00BC561D" w:rsidP="00BC561D">
      <w:pPr>
        <w:pStyle w:val="ListParagraph"/>
        <w:autoSpaceDE w:val="0"/>
        <w:autoSpaceDN w:val="0"/>
        <w:adjustRightInd w:val="0"/>
        <w:spacing w:after="0"/>
        <w:ind w:left="284"/>
        <w:rPr>
          <w:rFonts w:ascii="Gentium" w:hAnsi="Gentium" w:cs="Times New Roman"/>
          <w:szCs w:val="24"/>
        </w:rPr>
      </w:pPr>
    </w:p>
    <w:p w:rsidR="00BC561D" w:rsidRPr="00BC561D" w:rsidRDefault="00BC561D" w:rsidP="00BC561D">
      <w:pPr>
        <w:pStyle w:val="Heading2"/>
        <w:numPr>
          <w:ilvl w:val="0"/>
          <w:numId w:val="4"/>
        </w:numPr>
      </w:pPr>
      <w:r w:rsidRPr="00B70A44">
        <w:t>Faktor Perempuan Terlibat Aksi Radikalisme</w:t>
      </w:r>
    </w:p>
    <w:p w:rsidR="00BC561D" w:rsidRPr="00BC561D" w:rsidRDefault="00BC561D" w:rsidP="00BC561D">
      <w:pPr>
        <w:pStyle w:val="ListParagraph"/>
        <w:autoSpaceDE w:val="0"/>
        <w:autoSpaceDN w:val="0"/>
        <w:adjustRightInd w:val="0"/>
        <w:spacing w:after="0"/>
        <w:ind w:left="284"/>
        <w:rPr>
          <w:rFonts w:cs="Times New Roman"/>
          <w:szCs w:val="24"/>
        </w:rPr>
      </w:pPr>
      <w:r w:rsidRPr="00BC561D">
        <w:rPr>
          <w:rFonts w:cs="Times New Roman"/>
          <w:szCs w:val="24"/>
        </w:rPr>
        <w:t>Potensi perempuan sebagai sasaran untuk terlibat dalam radikalisasi dan tindak ekstrimis masih dianggap remeh oleh masyarakat dan kurang mendapatakan perhatian.. Hal tersebut menunjukkan bahwa perempuan memiliki peran penting yang dalam proses radikalisasi, namun masih belum memiliki perhatian dari berbagai pihak. Beberapa hal yang perlu diketahui tentang keterlibatan perempuan dengan  tindak radikalisme dan terorisme disebabkan oleh beberapa hal. Diantaranya: 1) Keterlibatan perempuan dalam strategi ISIS sebagai pelaku bom bunuh diri 2) Perempuan merupakan kelompok rentan,  kemudahan mengakses media sosial namun tidak memiliki kemampuan literasi yang baik sehingga mudah terpengaruh konten radikal yang diterima 3) Perempuan dalam kelompok buruh migran yang mengalami berbagai trauma psikologis membuat mereka mudah menerima pengaruh apapun yang dianggap dapat menolong hidup mereka 4) Tekanan sosial membuat mereka membutuhkan perlindungan diri, kemudian mendapatkan tempat di komunitas radikalisme.</w:t>
      </w:r>
      <w:r w:rsidRPr="00BC561D">
        <w:rPr>
          <w:rStyle w:val="FootnoteReference"/>
          <w:rFonts w:cs="Times New Roman"/>
          <w:szCs w:val="24"/>
        </w:rPr>
        <w:footnoteReference w:id="6"/>
      </w:r>
    </w:p>
    <w:p w:rsidR="00BC561D" w:rsidRPr="00BC561D" w:rsidRDefault="00BC561D" w:rsidP="00BC561D">
      <w:pPr>
        <w:pStyle w:val="ListParagraph"/>
        <w:autoSpaceDE w:val="0"/>
        <w:autoSpaceDN w:val="0"/>
        <w:adjustRightInd w:val="0"/>
        <w:spacing w:after="0"/>
        <w:ind w:left="284" w:firstLine="436"/>
        <w:rPr>
          <w:rFonts w:cs="Times New Roman"/>
          <w:szCs w:val="24"/>
        </w:rPr>
      </w:pPr>
    </w:p>
    <w:p w:rsidR="00BC561D" w:rsidRPr="00BC561D" w:rsidRDefault="00BC561D" w:rsidP="00BC561D">
      <w:pPr>
        <w:pStyle w:val="ListParagraph"/>
        <w:autoSpaceDE w:val="0"/>
        <w:autoSpaceDN w:val="0"/>
        <w:adjustRightInd w:val="0"/>
        <w:spacing w:after="0"/>
        <w:ind w:left="284"/>
        <w:rPr>
          <w:rFonts w:eastAsia="Times New Roman" w:cs="Times New Roman"/>
          <w:szCs w:val="24"/>
          <w:lang w:eastAsia="id-ID"/>
        </w:rPr>
      </w:pPr>
      <w:r w:rsidRPr="00BC561D">
        <w:rPr>
          <w:rFonts w:eastAsia="Times New Roman" w:cs="Times New Roman"/>
          <w:szCs w:val="24"/>
          <w:lang w:eastAsia="id-ID"/>
        </w:rPr>
        <w:t xml:space="preserve">Secara personal perempuan memimiliki ketertarikan untuk terlibat dalam aksi radikalisme dan terorisme karena beberapa faktor dan alasan yang mempengaruhi. Tulisan  menjelaskan  setidaknya  empat  faktor  mendorong  </w:t>
      </w:r>
      <w:r w:rsidRPr="00BC561D">
        <w:rPr>
          <w:rFonts w:eastAsia="Times New Roman" w:cs="Times New Roman"/>
          <w:szCs w:val="24"/>
          <w:lang w:eastAsia="id-ID"/>
        </w:rPr>
        <w:lastRenderedPageBreak/>
        <w:t xml:space="preserve">perempuan terlibat akasi raadikalime dan terorisme. </w:t>
      </w:r>
      <w:r w:rsidRPr="00BC561D">
        <w:rPr>
          <w:rFonts w:eastAsia="Times New Roman" w:cs="Times New Roman"/>
          <w:i/>
          <w:szCs w:val="24"/>
          <w:lang w:eastAsia="id-ID"/>
        </w:rPr>
        <w:t>Pertama</w:t>
      </w:r>
      <w:r w:rsidRPr="00BC561D">
        <w:rPr>
          <w:rFonts w:eastAsia="Times New Roman" w:cs="Times New Roman"/>
          <w:szCs w:val="24"/>
          <w:lang w:eastAsia="id-ID"/>
        </w:rPr>
        <w:t>,  faktor  agama.  Kelompok  fundamentalisme  sangat  masif  mempropagandakan  bahwa  umat  sedang  diserang dan berada pada kedholiman.  Umat  Islam  harus  bangkit  melawan.  Karena  berbagai propaganda  tersebut  sejumlah  perempuan  di  Inggris  terpengaruh  bergabung  dengan  ISIS.  Kebayakan termotivasi  secara  agama  untuk  membela  Islam  dari  musuh-musuh  Tuhan  yang  mereka  sebut thagut.  Bagi  kelompok perempuan  hal ini merupakan kesempatan  emas  menjadi  bagian  dari  aksi  bela  agama  sekaligus  menemukan  tujuan  hidup  bermakna  dalam persaudaraan perempuan khalifah.</w:t>
      </w:r>
      <w:r w:rsidRPr="00BC561D">
        <w:rPr>
          <w:rStyle w:val="FootnoteReference"/>
          <w:rFonts w:eastAsia="Times New Roman" w:cs="Times New Roman"/>
          <w:szCs w:val="24"/>
          <w:lang w:eastAsia="id-ID"/>
        </w:rPr>
        <w:footnoteReference w:id="7"/>
      </w:r>
    </w:p>
    <w:p w:rsidR="00BC561D" w:rsidRPr="00BC561D" w:rsidRDefault="00BC561D" w:rsidP="00BC561D">
      <w:pPr>
        <w:pStyle w:val="ListParagraph"/>
        <w:autoSpaceDE w:val="0"/>
        <w:autoSpaceDN w:val="0"/>
        <w:adjustRightInd w:val="0"/>
        <w:spacing w:after="0"/>
        <w:ind w:left="284" w:firstLine="436"/>
        <w:rPr>
          <w:rFonts w:eastAsia="Times New Roman" w:cs="Times New Roman"/>
          <w:i/>
          <w:szCs w:val="24"/>
          <w:lang w:eastAsia="id-ID"/>
        </w:rPr>
      </w:pPr>
    </w:p>
    <w:p w:rsidR="00BC561D" w:rsidRPr="00BC561D" w:rsidRDefault="00BC561D" w:rsidP="00BC561D">
      <w:pPr>
        <w:pStyle w:val="ListParagraph"/>
        <w:autoSpaceDE w:val="0"/>
        <w:autoSpaceDN w:val="0"/>
        <w:adjustRightInd w:val="0"/>
        <w:spacing w:after="0"/>
        <w:ind w:left="284"/>
        <w:rPr>
          <w:rFonts w:cs="Times New Roman"/>
          <w:szCs w:val="24"/>
        </w:rPr>
      </w:pPr>
      <w:r w:rsidRPr="00BC561D">
        <w:rPr>
          <w:rFonts w:eastAsia="Times New Roman" w:cs="Times New Roman"/>
          <w:i/>
          <w:szCs w:val="24"/>
          <w:lang w:eastAsia="id-ID"/>
        </w:rPr>
        <w:t>Kedua</w:t>
      </w:r>
      <w:r w:rsidRPr="00BC561D">
        <w:rPr>
          <w:rFonts w:eastAsia="Times New Roman" w:cs="Times New Roman"/>
          <w:szCs w:val="24"/>
          <w:lang w:eastAsia="id-ID"/>
        </w:rPr>
        <w:t xml:space="preserve">, faktor ideologis.  Ketertarikan perempuan  pada  ideologi  fundamentalisme  karena  kampanye idiologi memperjuangkan  keadilan. </w:t>
      </w:r>
      <w:r w:rsidRPr="00BC561D">
        <w:rPr>
          <w:rFonts w:eastAsia="Times New Roman" w:cs="Times New Roman"/>
          <w:i/>
          <w:szCs w:val="24"/>
          <w:lang w:eastAsia="id-ID"/>
        </w:rPr>
        <w:t>Ketiga,</w:t>
      </w:r>
      <w:r w:rsidRPr="00BC561D">
        <w:rPr>
          <w:rFonts w:eastAsia="Times New Roman" w:cs="Times New Roman"/>
          <w:szCs w:val="24"/>
          <w:lang w:eastAsia="id-ID"/>
        </w:rPr>
        <w:t xml:space="preserve">  faktor  pribadi.  Buku Bride of ISIS menjelaskan sejumlah perempuan Eropa berhasil dihipnotis oleh  ISIS  melalui konten internet.  Para  perempuan  tersebut  dibujuk  meninggalkan   negaranya dan menjadi istri teroris. Sebagian lainnya dibujuk melakukan aksi-aksi teror di negara masing-masing. Keempat,   faktor   politis.   Persoalan kemiskinan,   ketimpangan   sosial,   dan  kasus-kasus diskriminasi  merupakan narasi  yang  kerap  disuarakan  gerakan  fundamentalisme untuk kemudian dijadikan sebagai alat melakukan tindakan radikalisme.</w:t>
      </w:r>
      <w:r w:rsidRPr="00BC561D">
        <w:rPr>
          <w:rStyle w:val="FootnoteReference"/>
          <w:rFonts w:eastAsia="Times New Roman" w:cs="Times New Roman"/>
          <w:szCs w:val="24"/>
          <w:lang w:eastAsia="id-ID"/>
        </w:rPr>
        <w:footnoteReference w:id="8"/>
      </w:r>
      <w:r w:rsidRPr="00BC561D">
        <w:rPr>
          <w:rFonts w:eastAsia="Times New Roman" w:cs="Times New Roman"/>
          <w:szCs w:val="24"/>
          <w:lang w:eastAsia="id-ID"/>
        </w:rPr>
        <w:t xml:space="preserve">  Dengan    beberapa narasi    yang   tersebut    para    perempuan    kemudian    memobilisasi  dan mengasah potensi  mereka untuk melakukan kekerasan  politik  (political violence) melawan  negara  dan  kelompok  yang  berbeda. Strategi  radikal  dan ekstrim yang dikembangkan kelompok fundamentalisme banyak menarik perempuan melakukan perlawanan terhadap negara dan rezim yang berkuasa. Dalam konteks Indonesia, kekalahan secara politik bagi dukungan kelompok keagamaan fundamental dalam beberapa  tahun terakhir mendorong menguatnya gerakan fundamentalisme. Narasi yang  mereka </w:t>
      </w:r>
      <w:r w:rsidRPr="00BC561D">
        <w:rPr>
          <w:rFonts w:eastAsia="Times New Roman" w:cs="Times New Roman"/>
          <w:szCs w:val="24"/>
          <w:lang w:eastAsia="id-ID"/>
        </w:rPr>
        <w:lastRenderedPageBreak/>
        <w:t xml:space="preserve">gemakan adalah propaganda bahwa umat Islam dalam kondisi tertindas dan marjinal. </w:t>
      </w:r>
      <w:r w:rsidRPr="00BC561D">
        <w:rPr>
          <w:rFonts w:cs="Times New Roman"/>
          <w:szCs w:val="24"/>
        </w:rPr>
        <w:t xml:space="preserve"> </w:t>
      </w:r>
    </w:p>
    <w:p w:rsidR="00BC561D" w:rsidRPr="00BC561D" w:rsidRDefault="00BC561D" w:rsidP="00BC561D">
      <w:pPr>
        <w:autoSpaceDE w:val="0"/>
        <w:autoSpaceDN w:val="0"/>
        <w:adjustRightInd w:val="0"/>
        <w:spacing w:after="0"/>
        <w:rPr>
          <w:rFonts w:cs="Times New Roman"/>
          <w:b/>
          <w:szCs w:val="24"/>
        </w:rPr>
      </w:pPr>
    </w:p>
    <w:p w:rsidR="00BC561D" w:rsidRPr="00BC561D" w:rsidRDefault="00BC561D" w:rsidP="00BC561D">
      <w:pPr>
        <w:autoSpaceDE w:val="0"/>
        <w:autoSpaceDN w:val="0"/>
        <w:adjustRightInd w:val="0"/>
        <w:spacing w:after="0"/>
        <w:ind w:left="284"/>
        <w:rPr>
          <w:rFonts w:cs="Times New Roman"/>
          <w:szCs w:val="24"/>
        </w:rPr>
      </w:pPr>
      <w:r w:rsidRPr="00BC561D">
        <w:rPr>
          <w:rFonts w:cs="Times New Roman"/>
          <w:szCs w:val="24"/>
        </w:rPr>
        <w:t>Kembali kepada Qur’an dan Hadist yang digaungkan kelompok fundamental sebagai argumen purifikasi Islam, kemudian digunakan menegaskan beberapa perbedaan laki-laki dan perempuan. Dalam konteks ajaran radikalisme, ajaran ini dimanfaatkan untuk mendoktrin perempuan untuk kembali pada firtrahnya dalam ajaran agama. Dalam hal ini kembali kepada ajaran agama berarti mengembalikan perempuan kepada pekerjaan domenstik. Beberapa legitimasi hukum agama menuntut perempuan memiliki kesetiaan, kepatuhan, loyalitas dan totalitas terhadap suami. Dengan demikian, perempuan tunduk pada ideologi legitimasi agama yang demikian. Kemudian membawa perempuan pada ideologi jihad yang dinarasikan oleh ISIS sebagai kewajiban semua Muslim baik laki-laki maupun perempuan, menjadi salah satu faktor dominan keterlibatan perempuan dalam aksi radikalisme.</w:t>
      </w:r>
      <w:r w:rsidRPr="00BC561D">
        <w:rPr>
          <w:rStyle w:val="FootnoteReference"/>
          <w:rFonts w:cs="Times New Roman"/>
          <w:szCs w:val="24"/>
        </w:rPr>
        <w:footnoteReference w:id="9"/>
      </w:r>
      <w:r w:rsidRPr="00BC561D">
        <w:rPr>
          <w:rFonts w:cs="Times New Roman"/>
          <w:szCs w:val="24"/>
        </w:rPr>
        <w:t xml:space="preserve"> </w:t>
      </w:r>
    </w:p>
    <w:p w:rsidR="00BC561D" w:rsidRPr="00BC561D" w:rsidRDefault="00BC561D" w:rsidP="00BC561D">
      <w:pPr>
        <w:autoSpaceDE w:val="0"/>
        <w:autoSpaceDN w:val="0"/>
        <w:adjustRightInd w:val="0"/>
        <w:spacing w:after="0"/>
        <w:rPr>
          <w:rFonts w:cs="Times New Roman"/>
          <w:szCs w:val="24"/>
        </w:rPr>
      </w:pPr>
    </w:p>
    <w:p w:rsidR="00BC561D" w:rsidRPr="00BC561D" w:rsidRDefault="00BC561D" w:rsidP="00BC561D">
      <w:pPr>
        <w:autoSpaceDE w:val="0"/>
        <w:autoSpaceDN w:val="0"/>
        <w:adjustRightInd w:val="0"/>
        <w:spacing w:after="0"/>
        <w:ind w:left="284"/>
        <w:rPr>
          <w:rFonts w:cs="Times New Roman"/>
          <w:szCs w:val="24"/>
        </w:rPr>
      </w:pPr>
      <w:r w:rsidRPr="00BC561D">
        <w:rPr>
          <w:rFonts w:cs="Times New Roman"/>
          <w:szCs w:val="24"/>
        </w:rPr>
        <w:t>Mensubordinasi perempuan dalam budaya patriarkhi diperparah dengan doktrin kepatuhan terhadap suami sebagai pemimpin keluarga dalam legitimasi agama tentang kepemimpinan laki-laki atas peremuan, serta hadis Nabi tentang larangan perempuan menjadi pemimpin. Dalam analisis perspektif feminisme terlihat bahwa pada umumnya perempuan berada pada posisi kelas dua, marjinal hanya ditentukan oleh laki-laki. Kemudian mengantarakan banyak perempuan yang rela dijadikan isteri seorang teroris, untuk mendapatkan jalan pahala jihad sebagai pengantin bom bunuh diri.</w:t>
      </w:r>
      <w:r w:rsidRPr="00BC561D">
        <w:rPr>
          <w:rStyle w:val="FootnoteReference"/>
          <w:rFonts w:cs="Times New Roman"/>
          <w:szCs w:val="24"/>
        </w:rPr>
        <w:footnoteReference w:id="10"/>
      </w:r>
      <w:r w:rsidRPr="00BC561D">
        <w:rPr>
          <w:rFonts w:cs="Times New Roman"/>
          <w:szCs w:val="24"/>
        </w:rPr>
        <w:t xml:space="preserve"> Beberapa kasus dalam catatan perempuan dalam aksi terorisme diantaranya kasus Dian Novita Yuli, Puji Kiswati, Ummu Delima, dan Ika Puspita Sari. Perempuan tersebut direkrut melalui beberapa motif diantaranya pernikahan dan suami sendiri yang melakukan upaya terencana menanamkan ideologi radikal. Sengaja dinikahi untuk selanjutnya </w:t>
      </w:r>
      <w:r w:rsidRPr="00BC561D">
        <w:rPr>
          <w:rFonts w:cs="Times New Roman"/>
          <w:szCs w:val="24"/>
        </w:rPr>
        <w:lastRenderedPageBreak/>
        <w:t>didoktrin ideologi radikal. Pernikahan mereka sebagian berlangsung secara normal, namun ada beberapa yang menikah dalam penjara. Sebagian lagi dinikahi belakangan setelah mereka menerima doktrin radikal tersebut. Ada juga yang  mendapatkan indoktrinasi yang masif dari teman suami atau sesama perempuan yang terlebih dahulu aktif dalam jaringan radikal.</w:t>
      </w:r>
      <w:r w:rsidRPr="00BC561D">
        <w:rPr>
          <w:rStyle w:val="FootnoteReference"/>
          <w:rFonts w:cs="Times New Roman"/>
          <w:szCs w:val="24"/>
        </w:rPr>
        <w:footnoteReference w:id="11"/>
      </w:r>
    </w:p>
    <w:p w:rsidR="00BC561D" w:rsidRPr="00BC561D" w:rsidRDefault="00BC561D" w:rsidP="00BC561D">
      <w:pPr>
        <w:autoSpaceDE w:val="0"/>
        <w:autoSpaceDN w:val="0"/>
        <w:adjustRightInd w:val="0"/>
        <w:spacing w:after="0"/>
        <w:ind w:left="284" w:firstLine="436"/>
        <w:rPr>
          <w:rFonts w:cs="Times New Roman"/>
          <w:szCs w:val="24"/>
        </w:rPr>
      </w:pPr>
    </w:p>
    <w:p w:rsidR="00BC561D" w:rsidRPr="00BC561D" w:rsidRDefault="00BC561D" w:rsidP="00BC561D">
      <w:pPr>
        <w:pStyle w:val="ListParagraph"/>
        <w:autoSpaceDE w:val="0"/>
        <w:autoSpaceDN w:val="0"/>
        <w:adjustRightInd w:val="0"/>
        <w:spacing w:after="0"/>
        <w:ind w:left="284"/>
        <w:rPr>
          <w:rFonts w:cs="Times New Roman"/>
          <w:szCs w:val="24"/>
        </w:rPr>
      </w:pPr>
      <w:r w:rsidRPr="00BC561D">
        <w:rPr>
          <w:rFonts w:cs="Times New Roman"/>
          <w:szCs w:val="24"/>
        </w:rPr>
        <w:t>Beberapa kasus lain di dunia Internasional Vera Zasulich, seorang perempuan Rusia anggota dari kelompok revolusioner Narodnaya Volia melakukan aksi teror dengan mencoba membunuh Trepov Gubernur St. Petersburg. Selain itu di Rusia, Irlandia Utara terdapat IRA yaitu organisasi yang menuntut independensi Irlandia dari Kerajaan Inggris. Kemudian melibatkan para perempuan dalam aksi-aksi teror mereka. Mariana dan Dolores dua nama yang tercatat sebagai perempuan pemberani yang turut dalam aksi pengeboman Tahun 1973. Mereka dijatuhi hukuman seumur hidup atas pengeboman di Old Bailey. Keterangan Lindsey O’Rourke dari University of Chicago dalam catatanya sejak tahun 1980 di Lebanon perempuan ambil andil dalam aksi terorisme untuk mengusir pasukan Israel. Sementara itu di Chechnya mulai tahun 2000 kelompok Black Widows berani melakukan aksi serangan bunuh diri sebagai balas dendam atas kematian suami mereka.</w:t>
      </w:r>
      <w:r w:rsidRPr="00BC561D">
        <w:rPr>
          <w:rStyle w:val="FootnoteReference"/>
          <w:rFonts w:cs="Times New Roman"/>
          <w:szCs w:val="24"/>
        </w:rPr>
        <w:footnoteReference w:id="12"/>
      </w:r>
      <w:r w:rsidRPr="00BC561D">
        <w:rPr>
          <w:rFonts w:cs="Times New Roman"/>
          <w:szCs w:val="24"/>
        </w:rPr>
        <w:t xml:space="preserve"> </w:t>
      </w:r>
    </w:p>
    <w:p w:rsidR="00BC561D" w:rsidRPr="00BC561D" w:rsidRDefault="00BC561D" w:rsidP="00BC561D">
      <w:pPr>
        <w:pStyle w:val="ListParagraph"/>
        <w:autoSpaceDE w:val="0"/>
        <w:autoSpaceDN w:val="0"/>
        <w:adjustRightInd w:val="0"/>
        <w:spacing w:after="0"/>
        <w:ind w:left="284"/>
        <w:rPr>
          <w:rFonts w:cs="Times New Roman"/>
          <w:szCs w:val="24"/>
        </w:rPr>
      </w:pPr>
    </w:p>
    <w:p w:rsidR="00BC561D" w:rsidRPr="00BC561D" w:rsidRDefault="00BC561D" w:rsidP="00BC561D">
      <w:pPr>
        <w:pStyle w:val="ListParagraph"/>
        <w:autoSpaceDE w:val="0"/>
        <w:autoSpaceDN w:val="0"/>
        <w:adjustRightInd w:val="0"/>
        <w:spacing w:after="0"/>
        <w:ind w:left="284"/>
        <w:rPr>
          <w:rFonts w:cs="Times New Roman"/>
          <w:szCs w:val="24"/>
        </w:rPr>
      </w:pPr>
      <w:r w:rsidRPr="00BC561D">
        <w:rPr>
          <w:rFonts w:cs="Times New Roman"/>
          <w:szCs w:val="24"/>
        </w:rPr>
        <w:t xml:space="preserve">Hal ini menunjukkan bahwa keterlibtan perempuan dalam aksi radikalisme karena banyak tekanan psikologis yang dialami.  Kebanyakan perempuan tersebut mengalami kekecewaan yang amat dalam, putus asa, mengalami gangguan jiwa, ditekan oleh laki-laki atas nama agama, frustrasi dengan kondisi, ketidaksetaraan dan ketidakadilan gender yang ketimpangan sosial di lingkungan mereka dan lain sebagainya. Faktor lain menyebutkan karena faktor perempuan kurang dicurigai oleh masyarakat dan lingkungan. Lazimnya, perempuan menjalani proses pemeriksaan tidak lebih ketat daripada laki-laki saat berhadapan dengan petugas keamanan. Mereka sering kali dianggap tidak </w:t>
      </w:r>
      <w:r w:rsidRPr="00BC561D">
        <w:rPr>
          <w:rFonts w:cs="Times New Roman"/>
          <w:szCs w:val="24"/>
        </w:rPr>
        <w:lastRenderedPageBreak/>
        <w:t>membahayakan sehingga petugas keamanan lengah dan insiden pengeboman yang dilakukan perempuan pun tidak terelakkan.</w:t>
      </w:r>
    </w:p>
    <w:p w:rsidR="00BC561D" w:rsidRPr="00B70A44" w:rsidRDefault="00BC561D" w:rsidP="00BC561D">
      <w:pPr>
        <w:spacing w:after="0"/>
        <w:rPr>
          <w:rFonts w:ascii="Gentium" w:hAnsi="Gentium" w:cs="Times New Roman"/>
          <w:szCs w:val="24"/>
        </w:rPr>
      </w:pPr>
    </w:p>
    <w:p w:rsidR="00BC561D" w:rsidRPr="00B70A44" w:rsidRDefault="00BC561D" w:rsidP="00BC561D">
      <w:pPr>
        <w:pStyle w:val="Heading1"/>
      </w:pPr>
      <w:r w:rsidRPr="00B70A44">
        <w:t>Pemberdayaan Perempuan  Sebagai Upaya Pencegahan Radikalisme</w:t>
      </w:r>
    </w:p>
    <w:p w:rsidR="00BC561D" w:rsidRPr="00B70A44" w:rsidRDefault="00BC561D" w:rsidP="00BC561D">
      <w:pPr>
        <w:pStyle w:val="ListParagraph"/>
        <w:autoSpaceDE w:val="0"/>
        <w:autoSpaceDN w:val="0"/>
        <w:adjustRightInd w:val="0"/>
        <w:spacing w:after="0"/>
        <w:ind w:left="284"/>
        <w:rPr>
          <w:rFonts w:ascii="Gentium" w:hAnsi="Gentium" w:cs="Times New Roman"/>
          <w:b/>
          <w:szCs w:val="24"/>
        </w:rPr>
      </w:pPr>
    </w:p>
    <w:p w:rsidR="00BC561D" w:rsidRPr="00BC561D" w:rsidRDefault="00BC561D" w:rsidP="00BC561D">
      <w:r w:rsidRPr="00B70A44">
        <w:t xml:space="preserve">Turut ikut serta dalam upaya menjaga persatuan, perdamaian, dari ancaman kekerasan dan kerusakan adalah tanggung jawab semua pihak tanpa memandang agama, suku dan jenis kelamin. Adapun bila terjadi kekerasan akan berdampak kepada siapa saja tidak memandang  memandang agama, suku dan jenis kelamin. Oleh karenaya langkah pencegahan perlu diambil oleh semua pihak termasuk perempuan. Perempuan sebagai warna negara memiliki hak, kewajiban dan kesempatan yang sama dengan laki-laki untuk berperan dalam kehidupan berbangsa dan bernegara. Sehubungan dengan hal tersebut, maka kedudukan dan peran perempuan perlu ditingkatkan diberi fasilitas kesempatan dan ruang yang sama di publik dalam turut serta membangun peradaban. </w:t>
      </w:r>
    </w:p>
    <w:p w:rsidR="00BC561D" w:rsidRPr="00B70A44" w:rsidRDefault="00BC561D" w:rsidP="00BC561D">
      <w:r w:rsidRPr="00B70A44">
        <w:t>Menurut Yohana Susana Yembise, Menteri Pemberdayaan Perempuan dan Perlindungan Anak menyebut pemerintah memiliki tanggungjawab untuk partisipasi perempuan diseluruh sektor hingga 50 persen atau meliki posisi seimbang dengan laki-laki di tahun 2030. Perserikatan Bangsa-Bangsa menurut Yohana melihat mempunyai potensi besar dalam pencapaian di tahap itu. Sebagai negera dengan penduduk mayoritas beragama Islam, Indonesia telah menempatkan perempuan di kursi pimpinan. Hal ini tak terjadi di negara Islam lain di Timur Tengah.</w:t>
      </w:r>
      <w:r w:rsidRPr="00B70A44">
        <w:rPr>
          <w:rStyle w:val="FootnoteReference"/>
          <w:rFonts w:ascii="Gentium" w:hAnsi="Gentium" w:cs="Times New Roman"/>
          <w:szCs w:val="24"/>
        </w:rPr>
        <w:footnoteReference w:id="13"/>
      </w:r>
      <w:r w:rsidRPr="00B70A44">
        <w:t xml:space="preserve"> Dalam konteks deradikalisasi paham keagamaan, melibatkan prinsip kesetaraan gender harus menjadi salah satu aspek yang tak tertinggalakan dalam kebijakan pemerintah dalam menenggulangi radikalisme dan terorisme. </w:t>
      </w:r>
    </w:p>
    <w:p w:rsidR="00BC561D" w:rsidRPr="00B70A44" w:rsidRDefault="00BC561D" w:rsidP="00BC561D">
      <w:r w:rsidRPr="00B70A44">
        <w:t xml:space="preserve">Membicarakan peran perempuan dalam deradikalisasi, Direktur Institut Analisi Kebijakan Konflik (IPAC) Sidney Jones menuturkan Indonesia melalui Badan </w:t>
      </w:r>
      <w:r w:rsidRPr="00B70A44">
        <w:lastRenderedPageBreak/>
        <w:t>Nasional Penanggulangan Terorisme (BNPT) atau Kepolisian, diperlukan membuat program deradikalisasi untuk perempuan dan anak. Menurut Sidney, Indonesia harus membentuk program khusus untuk perempuan dalam mencegah radikalisasi, utamanya untuk memberdayakan perempuan agar mampu mecegah masuknya nilai-nilai radikalisme dan terorisme dalam keluarga. Karena mayoritas kebijakan seringkali hanya terfokus pada laki-laki saat berbicara radikalisasi dan terorisme.</w:t>
      </w:r>
      <w:r w:rsidRPr="00B70A44">
        <w:rPr>
          <w:rStyle w:val="FootnoteReference"/>
          <w:rFonts w:ascii="Gentium" w:hAnsi="Gentium" w:cs="Times New Roman"/>
          <w:szCs w:val="24"/>
        </w:rPr>
        <w:footnoteReference w:id="14"/>
      </w:r>
    </w:p>
    <w:p w:rsidR="00BC561D" w:rsidRPr="00B70A44" w:rsidRDefault="00BC561D" w:rsidP="00BC561D">
      <w:r w:rsidRPr="00B70A44">
        <w:t xml:space="preserve">Dalam upaya deradikalisasi melibatkan perempuan dalam deteksi dini radikalisasi dinilai merupakan cara yang mampu efektif. Hal ini didasari fakta bahwa perempuan memainkan peran vital dalam keluarga, dan berperan dalam pembentukan karakter anak-anak. Perempuan juga mampu menawarkan perspektif yang beragam dalam memecahkan persoalan. Selain itu perempuan dapat menjadi agen perdamaian yang kontraterorisme dengan meciptakan strategi berbasis komunitas. Melalui komunitas perempuan tersebut mereka diberdayakan sebagai aktor untuk deteksi dini radikalisme. Ada tiga hal yang perlu diperhatikan agar perempuan menjadi agen perdamaian. </w:t>
      </w:r>
      <w:r w:rsidRPr="00B70A44">
        <w:rPr>
          <w:i/>
        </w:rPr>
        <w:t>Pertama</w:t>
      </w:r>
      <w:r w:rsidRPr="00B70A44">
        <w:t xml:space="preserve">, reduksi ketidakadilan dan ketidaksetaraan gender serta memberikan perempuan peran yang lebih besar untuk berpartisipasi dalam berbagai bidang sosial. </w:t>
      </w:r>
      <w:r w:rsidRPr="00B70A44">
        <w:rPr>
          <w:i/>
        </w:rPr>
        <w:t>Kedua</w:t>
      </w:r>
      <w:r w:rsidRPr="00B70A44">
        <w:t>, penguatan kesetahteraan multisektoral perempuan. Ketiga, menjadikan perempuan sebagai lokomotif terdepan dalam pendidikan agama moderat.</w:t>
      </w:r>
      <w:r w:rsidRPr="00B70A44">
        <w:rPr>
          <w:rStyle w:val="FootnoteReference"/>
          <w:rFonts w:ascii="Gentium" w:hAnsi="Gentium" w:cs="Times New Roman"/>
          <w:szCs w:val="24"/>
        </w:rPr>
        <w:footnoteReference w:id="15"/>
      </w:r>
    </w:p>
    <w:p w:rsidR="00BC561D" w:rsidRDefault="00BC561D" w:rsidP="00BC561D">
      <w:r w:rsidRPr="00B70A44">
        <w:rPr>
          <w:i/>
        </w:rPr>
        <w:t>Ketiga</w:t>
      </w:r>
      <w:r w:rsidRPr="00B70A44">
        <w:t>, kunci upaya pemberdayaan perempuan tersebut dilaksakan oleh Badan Nasional Penanggulangan Terorisme (BNPT) dengan menggandeng beberapa oraganisasi perempuan dari kelompok perempuan Muhammadiyah,  Fatayat NU, Muslimat NU serta LSM Perempuan dalam upaya pencegahan radikalisme dengan pendidikan agama moderat berbasis keluarga. Kerjasama tersebut dalam rangka membentengi keluraga dan lingkungan agar tidak terpapar idiologi radikalisme dan terorisme.</w:t>
      </w:r>
      <w:r w:rsidRPr="00B70A44">
        <w:rPr>
          <w:rStyle w:val="FootnoteReference"/>
          <w:rFonts w:ascii="Gentium" w:hAnsi="Gentium" w:cs="Times New Roman"/>
          <w:szCs w:val="24"/>
        </w:rPr>
        <w:footnoteReference w:id="16"/>
      </w:r>
      <w:r w:rsidRPr="00B70A44">
        <w:t xml:space="preserve"> </w:t>
      </w:r>
    </w:p>
    <w:p w:rsidR="00BC561D" w:rsidRPr="00BC561D" w:rsidRDefault="00BC561D" w:rsidP="00BC561D">
      <w:r w:rsidRPr="00B70A44">
        <w:lastRenderedPageBreak/>
        <w:t xml:space="preserve">Penguatan perempuan yang merupakan perhatian utama dalam perjuangan organisasi-organisasi perempuan Indonesia, sangat terkait memperhatikan metode dan strategi upaya mendekonstruksi relasi gender dan  merevisi hirarki gender dalam masyarakat. Upaya penguatan perempuan bergantung pada independensi mereka dalam bidanga politik, sosial, ekomoni, sebagai bagian partisipatif aktif mereka dalam ranah politik dan publik. Dalam konteks radikalisme dan terorisme yan berasala daripada penyalahgunaan ajaran agama, khususnya Islam, perempun Indonesia sebenarnya sudah berada pada posisi yang menguntungkan. Organisasi-organisasi perempuan Muslim dengan kerja-kerja mereka dala memeberi advokasi hak-hak perempuan telah berjalan masif dan efektif. Dengan dukungan dari banyak pihak, organisasi perempuan Muslim giat melakukan pembacaan ulang terhadap ayat-ayat Qur’an dan sumber hukum Islam lainnya untuk memperjuangkan ide-ide kesetaran gender dan keadilan. </w:t>
      </w:r>
    </w:p>
    <w:p w:rsidR="00BC561D" w:rsidRDefault="00BC561D" w:rsidP="00BC561D">
      <w:r w:rsidRPr="00B70A44">
        <w:t>Sejumlah aktivis peremuan Muslim di Indoensia telah memiliki jaringan internassional dan kerap melakukan pertukaran informasi terkait perempuan dan usaha perdamaian. Para perempuan aktif menyampaikan ide-ide dan pandangan adil gender yang diggas oleh figur-figur mapan seperti Amina Wadud, Fatima Mernisi, Zibra Mir Hoesaiani. Beberapa pandanganya mengarah pada interpretasi fundamental yang berdampak pada implikasinya terhadap hukum Islam yang kemudian menghasilkan produk hukum hegemoni patrialkal. Indonesia memiliki banyak intelektual perempuan yang memiliki kepedulian dalam isu kesetaraan perempuan dalam upaya deradikalisasi dan penganggulangan terorisme. Diantaranya Siti Musdah Mulia, Neng Dara Affiah, Badriyah Fayumi, dan Liem Marcoes Natsir.  Para cendekiawan ini berargumen soal pentingnya rekontruksi nilai-nilai agama yang bias gender dan terhegemoni oleh nilai-nilai patriarkal. Hal tersebut bertujuan agar lebih memudahakan pemberdayaan perempuan sehingga perdamaian akan lebih mudah diwujudkan.</w:t>
      </w:r>
      <w:r w:rsidRPr="00B70A44">
        <w:rPr>
          <w:rStyle w:val="FootnoteReference"/>
          <w:rFonts w:ascii="Gentium" w:hAnsi="Gentium" w:cs="Times New Roman"/>
          <w:szCs w:val="24"/>
        </w:rPr>
        <w:footnoteReference w:id="17"/>
      </w:r>
    </w:p>
    <w:p w:rsidR="00BC561D" w:rsidRPr="00BC561D" w:rsidRDefault="00BC561D" w:rsidP="00BC561D">
      <w:r w:rsidRPr="00B70A44">
        <w:lastRenderedPageBreak/>
        <w:t xml:space="preserve">Dengan demikian dapat dipahami bahwa kedudukan perempuan dalam masyarakat, berbangsa dan bernegara mampu memberikan peran dalam pembangunan peradaban. Serta partisipatif dalam upaya menciptakan perdamaian. Hanya karena kurangnya akses dan fasilitas karena terhegemoni oleh budaya patriarkal yang mengakar kuat dimasyarakat yang memjadikan perempuan kelompok rentan, tidak berdaya dan tidak punya kemandirian intelektual, sehingga mudah terpengaruh oleh narasai radikalisasi dan terorisme. Padahal faktanya, jika perempuan mendapatkan akses dan ruang yang baik dalam wilayah publik perempuan mampu menjadi agent of peace, pembangunan peradaban, dan mengembangkan sumber daya berkualitas, melalui peningkatan penguasaan ilmu pengetahuan, teknologi dan pengembangan keterampilan perempuan. </w:t>
      </w:r>
    </w:p>
    <w:p w:rsidR="00BC561D" w:rsidRPr="00BC561D" w:rsidRDefault="00BC561D" w:rsidP="00BC561D">
      <w:pPr>
        <w:pStyle w:val="Heading1"/>
      </w:pPr>
      <w:r w:rsidRPr="00B70A44">
        <w:t>Penutup</w:t>
      </w:r>
    </w:p>
    <w:p w:rsidR="00BC561D" w:rsidRPr="00B70A44" w:rsidRDefault="00BC561D" w:rsidP="00BC561D">
      <w:r w:rsidRPr="00B70A44">
        <w:t xml:space="preserve">Modus baru aksi radikalisme dan terorisme atas nama etnis, agama dan menjadikan perempuan sebagai pelaku. Berbicara perempuan dan radikalisme tidak hanya melihat perempuan sebagai pelaku dan korban radikalisme.  Namun perempuan mampu berperan secara aktif dan kolektif sebagai seorang yang terlibat dalam upaya pencegahan radikalisme. Tidak adil  jika hanya melihat perempuan sebagai kelompok rentan dan tidak berdaya dalam kasus radikalisme dan teroriseme. Adapaun penyebab perempuan menjadi kelompok yang rentan dalam beberapa kasus radiklisme dan terorisme dikarenakan adanya hegemoni budaya patriaki dalam lingkungan hidup perempuan. Sehingga perempuan dimanfaatkan oleh kelompok radikal untuk diindoktrinasi melakukan teror. Perempuan dipilih sebagai martir karena faktor keterpaksaan menerima berbagai desakan dari lingkungan, hingga desakan kondisi ekonomi yang dibebankan perempuan. Secara kultural kepatuhan pada suami juga menjadi sebab perempuan masuk dalam gerakan radikalisme. </w:t>
      </w:r>
    </w:p>
    <w:p w:rsidR="00BC561D" w:rsidRPr="00BC561D" w:rsidRDefault="00BC561D" w:rsidP="00BC561D">
      <w:r w:rsidRPr="00BC561D">
        <w:t xml:space="preserve">Fakta menunjukkan bahwa dengan memberdayaan perempuan dalam upaya deradikalisasi dan deteksi dini radikalisasi dinilai merupakan cara yang mampu efektif. Hal ini didasari fakta bahwa perempuan memainkan peran vital dalam keluarga, dan berperan dalam pembentukan karakter anak-anak. Perempuan juga </w:t>
      </w:r>
      <w:r w:rsidRPr="00BC561D">
        <w:lastRenderedPageBreak/>
        <w:t>mampu menawarkan perspektif yang beragam dalam memecahkan persoalan. Selain itu perempuan dapat menjadi agen perdamaian yang kontraterorisme dengan meciptakan langkah strategi dan efektif berbasis komunitas. Melalui komunitas perempuan tersebut mereka diberdayakan sebagai aktor untuk deteksi dini radikalisme. Pemerintah melalui BNPT dalam uapaya deradikalisasi melibatkan perempuan dalam proses deradikalisasi. BNPT dalam upaya ini melibatkan organisasi perempuan, Fatayat NU dan Aisiyah sebagai organisasi keislaman perempuan. Dalam prosesnya BNPT menggunakan pendekatan feminisme kultural dalam melibatkan perempuan pada serangkaian proses deradikalisasi Dengan demikian dapat dipahami bahwa kedudukan perempuan dalam masyarakat, berbangsa dan bernegara mampu memberikan peran dalam pembangunan peradaban. Serta partisipatif dalam upaya menciptakan perdamaian</w:t>
      </w:r>
    </w:p>
    <w:p w:rsidR="00BC561D" w:rsidRPr="00BC561D" w:rsidRDefault="00BC561D" w:rsidP="00BC561D">
      <w:r w:rsidRPr="00B70A44">
        <w:t xml:space="preserve">Sangat penting bagi semua elemen dalam masyarakat, khususnya pemimpin agama dan ormas keislaman dan juga perempuan untuk mengkampayekan ajaran agama yang mengedepankan nilai-nilai humanis, keadilan, kesetaraan, toleransi dan perdamaian. Sebab, esensi dari tiap-tiap ajarana agama adalah memanusiakan manusia dan membangun masyarakat yang berkeadilan dan berkeadaban. Islam seharusnya menjadi rahmat bagi semua makhluk di alam semesta </w:t>
      </w:r>
      <w:r w:rsidRPr="00B70A44">
        <w:rPr>
          <w:i/>
        </w:rPr>
        <w:t>(rahmatan lil ‘alamin)</w:t>
      </w:r>
      <w:r w:rsidRPr="00B70A44">
        <w:t xml:space="preserve">. </w:t>
      </w:r>
    </w:p>
    <w:p w:rsidR="00BC561D" w:rsidRPr="00B70A44" w:rsidRDefault="00BC561D" w:rsidP="00BC561D">
      <w:pPr>
        <w:pStyle w:val="Heading1"/>
      </w:pPr>
      <w:r w:rsidRPr="00B70A44">
        <w:t>Daftar Pustaka</w:t>
      </w:r>
    </w:p>
    <w:p w:rsidR="00BC561D" w:rsidRPr="00B70A44" w:rsidRDefault="00BC561D" w:rsidP="00BC561D">
      <w:pPr>
        <w:pStyle w:val="ListParagraph"/>
        <w:autoSpaceDE w:val="0"/>
        <w:autoSpaceDN w:val="0"/>
        <w:adjustRightInd w:val="0"/>
        <w:spacing w:after="0"/>
        <w:ind w:left="284"/>
        <w:rPr>
          <w:rFonts w:ascii="Gentium" w:hAnsi="Gentium" w:cs="Times New Roman"/>
          <w:szCs w:val="24"/>
        </w:rPr>
      </w:pP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Alamsyah M. Djakfar dkk, Intoleransi dan Radikalisme di Kalangan Perempuan Riset Lima Wilayah: Bogor, Depok, Solo Raya, Malang, Sumenep, Jakarta: CSIS-The Wahid Foundation, 2017</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Christin Rajagukguk, Feminisme Kultural dan Peran Perempuan dalam Deradikalisasi di Indonesia, Journal of International Relations, Volume 4, Nomor 4, 2018,</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 xml:space="preserve">Musdah Mulia, Ensiklopedia Muslimah Reformis: </w:t>
      </w:r>
      <w:r w:rsidRPr="00B70A44">
        <w:rPr>
          <w:rFonts w:ascii="Gentium" w:hAnsi="Gentium" w:cs="Times New Roman"/>
          <w:i/>
          <w:sz w:val="24"/>
          <w:szCs w:val="24"/>
        </w:rPr>
        <w:t>Pokok-Pokok Pemikiran untuk Reinterpretasi dan Aksi</w:t>
      </w:r>
      <w:r w:rsidRPr="00B70A44">
        <w:rPr>
          <w:rFonts w:ascii="Gentium" w:hAnsi="Gentium" w:cs="Times New Roman"/>
          <w:sz w:val="24"/>
          <w:szCs w:val="24"/>
        </w:rPr>
        <w:t xml:space="preserve">, Baca; Tangerang 2020, </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lastRenderedPageBreak/>
        <w:t xml:space="preserve">Musdah Mulia, </w:t>
      </w:r>
      <w:r w:rsidRPr="00B70A44">
        <w:rPr>
          <w:rFonts w:ascii="Gentium" w:hAnsi="Gentium" w:cs="Times New Roman"/>
          <w:i/>
          <w:sz w:val="24"/>
          <w:szCs w:val="24"/>
        </w:rPr>
        <w:t>Perempuan Dalam Gerakan Terorisme di Indonesia</w:t>
      </w:r>
      <w:r w:rsidRPr="00B70A44">
        <w:rPr>
          <w:rFonts w:ascii="Gentium" w:hAnsi="Gentium" w:cs="Times New Roman"/>
          <w:sz w:val="24"/>
          <w:szCs w:val="24"/>
        </w:rPr>
        <w:t>, Al-wardah: Jurnal Kajian Perempuan, Gender dan Agama Volume: 12 Nomor: 1, hlm 81</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Umi Sumbulah</w:t>
      </w:r>
      <w:r w:rsidRPr="00B70A44">
        <w:rPr>
          <w:rFonts w:ascii="Gentium" w:hAnsi="Gentium" w:cs="Times New Roman"/>
          <w:i/>
          <w:sz w:val="24"/>
          <w:szCs w:val="24"/>
        </w:rPr>
        <w:t>, Perempuan dan Keluarga: Radikalisasi dan Kontra Radikalisme di Indonesia</w:t>
      </w:r>
      <w:r w:rsidRPr="00B70A44">
        <w:rPr>
          <w:rFonts w:ascii="Gentium" w:hAnsi="Gentium" w:cs="Times New Roman"/>
          <w:sz w:val="24"/>
          <w:szCs w:val="24"/>
        </w:rPr>
        <w:t>, Orasi Ilmiah Pengukuhan Guru Besar Bidang Studi Islam Fakultas Syariah UIN Maulana Malik Ibrahim Malang 2019, hlm 8</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 xml:space="preserve">Musdah Mulia, </w:t>
      </w:r>
      <w:r w:rsidRPr="00B70A44">
        <w:rPr>
          <w:rFonts w:ascii="Gentium" w:hAnsi="Gentium" w:cs="Times New Roman"/>
          <w:i/>
          <w:sz w:val="24"/>
          <w:szCs w:val="24"/>
        </w:rPr>
        <w:t>Perempuan Dalam Pusaran Fundamentalisme Islam</w:t>
      </w:r>
      <w:r w:rsidRPr="00B70A44">
        <w:rPr>
          <w:rFonts w:ascii="Gentium" w:hAnsi="Gentium" w:cs="Times New Roman"/>
          <w:sz w:val="24"/>
          <w:szCs w:val="24"/>
        </w:rPr>
        <w:t>, Juranl Ma’arif Institute Vol. 13 No.2 2018</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 xml:space="preserve">Leebarty Takarina, </w:t>
      </w:r>
      <w:r w:rsidRPr="00B70A44">
        <w:rPr>
          <w:rFonts w:ascii="Gentium" w:hAnsi="Gentium" w:cs="Times New Roman"/>
          <w:i/>
          <w:sz w:val="24"/>
          <w:szCs w:val="24"/>
        </w:rPr>
        <w:t xml:space="preserve">Istri Teroris Korban Yang Terlupakan: Kisah Perempuan dalam Kehatan Terorism, </w:t>
      </w:r>
      <w:r w:rsidRPr="00B70A44">
        <w:rPr>
          <w:rFonts w:ascii="Gentium" w:hAnsi="Gentium" w:cs="Times New Roman"/>
          <w:sz w:val="24"/>
          <w:szCs w:val="24"/>
        </w:rPr>
        <w:t>Media Kompitundo, 2019</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 xml:space="preserve">Tempo, </w:t>
      </w:r>
      <w:r w:rsidRPr="00B70A44">
        <w:rPr>
          <w:rFonts w:ascii="Gentium" w:hAnsi="Gentium" w:cs="Times New Roman"/>
          <w:i/>
          <w:sz w:val="24"/>
          <w:szCs w:val="24"/>
        </w:rPr>
        <w:t xml:space="preserve">Indonesia Jadi Contoh Penerapan Kesetaraan Gender </w:t>
      </w:r>
      <w:r w:rsidRPr="00B70A44">
        <w:rPr>
          <w:rFonts w:ascii="Gentium" w:hAnsi="Gentium" w:cs="Times New Roman"/>
          <w:sz w:val="24"/>
          <w:szCs w:val="24"/>
        </w:rPr>
        <w:t xml:space="preserve">dalam laman https://nasional.tempo.co/read/866636/indonesia-jadi-contoh-penerapan-kesetaraan-gender. </w:t>
      </w:r>
    </w:p>
    <w:p w:rsidR="00BC561D" w:rsidRPr="00B70A44" w:rsidRDefault="00BC561D" w:rsidP="00BC561D">
      <w:pPr>
        <w:pStyle w:val="FootnoteText"/>
        <w:spacing w:line="360" w:lineRule="auto"/>
        <w:ind w:left="567" w:hanging="567"/>
        <w:rPr>
          <w:rFonts w:ascii="Gentium" w:hAnsi="Gentium" w:cs="Times New Roman"/>
          <w:sz w:val="24"/>
          <w:szCs w:val="24"/>
        </w:rPr>
      </w:pPr>
      <w:r w:rsidRPr="00B70A44">
        <w:rPr>
          <w:rFonts w:ascii="Gentium" w:hAnsi="Gentium" w:cs="Times New Roman"/>
          <w:sz w:val="24"/>
          <w:szCs w:val="24"/>
        </w:rPr>
        <w:t>CNN Indonesia “Kelompok Rentan, faktor Perempuan Menjadi Pelaku Bom Bunuh Diri” dalamhttps://www.cnnindonesia.com/nasional/20210330133730-20-623828/kelompok-rentan-faktor-perempuan-jadi-pelaku-bom-bunuh-diri</w:t>
      </w:r>
    </w:p>
    <w:p w:rsidR="00BC561D" w:rsidRPr="00B70A44" w:rsidRDefault="00BC561D" w:rsidP="00BC561D">
      <w:pPr>
        <w:autoSpaceDE w:val="0"/>
        <w:autoSpaceDN w:val="0"/>
        <w:adjustRightInd w:val="0"/>
        <w:spacing w:after="0"/>
        <w:ind w:left="567" w:hanging="567"/>
        <w:rPr>
          <w:rFonts w:ascii="Gentium" w:hAnsi="Gentium" w:cs="Times New Roman"/>
          <w:szCs w:val="24"/>
        </w:rPr>
      </w:pPr>
      <w:r w:rsidRPr="00B70A44">
        <w:rPr>
          <w:rFonts w:ascii="Gentium" w:hAnsi="Gentium" w:cs="Times New Roman"/>
          <w:szCs w:val="24"/>
        </w:rPr>
        <w:t>https://prasasti.org/about “Yayasan Prasasti Perdamaian (Institute for International Peace Building [IIPB]”</w:t>
      </w:r>
    </w:p>
    <w:p w:rsidR="00BC561D" w:rsidRPr="00B70A44" w:rsidRDefault="00BC561D" w:rsidP="00BC561D">
      <w:pPr>
        <w:spacing w:after="0"/>
        <w:rPr>
          <w:rFonts w:ascii="Gentium" w:hAnsi="Gentium" w:cs="Times New Roman"/>
          <w:szCs w:val="24"/>
        </w:rPr>
      </w:pPr>
    </w:p>
    <w:p w:rsidR="00AB0409" w:rsidRDefault="00AB0409"/>
    <w:sectPr w:rsidR="00AB0409" w:rsidSect="00E563EC">
      <w:type w:val="continuous"/>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12C" w:rsidRDefault="0075012C" w:rsidP="00BC561D">
      <w:pPr>
        <w:spacing w:after="0" w:line="240" w:lineRule="auto"/>
      </w:pPr>
      <w:r>
        <w:separator/>
      </w:r>
    </w:p>
  </w:endnote>
  <w:endnote w:type="continuationSeparator" w:id="0">
    <w:p w:rsidR="0075012C" w:rsidRDefault="0075012C" w:rsidP="00B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ntium">
    <w:altName w:val="Times New Roman"/>
    <w:charset w:val="4D"/>
    <w:family w:val="auto"/>
    <w:pitch w:val="variable"/>
    <w:sig w:usb0="00000001" w:usb1="00000003" w:usb2="00000000" w:usb3="00000000" w:csb0="0000001B" w:csb1="00000000"/>
  </w:font>
  <w:font w:name="EB GARAMOND REGULAR ROMAN">
    <w:altName w:val="Cambria Math"/>
    <w:charset w:val="00"/>
    <w:family w:val="auto"/>
    <w:pitch w:val="variable"/>
    <w:sig w:usb0="00000001" w:usb1="5201E4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8F" w:rsidRPr="00055C3E" w:rsidRDefault="00055C3E" w:rsidP="00055C3E">
    <w:pPr>
      <w:pStyle w:val="Footer"/>
      <w:ind w:right="360"/>
      <w:rPr>
        <w:lang w:val="en-US"/>
      </w:rPr>
    </w:pPr>
    <w:r>
      <w:rPr>
        <w:rFonts w:ascii="Palatino Linotype" w:eastAsia="Palatino Linotype" w:hAnsi="Palatino Linotype" w:cs="Palatino Linotype"/>
        <w:i/>
        <w:sz w:val="20"/>
      </w:rPr>
      <w:t xml:space="preserve">Jurnal Moderasi </w:t>
    </w:r>
    <w:r>
      <w:rPr>
        <w:rFonts w:ascii="Verdana" w:eastAsia="Verdana" w:hAnsi="Verdana" w:cs="Verdana"/>
        <w:i/>
        <w:sz w:val="20"/>
      </w:rPr>
      <w:t xml:space="preserve">- </w:t>
    </w:r>
    <w:r>
      <w:rPr>
        <w:rFonts w:ascii="Palatino Linotype" w:eastAsia="Palatino Linotype" w:hAnsi="Palatino Linotype" w:cs="Palatino Linotype"/>
        <w:i/>
        <w:sz w:val="20"/>
      </w:rPr>
      <w:t>Vol 3, No. 1, Januari-Juni 202</w:t>
    </w:r>
    <w:r>
      <w:rPr>
        <w:rFonts w:ascii="Palatino Linotype" w:eastAsia="Palatino Linotype" w:hAnsi="Palatino Linotype" w:cs="Palatino Linotype"/>
        <w:i/>
        <w:sz w:val="20"/>
        <w:lang w:val="en-US"/>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08F" w:rsidRPr="004763B5" w:rsidRDefault="004763B5" w:rsidP="0031008F">
    <w:pPr>
      <w:pStyle w:val="Footer"/>
      <w:ind w:right="360"/>
      <w:rPr>
        <w:lang w:val="en-US"/>
      </w:rPr>
    </w:pPr>
    <w:r>
      <w:rPr>
        <w:rFonts w:ascii="Palatino Linotype" w:eastAsia="Palatino Linotype" w:hAnsi="Palatino Linotype" w:cs="Palatino Linotype"/>
        <w:i/>
        <w:sz w:val="20"/>
      </w:rPr>
      <w:t xml:space="preserve">Jurnal Moderasi </w:t>
    </w:r>
    <w:r>
      <w:rPr>
        <w:rFonts w:ascii="Verdana" w:eastAsia="Verdana" w:hAnsi="Verdana" w:cs="Verdana"/>
        <w:i/>
        <w:sz w:val="20"/>
      </w:rPr>
      <w:t xml:space="preserve">- </w:t>
    </w:r>
    <w:r>
      <w:rPr>
        <w:rFonts w:ascii="Palatino Linotype" w:eastAsia="Palatino Linotype" w:hAnsi="Palatino Linotype" w:cs="Palatino Linotype"/>
        <w:i/>
        <w:sz w:val="20"/>
      </w:rPr>
      <w:t>Vol 3, No. 1, Januari-Juni 202</w:t>
    </w:r>
    <w:r>
      <w:rPr>
        <w:rFonts w:ascii="Palatino Linotype" w:eastAsia="Palatino Linotype" w:hAnsi="Palatino Linotype" w:cs="Palatino Linotype"/>
        <w:i/>
        <w:sz w:val="20"/>
        <w:lang w:val="en-US"/>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3B5" w:rsidRPr="004763B5" w:rsidRDefault="004763B5" w:rsidP="0031008F">
    <w:pPr>
      <w:pStyle w:val="Footer"/>
      <w:ind w:right="360"/>
      <w:rPr>
        <w:lang w:val="en-US"/>
      </w:rPr>
    </w:pPr>
    <w:r>
      <w:rPr>
        <w:rFonts w:ascii="Palatino Linotype" w:eastAsia="Palatino Linotype" w:hAnsi="Palatino Linotype" w:cs="Palatino Linotype"/>
        <w:i/>
        <w:sz w:val="20"/>
      </w:rPr>
      <w:t xml:space="preserve">Jurnal Moderasi </w:t>
    </w:r>
    <w:r>
      <w:rPr>
        <w:rFonts w:ascii="Verdana" w:eastAsia="Verdana" w:hAnsi="Verdana" w:cs="Verdana"/>
        <w:i/>
        <w:sz w:val="20"/>
      </w:rPr>
      <w:t xml:space="preserve">- </w:t>
    </w:r>
    <w:r>
      <w:rPr>
        <w:rFonts w:ascii="Palatino Linotype" w:eastAsia="Palatino Linotype" w:hAnsi="Palatino Linotype" w:cs="Palatino Linotype"/>
        <w:i/>
        <w:sz w:val="20"/>
      </w:rPr>
      <w:t>Vol 3, No. 1, Januari-Juni 202</w:t>
    </w:r>
    <w:r>
      <w:rPr>
        <w:rFonts w:ascii="Palatino Linotype" w:eastAsia="Palatino Linotype" w:hAnsi="Palatino Linotype" w:cs="Palatino Linotype"/>
        <w:i/>
        <w:sz w:val="20"/>
        <w:lang w:val="en-US"/>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12C" w:rsidRDefault="0075012C" w:rsidP="00BC561D">
      <w:pPr>
        <w:spacing w:after="0" w:line="240" w:lineRule="auto"/>
      </w:pPr>
      <w:r>
        <w:separator/>
      </w:r>
    </w:p>
  </w:footnote>
  <w:footnote w:type="continuationSeparator" w:id="0">
    <w:p w:rsidR="0075012C" w:rsidRDefault="0075012C" w:rsidP="00BC561D">
      <w:pPr>
        <w:spacing w:after="0" w:line="240" w:lineRule="auto"/>
      </w:pPr>
      <w:r>
        <w:continuationSeparator/>
      </w:r>
    </w:p>
  </w:footnote>
  <w:footnote w:id="1">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Lihat “Kelompok Rentan, faktor Perempuan Menjadi Pelaku Bom Bunuh Diri” dalam https://www.cnnindonesia.com/nasional/20210330133730-20-623828/kelompok-rentan-faktor-perempuan-jadi-pelaku-bom-bunuh-diri</w:t>
      </w:r>
    </w:p>
  </w:footnote>
  <w:footnote w:id="2">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Alamsyah M. Djakfar dkk, </w:t>
      </w:r>
      <w:r w:rsidRPr="00923F05">
        <w:rPr>
          <w:rFonts w:cs="Times New Roman"/>
          <w:i/>
        </w:rPr>
        <w:t>Intoleransi dan Radikalisme di Kalangan Perempuan Riset Lima Wilayah: Bogor, Depok, Solo Raya, Malang, Sumenep</w:t>
      </w:r>
      <w:r w:rsidRPr="00DD108F">
        <w:rPr>
          <w:rFonts w:cs="Times New Roman"/>
        </w:rPr>
        <w:t xml:space="preserve"> (Jakarta: CSIS-The Wahid Foundation, 2017).</w:t>
      </w:r>
    </w:p>
  </w:footnote>
  <w:footnote w:id="3">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Christin Rajagukguk, </w:t>
      </w:r>
      <w:r w:rsidRPr="00923F05">
        <w:rPr>
          <w:rFonts w:cs="Times New Roman"/>
          <w:i/>
        </w:rPr>
        <w:t>Feminisme Kultural dan Peran Perempuan dalam Deradikalisasi di Indonesia</w:t>
      </w:r>
      <w:r w:rsidRPr="00DD108F">
        <w:rPr>
          <w:rFonts w:cs="Times New Roman"/>
        </w:rPr>
        <w:t>, Journal of International Relations, Volume 4, Nomor 4, 2018, hlm 782</w:t>
      </w:r>
    </w:p>
  </w:footnote>
  <w:footnote w:id="4">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Musdah Mulia, </w:t>
      </w:r>
      <w:r w:rsidRPr="00923F05">
        <w:rPr>
          <w:rFonts w:cs="Times New Roman"/>
          <w:i/>
        </w:rPr>
        <w:t>Ensiklopedia Muslimah Reformis</w:t>
      </w:r>
      <w:r w:rsidRPr="00DD108F">
        <w:rPr>
          <w:rFonts w:cs="Times New Roman"/>
        </w:rPr>
        <w:t xml:space="preserve">: </w:t>
      </w:r>
      <w:r w:rsidRPr="00DD108F">
        <w:rPr>
          <w:rFonts w:cs="Times New Roman"/>
          <w:i/>
        </w:rPr>
        <w:t>Pokok-Pokok Pemikiran untuk Reinterpretasi dan Aksi</w:t>
      </w:r>
      <w:r w:rsidRPr="00DD108F">
        <w:rPr>
          <w:rFonts w:cs="Times New Roman"/>
        </w:rPr>
        <w:t>, Baca; Tangerang 2020, hlm 503-504</w:t>
      </w:r>
    </w:p>
  </w:footnote>
  <w:footnote w:id="5">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Musdah Mulia, </w:t>
      </w:r>
      <w:r w:rsidRPr="00DD108F">
        <w:rPr>
          <w:rFonts w:cs="Times New Roman"/>
          <w:i/>
        </w:rPr>
        <w:t>Perempuan Dalam Gerakan Terorisme di Indonesia</w:t>
      </w:r>
      <w:r w:rsidRPr="00DD108F">
        <w:rPr>
          <w:rFonts w:cs="Times New Roman"/>
        </w:rPr>
        <w:t>, Al-wardah: Jurnal Kajian Perempuan, Gender dan Agama Volume: 12 Nomor: 1, hlm 81</w:t>
      </w:r>
    </w:p>
  </w:footnote>
  <w:footnote w:id="6">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Umi Sumbulah</w:t>
      </w:r>
      <w:r w:rsidRPr="00DD108F">
        <w:rPr>
          <w:rFonts w:cs="Times New Roman"/>
          <w:i/>
        </w:rPr>
        <w:t>, Perempuan dan Keluarga: Radikalisasi dan Kontra Radikalisme di Indonesia</w:t>
      </w:r>
      <w:r w:rsidRPr="00DD108F">
        <w:rPr>
          <w:rFonts w:cs="Times New Roman"/>
        </w:rPr>
        <w:t>, Orasi Ilmiah Pengukuhan Guru Besar Bidang Studi Islam Fakultas Syariah UIN Maulana Malik Ibrahim Malang 2019, hlm 8</w:t>
      </w:r>
    </w:p>
  </w:footnote>
  <w:footnote w:id="7">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Musdah Mulia, </w:t>
      </w:r>
      <w:r w:rsidRPr="00DD108F">
        <w:rPr>
          <w:rFonts w:cs="Times New Roman"/>
          <w:i/>
        </w:rPr>
        <w:t>Perempuan Dalam Pusaran Fundamentalisme Islam</w:t>
      </w:r>
      <w:r w:rsidRPr="00DD108F">
        <w:rPr>
          <w:rFonts w:cs="Times New Roman"/>
        </w:rPr>
        <w:t>, Juranl Ma’arif Institute V0. 13 No,2 2018, hlm 19</w:t>
      </w:r>
    </w:p>
  </w:footnote>
  <w:footnote w:id="8">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Musdah Mulia, </w:t>
      </w:r>
      <w:r w:rsidRPr="00DD108F">
        <w:rPr>
          <w:rFonts w:cs="Times New Roman"/>
          <w:i/>
        </w:rPr>
        <w:t xml:space="preserve">Perempuan Dalam Pusaran Fundamentalisme Islam, </w:t>
      </w:r>
      <w:r w:rsidRPr="00DD108F">
        <w:rPr>
          <w:rFonts w:cs="Times New Roman"/>
        </w:rPr>
        <w:t>hlm 19</w:t>
      </w:r>
    </w:p>
  </w:footnote>
  <w:footnote w:id="9">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Lihat https://prasasti.org/about “Yayasan Prasasti Perdamaian (Institute for International Peace Building [IIPB]”</w:t>
      </w:r>
    </w:p>
  </w:footnote>
  <w:footnote w:id="10">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Umi Sumbulah, </w:t>
      </w:r>
      <w:r w:rsidRPr="00DD108F">
        <w:rPr>
          <w:rFonts w:cs="Times New Roman"/>
          <w:i/>
        </w:rPr>
        <w:t>Perempuan dan Keluarga: Radikalisasi</w:t>
      </w:r>
      <w:r w:rsidRPr="00DD108F">
        <w:rPr>
          <w:rFonts w:cs="Times New Roman"/>
        </w:rPr>
        <w:t xml:space="preserve">..., hlm 18 </w:t>
      </w:r>
    </w:p>
  </w:footnote>
  <w:footnote w:id="11">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Umi Sumbulah, </w:t>
      </w:r>
      <w:r w:rsidRPr="00DD108F">
        <w:rPr>
          <w:rFonts w:cs="Times New Roman"/>
          <w:i/>
        </w:rPr>
        <w:t>Perempuan dan Keluarga: Radikalisasi</w:t>
      </w:r>
      <w:r w:rsidRPr="00DD108F">
        <w:rPr>
          <w:rFonts w:cs="Times New Roman"/>
        </w:rPr>
        <w:t>... hlm 19</w:t>
      </w:r>
    </w:p>
  </w:footnote>
  <w:footnote w:id="12">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Musdah Mulia</w:t>
      </w:r>
      <w:r w:rsidRPr="00DD108F">
        <w:rPr>
          <w:rFonts w:cs="Times New Roman"/>
          <w:i/>
        </w:rPr>
        <w:t>, Perempuan Dalam Gerakan Terorisme di Indonesia</w:t>
      </w:r>
      <w:r w:rsidRPr="00DD108F">
        <w:rPr>
          <w:rFonts w:cs="Times New Roman"/>
        </w:rPr>
        <w:t>, hlm 83-84</w:t>
      </w:r>
    </w:p>
  </w:footnote>
  <w:footnote w:id="13">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Lihat, </w:t>
      </w:r>
      <w:r w:rsidRPr="00DD108F">
        <w:rPr>
          <w:rFonts w:cs="Times New Roman"/>
          <w:i/>
        </w:rPr>
        <w:t xml:space="preserve">Indonesia Jadi Contoh Penerapan Kesetaraan Gender </w:t>
      </w:r>
      <w:r w:rsidRPr="00DD108F">
        <w:rPr>
          <w:rFonts w:cs="Times New Roman"/>
        </w:rPr>
        <w:t xml:space="preserve">dalam laman https://nasional.tempo.co/read/866636/indonesia-jadi-contoh-penerapan-kesetaraan-gender. </w:t>
      </w:r>
    </w:p>
  </w:footnote>
  <w:footnote w:id="14">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Leebarty Takarina, </w:t>
      </w:r>
      <w:r w:rsidRPr="00DD108F">
        <w:rPr>
          <w:rFonts w:cs="Times New Roman"/>
          <w:i/>
        </w:rPr>
        <w:t xml:space="preserve">Istri Teroris Korban Yang Terlupakan: Kisah Perempuan dalam Kehatan Terorism, </w:t>
      </w:r>
      <w:r w:rsidRPr="00DD108F">
        <w:rPr>
          <w:rFonts w:cs="Times New Roman"/>
        </w:rPr>
        <w:t>Media Kompitundo, 2019. Hlm 121</w:t>
      </w:r>
    </w:p>
  </w:footnote>
  <w:footnote w:id="15">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Musdah Mulia, </w:t>
      </w:r>
      <w:r w:rsidRPr="0072382E">
        <w:rPr>
          <w:rFonts w:cs="Times New Roman"/>
          <w:i/>
        </w:rPr>
        <w:t>Ensiklopedia Muslimah Reformis</w:t>
      </w:r>
      <w:r w:rsidRPr="00DD108F">
        <w:rPr>
          <w:rFonts w:cs="Times New Roman"/>
        </w:rPr>
        <w:t>... hlm 5233-524</w:t>
      </w:r>
    </w:p>
  </w:footnote>
  <w:footnote w:id="16">
    <w:p w:rsidR="00BC561D" w:rsidRPr="00DD108F" w:rsidRDefault="00BC561D" w:rsidP="00BC561D">
      <w:pPr>
        <w:pStyle w:val="FootnoteText"/>
        <w:rPr>
          <w:rFonts w:cs="Times New Roman"/>
        </w:rPr>
      </w:pPr>
      <w:r w:rsidRPr="00DD108F">
        <w:rPr>
          <w:rStyle w:val="FootnoteReference"/>
          <w:rFonts w:cs="Times New Roman"/>
        </w:rPr>
        <w:footnoteRef/>
      </w:r>
      <w:r>
        <w:rPr>
          <w:rFonts w:cs="Times New Roman"/>
        </w:rPr>
        <w:t xml:space="preserve"> </w:t>
      </w:r>
      <w:r w:rsidRPr="00DD108F">
        <w:rPr>
          <w:rFonts w:cs="Times New Roman"/>
        </w:rPr>
        <w:t xml:space="preserve">Musdah Mulia, </w:t>
      </w:r>
      <w:r w:rsidRPr="0072382E">
        <w:rPr>
          <w:rFonts w:cs="Times New Roman"/>
          <w:i/>
        </w:rPr>
        <w:t>Ensiklopedia Muslimah Reformis</w:t>
      </w:r>
      <w:r w:rsidRPr="00DD108F">
        <w:rPr>
          <w:rFonts w:cs="Times New Roman"/>
        </w:rPr>
        <w:t xml:space="preserve">...  </w:t>
      </w:r>
      <w:r>
        <w:rPr>
          <w:rFonts w:cs="Times New Roman"/>
        </w:rPr>
        <w:t>h</w:t>
      </w:r>
      <w:r w:rsidRPr="00DD108F">
        <w:rPr>
          <w:rFonts w:cs="Times New Roman"/>
        </w:rPr>
        <w:t>lm 525</w:t>
      </w:r>
    </w:p>
  </w:footnote>
  <w:footnote w:id="17">
    <w:p w:rsidR="00BC561D" w:rsidRPr="00DD108F" w:rsidRDefault="00BC561D" w:rsidP="00BC561D">
      <w:pPr>
        <w:pStyle w:val="FootnoteText"/>
        <w:rPr>
          <w:rFonts w:cs="Times New Roman"/>
        </w:rPr>
      </w:pPr>
      <w:r w:rsidRPr="00DD108F">
        <w:rPr>
          <w:rStyle w:val="FootnoteReference"/>
          <w:rFonts w:cs="Times New Roman"/>
        </w:rPr>
        <w:footnoteRef/>
      </w:r>
      <w:r w:rsidRPr="00DD108F">
        <w:rPr>
          <w:rFonts w:cs="Times New Roman"/>
        </w:rPr>
        <w:t xml:space="preserve"> Leebarty Takarina, </w:t>
      </w:r>
      <w:r w:rsidRPr="00DD108F">
        <w:rPr>
          <w:rFonts w:cs="Times New Roman"/>
          <w:i/>
        </w:rPr>
        <w:t>Istri Teroris Korban Yang Terlupakan.. 123-124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202804"/>
      <w:docPartObj>
        <w:docPartGallery w:val="Page Numbers (Top of Page)"/>
        <w:docPartUnique/>
      </w:docPartObj>
    </w:sdtPr>
    <w:sdtEndPr>
      <w:rPr>
        <w:noProof/>
      </w:rPr>
    </w:sdtEndPr>
    <w:sdtContent>
      <w:p w:rsidR="004763B5" w:rsidRPr="001E4798" w:rsidRDefault="001E4798" w:rsidP="001E4798">
        <w:pPr>
          <w:pStyle w:val="Header"/>
          <w:jc w:val="right"/>
        </w:pPr>
        <w:r>
          <w:rPr>
            <w:noProof/>
            <w:lang w:val="en-ID" w:eastAsia="en-ID"/>
          </w:rPr>
          <mc:AlternateContent>
            <mc:Choice Requires="wps">
              <w:drawing>
                <wp:anchor distT="0" distB="0" distL="114300" distR="114300" simplePos="0" relativeHeight="251661312" behindDoc="1" locked="0" layoutInCell="1" allowOverlap="1" wp14:anchorId="55B7589B" wp14:editId="75CF2805">
                  <wp:simplePos x="0" y="0"/>
                  <wp:positionH relativeFrom="page">
                    <wp:posOffset>1456277</wp:posOffset>
                  </wp:positionH>
                  <wp:positionV relativeFrom="page">
                    <wp:posOffset>453198</wp:posOffset>
                  </wp:positionV>
                  <wp:extent cx="1382233" cy="233917"/>
                  <wp:effectExtent l="0" t="0" r="889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233" cy="233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4798" w:rsidRPr="008A5020" w:rsidRDefault="001E4798" w:rsidP="001E4798">
                              <w:pPr>
                                <w:pStyle w:val="abstrak"/>
                                <w:rPr>
                                  <w:i w:val="0"/>
                                  <w:iCs/>
                                  <w:sz w:val="18"/>
                                </w:rPr>
                              </w:pPr>
                              <w:proofErr w:type="spellStart"/>
                              <w:r>
                                <w:rPr>
                                  <w:i w:val="0"/>
                                  <w:iCs/>
                                  <w:sz w:val="18"/>
                                </w:rPr>
                                <w:t>Nurul</w:t>
                              </w:r>
                              <w:proofErr w:type="spellEnd"/>
                              <w:r>
                                <w:rPr>
                                  <w:i w:val="0"/>
                                  <w:iCs/>
                                  <w:sz w:val="18"/>
                                </w:rPr>
                                <w:t xml:space="preserve"> </w:t>
                              </w:r>
                              <w:proofErr w:type="spellStart"/>
                              <w:r>
                                <w:rPr>
                                  <w:i w:val="0"/>
                                  <w:iCs/>
                                  <w:sz w:val="18"/>
                                </w:rPr>
                                <w:t>Qolbi</w:t>
                              </w:r>
                              <w:proofErr w:type="spellEnd"/>
                              <w:r>
                                <w:rPr>
                                  <w:i w:val="0"/>
                                  <w:iCs/>
                                  <w:sz w:val="18"/>
                                </w:rPr>
                                <w:t xml:space="preserve"> </w:t>
                              </w:r>
                              <w:proofErr w:type="spellStart"/>
                              <w:r>
                                <w:rPr>
                                  <w:i w:val="0"/>
                                  <w:iCs/>
                                  <w:sz w:val="18"/>
                                </w:rPr>
                                <w:t>Kurniawati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589B" id="_x0000_t202" coordsize="21600,21600" o:spt="202" path="m,l,21600r21600,l21600,xe">
                  <v:stroke joinstyle="miter"/>
                  <v:path gradientshapeok="t" o:connecttype="rect"/>
                </v:shapetype>
                <v:shape id="Text Box 1" o:spid="_x0000_s1026" type="#_x0000_t202" style="position:absolute;left:0;text-align:left;margin-left:114.65pt;margin-top:35.7pt;width:108.85pt;height:18.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eaGqgIAAKk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" filled="f" stroked="f">
                  <v:textbox inset="0,0,0,0">
                    <w:txbxContent>
                      <w:p w:rsidR="001E4798" w:rsidRPr="008A5020" w:rsidRDefault="001E4798" w:rsidP="001E4798">
                        <w:pPr>
                          <w:pStyle w:val="abstrak"/>
                          <w:rPr>
                            <w:i w:val="0"/>
                            <w:iCs/>
                            <w:sz w:val="18"/>
                          </w:rPr>
                        </w:pPr>
                        <w:proofErr w:type="spellStart"/>
                        <w:r>
                          <w:rPr>
                            <w:i w:val="0"/>
                            <w:iCs/>
                            <w:sz w:val="18"/>
                          </w:rPr>
                          <w:t>Nurul</w:t>
                        </w:r>
                        <w:proofErr w:type="spellEnd"/>
                        <w:r>
                          <w:rPr>
                            <w:i w:val="0"/>
                            <w:iCs/>
                            <w:sz w:val="18"/>
                          </w:rPr>
                          <w:t xml:space="preserve"> </w:t>
                        </w:r>
                        <w:proofErr w:type="spellStart"/>
                        <w:r>
                          <w:rPr>
                            <w:i w:val="0"/>
                            <w:iCs/>
                            <w:sz w:val="18"/>
                          </w:rPr>
                          <w:t>Qolbi</w:t>
                        </w:r>
                        <w:proofErr w:type="spellEnd"/>
                        <w:r>
                          <w:rPr>
                            <w:i w:val="0"/>
                            <w:iCs/>
                            <w:sz w:val="18"/>
                          </w:rPr>
                          <w:t xml:space="preserve"> </w:t>
                        </w:r>
                        <w:proofErr w:type="spellStart"/>
                        <w:r>
                          <w:rPr>
                            <w:i w:val="0"/>
                            <w:iCs/>
                            <w:sz w:val="18"/>
                          </w:rPr>
                          <w:t>Kurniawati</w:t>
                        </w:r>
                        <w:proofErr w:type="spellEnd"/>
                      </w:p>
                    </w:txbxContent>
                  </v:textbox>
                  <w10:wrap anchorx="page" anchory="page"/>
                </v:shape>
              </w:pict>
            </mc:Fallback>
          </mc:AlternateContent>
        </w:r>
        <w:r w:rsidR="004763B5">
          <w:fldChar w:fldCharType="begin"/>
        </w:r>
        <w:r w:rsidR="004763B5">
          <w:instrText xml:space="preserve"> PAGE   \* MERGEFORMAT </w:instrText>
        </w:r>
        <w:r w:rsidR="004763B5">
          <w:fldChar w:fldCharType="separate"/>
        </w:r>
        <w:r w:rsidR="001C1095">
          <w:rPr>
            <w:noProof/>
          </w:rPr>
          <w:t>32</w:t>
        </w:r>
        <w:r w:rsidR="004763B5">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08681"/>
      <w:docPartObj>
        <w:docPartGallery w:val="Page Numbers (Top of Page)"/>
        <w:docPartUnique/>
      </w:docPartObj>
    </w:sdtPr>
    <w:sdtEndPr>
      <w:rPr>
        <w:noProof/>
      </w:rPr>
    </w:sdtEndPr>
    <w:sdtContent>
      <w:p w:rsidR="004763B5" w:rsidRPr="004763B5" w:rsidRDefault="0080514F" w:rsidP="004763B5">
        <w:pPr>
          <w:pStyle w:val="Header"/>
        </w:pPr>
        <w:r>
          <w:rPr>
            <w:noProof/>
            <w:lang w:val="en-ID" w:eastAsia="en-ID"/>
          </w:rPr>
          <mc:AlternateContent>
            <mc:Choice Requires="wps">
              <w:drawing>
                <wp:anchor distT="0" distB="0" distL="114300" distR="114300" simplePos="0" relativeHeight="251659264" behindDoc="1" locked="0" layoutInCell="1" allowOverlap="1" wp14:anchorId="28EE4F3F" wp14:editId="5962ECB7">
                  <wp:simplePos x="0" y="0"/>
                  <wp:positionH relativeFrom="page">
                    <wp:posOffset>4454495</wp:posOffset>
                  </wp:positionH>
                  <wp:positionV relativeFrom="page">
                    <wp:posOffset>488654</wp:posOffset>
                  </wp:positionV>
                  <wp:extent cx="2009554" cy="327546"/>
                  <wp:effectExtent l="0" t="0" r="1016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554" cy="327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4F" w:rsidRPr="001E4798" w:rsidRDefault="001E4798" w:rsidP="0080514F">
                              <w:pPr>
                                <w:spacing w:line="245" w:lineRule="exact"/>
                                <w:ind w:left="20"/>
                                <w:rPr>
                                  <w:rFonts w:ascii="Verdana" w:hAnsi="Verdana"/>
                                  <w:bCs/>
                                  <w:i/>
                                  <w:sz w:val="18"/>
                                  <w:szCs w:val="18"/>
                                  <w:lang w:val="en-US"/>
                                </w:rPr>
                              </w:pPr>
                              <w:proofErr w:type="spellStart"/>
                              <w:r>
                                <w:rPr>
                                  <w:bCs/>
                                  <w:sz w:val="18"/>
                                  <w:szCs w:val="18"/>
                                  <w:lang w:val="en-US"/>
                                </w:rPr>
                                <w:t>Pemberdayaan</w:t>
                              </w:r>
                              <w:proofErr w:type="spellEnd"/>
                              <w:r>
                                <w:rPr>
                                  <w:bCs/>
                                  <w:sz w:val="18"/>
                                  <w:szCs w:val="18"/>
                                  <w:lang w:val="en-US"/>
                                </w:rPr>
                                <w:t xml:space="preserve"> </w:t>
                              </w:r>
                              <w:proofErr w:type="spellStart"/>
                              <w:r>
                                <w:rPr>
                                  <w:bCs/>
                                  <w:sz w:val="18"/>
                                  <w:szCs w:val="18"/>
                                  <w:lang w:val="en-US"/>
                                </w:rPr>
                                <w:t>Perempuan</w:t>
                              </w:r>
                              <w:proofErr w:type="spellEnd"/>
                              <w:r>
                                <w:rPr>
                                  <w:bCs/>
                                  <w:sz w:val="18"/>
                                  <w:szCs w:val="18"/>
                                  <w:lang w:val="en-US"/>
                                </w:rPr>
                                <w:t xml:space="preserve"> </w:t>
                              </w:r>
                              <w:proofErr w:type="spellStart"/>
                              <w:r>
                                <w:rPr>
                                  <w:bCs/>
                                  <w:sz w:val="18"/>
                                  <w:szCs w:val="18"/>
                                  <w:lang w:val="en-US"/>
                                </w:rPr>
                                <w:t>Sebagai</w:t>
                              </w:r>
                              <w:proofErr w:type="spellEnd"/>
                              <w:r>
                                <w:rPr>
                                  <w:bCs/>
                                  <w:sz w:val="18"/>
                                  <w:szCs w:val="18"/>
                                  <w:lang w:val="en-US"/>
                                </w:rPr>
                                <w:t xml:space="preserve"> </w:t>
                              </w:r>
                              <w:proofErr w:type="spellStart"/>
                              <w:r>
                                <w:rPr>
                                  <w:bCs/>
                                  <w:sz w:val="18"/>
                                  <w:szCs w:val="18"/>
                                  <w:lang w:val="en-US"/>
                                </w:rPr>
                                <w:t>Solusi</w:t>
                              </w:r>
                              <w:proofErr w:type="spellEnd"/>
                              <w:r>
                                <w:rPr>
                                  <w:bCs/>
                                  <w:sz w:val="18"/>
                                  <w:szCs w:val="18"/>
                                  <w:lang w:val="en-US"/>
                                </w:rPr>
                                <w:t xml:space="preserve"> </w:t>
                              </w:r>
                              <w:proofErr w:type="spellStart"/>
                              <w:r>
                                <w:rPr>
                                  <w:bCs/>
                                  <w:sz w:val="18"/>
                                  <w:szCs w:val="18"/>
                                  <w:lang w:val="en-US"/>
                                </w:rPr>
                                <w:t>Pencegahan</w:t>
                              </w:r>
                              <w:proofErr w:type="spellEnd"/>
                              <w:r>
                                <w:rPr>
                                  <w:bCs/>
                                  <w:sz w:val="18"/>
                                  <w:szCs w:val="18"/>
                                  <w:lang w:val="en-US"/>
                                </w:rPr>
                                <w:t xml:space="preserve"> </w:t>
                              </w:r>
                              <w:proofErr w:type="spellStart"/>
                              <w:r>
                                <w:rPr>
                                  <w:bCs/>
                                  <w:sz w:val="18"/>
                                  <w:szCs w:val="18"/>
                                  <w:lang w:val="en-US"/>
                                </w:rPr>
                                <w:t>Radikalisme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E4F3F" id="_x0000_t202" coordsize="21600,21600" o:spt="202" path="m,l,21600r21600,l21600,xe">
                  <v:stroke joinstyle="miter"/>
                  <v:path gradientshapeok="t" o:connecttype="rect"/>
                </v:shapetype>
                <v:shape id="Text Box 4" o:spid="_x0000_s1027" type="#_x0000_t202" style="position:absolute;left:0;text-align:left;margin-left:350.75pt;margin-top:38.5pt;width:158.25pt;height:25.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dLrwIAALA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" filled="f" stroked="f">
                  <v:textbox inset="0,0,0,0">
                    <w:txbxContent>
                      <w:p w:rsidR="0080514F" w:rsidRPr="001E4798" w:rsidRDefault="001E4798" w:rsidP="0080514F">
                        <w:pPr>
                          <w:spacing w:line="245" w:lineRule="exact"/>
                          <w:ind w:left="20"/>
                          <w:rPr>
                            <w:rFonts w:ascii="Verdana" w:hAnsi="Verdana"/>
                            <w:bCs/>
                            <w:i/>
                            <w:sz w:val="18"/>
                            <w:szCs w:val="18"/>
                            <w:lang w:val="en-US"/>
                          </w:rPr>
                        </w:pPr>
                        <w:proofErr w:type="spellStart"/>
                        <w:r>
                          <w:rPr>
                            <w:bCs/>
                            <w:sz w:val="18"/>
                            <w:szCs w:val="18"/>
                            <w:lang w:val="en-US"/>
                          </w:rPr>
                          <w:t>Pemberdayaan</w:t>
                        </w:r>
                        <w:proofErr w:type="spellEnd"/>
                        <w:r>
                          <w:rPr>
                            <w:bCs/>
                            <w:sz w:val="18"/>
                            <w:szCs w:val="18"/>
                            <w:lang w:val="en-US"/>
                          </w:rPr>
                          <w:t xml:space="preserve"> </w:t>
                        </w:r>
                        <w:proofErr w:type="spellStart"/>
                        <w:r>
                          <w:rPr>
                            <w:bCs/>
                            <w:sz w:val="18"/>
                            <w:szCs w:val="18"/>
                            <w:lang w:val="en-US"/>
                          </w:rPr>
                          <w:t>Perempuan</w:t>
                        </w:r>
                        <w:proofErr w:type="spellEnd"/>
                        <w:r>
                          <w:rPr>
                            <w:bCs/>
                            <w:sz w:val="18"/>
                            <w:szCs w:val="18"/>
                            <w:lang w:val="en-US"/>
                          </w:rPr>
                          <w:t xml:space="preserve"> </w:t>
                        </w:r>
                        <w:proofErr w:type="spellStart"/>
                        <w:r>
                          <w:rPr>
                            <w:bCs/>
                            <w:sz w:val="18"/>
                            <w:szCs w:val="18"/>
                            <w:lang w:val="en-US"/>
                          </w:rPr>
                          <w:t>Sebagai</w:t>
                        </w:r>
                        <w:proofErr w:type="spellEnd"/>
                        <w:r>
                          <w:rPr>
                            <w:bCs/>
                            <w:sz w:val="18"/>
                            <w:szCs w:val="18"/>
                            <w:lang w:val="en-US"/>
                          </w:rPr>
                          <w:t xml:space="preserve"> </w:t>
                        </w:r>
                        <w:proofErr w:type="spellStart"/>
                        <w:r>
                          <w:rPr>
                            <w:bCs/>
                            <w:sz w:val="18"/>
                            <w:szCs w:val="18"/>
                            <w:lang w:val="en-US"/>
                          </w:rPr>
                          <w:t>Solusi</w:t>
                        </w:r>
                        <w:proofErr w:type="spellEnd"/>
                        <w:r>
                          <w:rPr>
                            <w:bCs/>
                            <w:sz w:val="18"/>
                            <w:szCs w:val="18"/>
                            <w:lang w:val="en-US"/>
                          </w:rPr>
                          <w:t xml:space="preserve"> </w:t>
                        </w:r>
                        <w:proofErr w:type="spellStart"/>
                        <w:r>
                          <w:rPr>
                            <w:bCs/>
                            <w:sz w:val="18"/>
                            <w:szCs w:val="18"/>
                            <w:lang w:val="en-US"/>
                          </w:rPr>
                          <w:t>Pencegahan</w:t>
                        </w:r>
                        <w:proofErr w:type="spellEnd"/>
                        <w:r>
                          <w:rPr>
                            <w:bCs/>
                            <w:sz w:val="18"/>
                            <w:szCs w:val="18"/>
                            <w:lang w:val="en-US"/>
                          </w:rPr>
                          <w:t xml:space="preserve"> </w:t>
                        </w:r>
                        <w:proofErr w:type="spellStart"/>
                        <w:r>
                          <w:rPr>
                            <w:bCs/>
                            <w:sz w:val="18"/>
                            <w:szCs w:val="18"/>
                            <w:lang w:val="en-US"/>
                          </w:rPr>
                          <w:t>Radikalisme</w:t>
                        </w:r>
                        <w:proofErr w:type="spellEnd"/>
                      </w:p>
                    </w:txbxContent>
                  </v:textbox>
                  <w10:wrap anchorx="page" anchory="page"/>
                </v:shape>
              </w:pict>
            </mc:Fallback>
          </mc:AlternateContent>
        </w:r>
        <w:r w:rsidR="004763B5">
          <w:fldChar w:fldCharType="begin"/>
        </w:r>
        <w:r w:rsidR="004763B5">
          <w:instrText xml:space="preserve"> PAGE   \* MERGEFORMAT </w:instrText>
        </w:r>
        <w:r w:rsidR="004763B5">
          <w:fldChar w:fldCharType="separate"/>
        </w:r>
        <w:r w:rsidR="001C1095">
          <w:rPr>
            <w:noProof/>
          </w:rPr>
          <w:t>33</w:t>
        </w:r>
        <w:r w:rsidR="004763B5">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E15E9"/>
    <w:multiLevelType w:val="hybridMultilevel"/>
    <w:tmpl w:val="1B3E980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37F20B58"/>
    <w:multiLevelType w:val="hybridMultilevel"/>
    <w:tmpl w:val="692635A8"/>
    <w:lvl w:ilvl="0" w:tplc="943AF81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42BE3289"/>
    <w:multiLevelType w:val="hybridMultilevel"/>
    <w:tmpl w:val="A4C0F218"/>
    <w:lvl w:ilvl="0" w:tplc="4226FF3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D004961"/>
    <w:multiLevelType w:val="hybridMultilevel"/>
    <w:tmpl w:val="94C85FD0"/>
    <w:lvl w:ilvl="0" w:tplc="599E96E6">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61D"/>
    <w:rsid w:val="00055C3E"/>
    <w:rsid w:val="0017019E"/>
    <w:rsid w:val="001C1095"/>
    <w:rsid w:val="001E4798"/>
    <w:rsid w:val="004763B5"/>
    <w:rsid w:val="005E3938"/>
    <w:rsid w:val="0075012C"/>
    <w:rsid w:val="0080514F"/>
    <w:rsid w:val="00A45AE4"/>
    <w:rsid w:val="00AB0409"/>
    <w:rsid w:val="00B614AD"/>
    <w:rsid w:val="00B761FD"/>
    <w:rsid w:val="00BA2629"/>
    <w:rsid w:val="00BC561D"/>
    <w:rsid w:val="00DF2A1B"/>
    <w:rsid w:val="00E563EC"/>
    <w:rsid w:val="00E9636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7879340-9E6E-474F-8B91-2E866C59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61D"/>
    <w:pPr>
      <w:spacing w:after="200" w:line="360" w:lineRule="auto"/>
      <w:jc w:val="both"/>
    </w:pPr>
    <w:rPr>
      <w:rFonts w:ascii="Times New Roman" w:hAnsi="Times New Roman"/>
      <w:sz w:val="24"/>
      <w:lang w:val="id-ID"/>
    </w:rPr>
  </w:style>
  <w:style w:type="paragraph" w:styleId="Heading1">
    <w:name w:val="heading 1"/>
    <w:basedOn w:val="Normal"/>
    <w:next w:val="Normal"/>
    <w:link w:val="Heading1Char"/>
    <w:uiPriority w:val="9"/>
    <w:qFormat/>
    <w:rsid w:val="005E3938"/>
    <w:pPr>
      <w:keepNext/>
      <w:keepLines/>
      <w:spacing w:before="36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C561D"/>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k">
    <w:name w:val="abstrak"/>
    <w:basedOn w:val="Normal"/>
    <w:link w:val="abstrakChar"/>
    <w:autoRedefine/>
    <w:qFormat/>
    <w:rsid w:val="0017019E"/>
    <w:pPr>
      <w:spacing w:after="0" w:line="240" w:lineRule="auto"/>
    </w:pPr>
    <w:rPr>
      <w:rFonts w:cs="Times New Roman"/>
      <w:bCs/>
      <w:i/>
      <w:szCs w:val="24"/>
      <w:lang w:val="en-US"/>
    </w:rPr>
  </w:style>
  <w:style w:type="character" w:customStyle="1" w:styleId="abstrakChar">
    <w:name w:val="abstrak Char"/>
    <w:basedOn w:val="DefaultParagraphFont"/>
    <w:link w:val="abstrak"/>
    <w:rsid w:val="0017019E"/>
    <w:rPr>
      <w:rFonts w:ascii="Times New Roman" w:hAnsi="Times New Roman" w:cs="Times New Roman"/>
      <w:bCs/>
      <w:i/>
      <w:sz w:val="24"/>
      <w:szCs w:val="24"/>
      <w:lang w:val="en-US"/>
    </w:rPr>
  </w:style>
  <w:style w:type="paragraph" w:customStyle="1" w:styleId="judul">
    <w:name w:val="judul"/>
    <w:basedOn w:val="Normal"/>
    <w:link w:val="judulChar"/>
    <w:autoRedefine/>
    <w:qFormat/>
    <w:rsid w:val="005E3938"/>
    <w:pPr>
      <w:spacing w:after="0" w:line="240" w:lineRule="auto"/>
      <w:ind w:right="-142"/>
      <w:contextualSpacing/>
    </w:pPr>
    <w:rPr>
      <w:b/>
      <w:sz w:val="28"/>
    </w:rPr>
  </w:style>
  <w:style w:type="character" w:customStyle="1" w:styleId="judulChar">
    <w:name w:val="judul Char"/>
    <w:basedOn w:val="DefaultParagraphFont"/>
    <w:link w:val="judul"/>
    <w:rsid w:val="005E3938"/>
    <w:rPr>
      <w:rFonts w:ascii="Times New Roman" w:hAnsi="Times New Roman" w:cs="Times New Roman"/>
      <w:b/>
      <w:noProof/>
      <w:sz w:val="28"/>
      <w:szCs w:val="24"/>
      <w:lang w:val="id-ID"/>
    </w:rPr>
  </w:style>
  <w:style w:type="paragraph" w:customStyle="1" w:styleId="teksarab">
    <w:name w:val="teks arab"/>
    <w:basedOn w:val="Normal"/>
    <w:link w:val="teksarabChar"/>
    <w:autoRedefine/>
    <w:qFormat/>
    <w:rsid w:val="00B761FD"/>
    <w:pPr>
      <w:spacing w:before="160" w:line="240" w:lineRule="auto"/>
      <w:ind w:left="1134" w:right="1134"/>
      <w:jc w:val="center"/>
    </w:pPr>
    <w:rPr>
      <w:rFonts w:asciiTheme="majorBidi" w:hAnsiTheme="majorBidi"/>
      <w:sz w:val="30"/>
      <w:lang w:val="en-ID"/>
    </w:rPr>
  </w:style>
  <w:style w:type="character" w:customStyle="1" w:styleId="teksarabChar">
    <w:name w:val="teks arab Char"/>
    <w:basedOn w:val="DefaultParagraphFont"/>
    <w:link w:val="teksarab"/>
    <w:rsid w:val="00B761FD"/>
    <w:rPr>
      <w:rFonts w:asciiTheme="majorBidi" w:hAnsiTheme="majorBidi"/>
      <w:sz w:val="30"/>
    </w:rPr>
  </w:style>
  <w:style w:type="paragraph" w:customStyle="1" w:styleId="terjemah">
    <w:name w:val="terjemah"/>
    <w:basedOn w:val="teksarab"/>
    <w:link w:val="terjemahChar"/>
    <w:autoRedefine/>
    <w:qFormat/>
    <w:rsid w:val="00B614AD"/>
    <w:pPr>
      <w:ind w:left="454" w:right="454"/>
    </w:pPr>
    <w:rPr>
      <w:i/>
    </w:rPr>
  </w:style>
  <w:style w:type="character" w:customStyle="1" w:styleId="terjemahChar">
    <w:name w:val="terjemah Char"/>
    <w:basedOn w:val="teksarabChar"/>
    <w:link w:val="terjemah"/>
    <w:rsid w:val="00B614AD"/>
    <w:rPr>
      <w:rFonts w:ascii="Traditional Arabic" w:hAnsi="Traditional Arabic"/>
      <w:i/>
      <w:noProof/>
      <w:sz w:val="30"/>
    </w:rPr>
  </w:style>
  <w:style w:type="character" w:customStyle="1" w:styleId="Heading1Char">
    <w:name w:val="Heading 1 Char"/>
    <w:basedOn w:val="DefaultParagraphFont"/>
    <w:link w:val="Heading1"/>
    <w:uiPriority w:val="9"/>
    <w:rsid w:val="005E3938"/>
    <w:rPr>
      <w:rFonts w:ascii="Times New Roman" w:eastAsiaTheme="majorEastAsia" w:hAnsi="Times New Roman" w:cstheme="majorBidi"/>
      <w:b/>
      <w:noProof/>
      <w:sz w:val="24"/>
      <w:szCs w:val="32"/>
      <w:lang w:val="id-ID"/>
    </w:rPr>
  </w:style>
  <w:style w:type="paragraph" w:customStyle="1" w:styleId="6DAFTARPUSTAKA">
    <w:name w:val="6. DAFTAR PUSTAKA"/>
    <w:basedOn w:val="BodyText"/>
    <w:link w:val="6DAFTARPUSTAKAChar"/>
    <w:uiPriority w:val="1"/>
    <w:qFormat/>
    <w:rsid w:val="00BA2629"/>
    <w:pPr>
      <w:widowControl w:val="0"/>
      <w:autoSpaceDE w:val="0"/>
      <w:autoSpaceDN w:val="0"/>
      <w:spacing w:before="160" w:after="160" w:line="240" w:lineRule="auto"/>
      <w:ind w:left="57" w:right="454"/>
    </w:pPr>
    <w:rPr>
      <w:rFonts w:eastAsia="Calibri" w:cs="Calibri"/>
      <w:lang w:val="en-US"/>
    </w:rPr>
  </w:style>
  <w:style w:type="character" w:customStyle="1" w:styleId="6DAFTARPUSTAKAChar">
    <w:name w:val="6. DAFTAR PUSTAKA Char"/>
    <w:basedOn w:val="DefaultParagraphFont"/>
    <w:link w:val="6DAFTARPUSTAKA"/>
    <w:uiPriority w:val="1"/>
    <w:rsid w:val="00BA2629"/>
    <w:rPr>
      <w:rFonts w:ascii="Times New Roman" w:eastAsia="Calibri" w:hAnsi="Times New Roman" w:cs="Calibri"/>
      <w:sz w:val="24"/>
      <w:szCs w:val="24"/>
      <w:lang w:val="en-US"/>
    </w:rPr>
  </w:style>
  <w:style w:type="paragraph" w:styleId="BodyText">
    <w:name w:val="Body Text"/>
    <w:basedOn w:val="Normal"/>
    <w:link w:val="BodyTextChar"/>
    <w:uiPriority w:val="99"/>
    <w:semiHidden/>
    <w:unhideWhenUsed/>
    <w:rsid w:val="00BA2629"/>
    <w:pPr>
      <w:spacing w:after="120"/>
    </w:pPr>
  </w:style>
  <w:style w:type="character" w:customStyle="1" w:styleId="BodyTextChar">
    <w:name w:val="Body Text Char"/>
    <w:basedOn w:val="DefaultParagraphFont"/>
    <w:link w:val="BodyText"/>
    <w:uiPriority w:val="99"/>
    <w:semiHidden/>
    <w:rsid w:val="00BA2629"/>
    <w:rPr>
      <w:rFonts w:ascii="Times New Roman" w:hAnsi="Times New Roman" w:cs="Times New Roman"/>
      <w:noProof/>
      <w:sz w:val="24"/>
      <w:szCs w:val="24"/>
      <w:lang w:val="id-ID"/>
    </w:rPr>
  </w:style>
  <w:style w:type="paragraph" w:customStyle="1" w:styleId="daftarpustaka">
    <w:name w:val="daftar pustaka"/>
    <w:basedOn w:val="Normal"/>
    <w:link w:val="daftarpustakaChar"/>
    <w:qFormat/>
    <w:rsid w:val="005E3938"/>
    <w:pPr>
      <w:spacing w:before="160" w:line="240" w:lineRule="auto"/>
      <w:ind w:left="720" w:right="227" w:hanging="720"/>
    </w:pPr>
  </w:style>
  <w:style w:type="character" w:customStyle="1" w:styleId="daftarpustakaChar">
    <w:name w:val="daftar pustaka Char"/>
    <w:basedOn w:val="DefaultParagraphFont"/>
    <w:link w:val="daftarpustaka"/>
    <w:rsid w:val="005E3938"/>
    <w:rPr>
      <w:rFonts w:ascii="Times New Roman" w:hAnsi="Times New Roman" w:cs="Times New Roman"/>
      <w:noProof/>
      <w:sz w:val="24"/>
      <w:szCs w:val="24"/>
      <w:lang w:val="id-ID"/>
    </w:rPr>
  </w:style>
  <w:style w:type="paragraph" w:styleId="Footer">
    <w:name w:val="footer"/>
    <w:basedOn w:val="Normal"/>
    <w:link w:val="FooterChar"/>
    <w:uiPriority w:val="99"/>
    <w:unhideWhenUsed/>
    <w:rsid w:val="00B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61D"/>
    <w:rPr>
      <w:lang w:val="id-ID"/>
    </w:rPr>
  </w:style>
  <w:style w:type="paragraph" w:styleId="FootnoteText">
    <w:name w:val="footnote text"/>
    <w:basedOn w:val="Normal"/>
    <w:link w:val="FootnoteTextChar"/>
    <w:uiPriority w:val="99"/>
    <w:unhideWhenUsed/>
    <w:rsid w:val="00BC561D"/>
    <w:pPr>
      <w:spacing w:after="0" w:line="240" w:lineRule="auto"/>
    </w:pPr>
    <w:rPr>
      <w:sz w:val="20"/>
      <w:szCs w:val="20"/>
    </w:rPr>
  </w:style>
  <w:style w:type="character" w:customStyle="1" w:styleId="FootnoteTextChar">
    <w:name w:val="Footnote Text Char"/>
    <w:basedOn w:val="DefaultParagraphFont"/>
    <w:link w:val="FootnoteText"/>
    <w:uiPriority w:val="99"/>
    <w:rsid w:val="00BC561D"/>
    <w:rPr>
      <w:sz w:val="20"/>
      <w:szCs w:val="20"/>
      <w:lang w:val="id-ID"/>
    </w:rPr>
  </w:style>
  <w:style w:type="character" w:styleId="FootnoteReference">
    <w:name w:val="footnote reference"/>
    <w:basedOn w:val="DefaultParagraphFont"/>
    <w:uiPriority w:val="99"/>
    <w:semiHidden/>
    <w:unhideWhenUsed/>
    <w:rsid w:val="00BC561D"/>
    <w:rPr>
      <w:vertAlign w:val="superscript"/>
    </w:rPr>
  </w:style>
  <w:style w:type="paragraph" w:styleId="NormalWeb">
    <w:name w:val="Normal (Web)"/>
    <w:basedOn w:val="Normal"/>
    <w:uiPriority w:val="99"/>
    <w:unhideWhenUsed/>
    <w:rsid w:val="00BC561D"/>
    <w:pPr>
      <w:spacing w:before="100" w:beforeAutospacing="1" w:after="100" w:afterAutospacing="1" w:line="240" w:lineRule="auto"/>
    </w:pPr>
    <w:rPr>
      <w:rFonts w:eastAsia="Times New Roman" w:cs="Times New Roman"/>
      <w:szCs w:val="24"/>
      <w:lang w:eastAsia="id-ID"/>
    </w:rPr>
  </w:style>
  <w:style w:type="paragraph" w:styleId="ListParagraph">
    <w:name w:val="List Paragraph"/>
    <w:basedOn w:val="Normal"/>
    <w:uiPriority w:val="34"/>
    <w:qFormat/>
    <w:rsid w:val="00BC561D"/>
    <w:pPr>
      <w:ind w:left="720"/>
      <w:contextualSpacing/>
    </w:pPr>
  </w:style>
  <w:style w:type="character" w:styleId="PageNumber">
    <w:name w:val="page number"/>
    <w:basedOn w:val="DefaultParagraphFont"/>
    <w:uiPriority w:val="99"/>
    <w:semiHidden/>
    <w:unhideWhenUsed/>
    <w:rsid w:val="00BC561D"/>
  </w:style>
  <w:style w:type="character" w:styleId="Hyperlink">
    <w:name w:val="Hyperlink"/>
    <w:basedOn w:val="DefaultParagraphFont"/>
    <w:uiPriority w:val="99"/>
    <w:unhideWhenUsed/>
    <w:rsid w:val="00BC561D"/>
    <w:rPr>
      <w:color w:val="0563C1" w:themeColor="hyperlink"/>
      <w:u w:val="single"/>
    </w:rPr>
  </w:style>
  <w:style w:type="character" w:customStyle="1" w:styleId="Heading2Char">
    <w:name w:val="Heading 2 Char"/>
    <w:basedOn w:val="DefaultParagraphFont"/>
    <w:link w:val="Heading2"/>
    <w:uiPriority w:val="9"/>
    <w:rsid w:val="00BC561D"/>
    <w:rPr>
      <w:rFonts w:ascii="Times New Roman" w:eastAsiaTheme="majorEastAsia" w:hAnsi="Times New Roman" w:cstheme="majorBidi"/>
      <w:b/>
      <w:sz w:val="24"/>
      <w:szCs w:val="26"/>
      <w:lang w:val="id-ID"/>
    </w:rPr>
  </w:style>
  <w:style w:type="paragraph" w:styleId="Header">
    <w:name w:val="header"/>
    <w:basedOn w:val="Normal"/>
    <w:link w:val="HeaderChar"/>
    <w:uiPriority w:val="99"/>
    <w:unhideWhenUsed/>
    <w:rsid w:val="00476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3B5"/>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ka.ac.id/ushuluddin/moderasi/inde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ournal.uin-suka.ac.id/ushuluddin/moderasi/index"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B975-6759-4002-ADBC-F4B1E237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16</Pages>
  <Words>3675</Words>
  <Characters>25874</Characters>
  <Application>Microsoft Office Word</Application>
  <DocSecurity>0</DocSecurity>
  <Lines>616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7</cp:revision>
  <dcterms:created xsi:type="dcterms:W3CDTF">2023-10-13T04:21:00Z</dcterms:created>
  <dcterms:modified xsi:type="dcterms:W3CDTF">2023-10-18T06:18:00Z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6623d5fc-4030-4987-8b63-2da289069aa1</vt:lpwstr>
  </property>
</Properties>
</file>